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交银施罗德天益宝货币市场基金</w:t>
      </w:r>
    </w:p>
    <w:p w:rsidP="00281564" w:rsidR="00B60E27" w:rsidRDefault="00B60E27" w:rsidRPr="001E1B20">
      <w:pPr>
        <w:spacing w:before="29" w:line="288" w:lineRule="auto"/>
        <w:jc w:val="center"/>
        <w:rPr>
          <w:b/>
          <w:sz w:val="36"/>
          <w:szCs w:val="36"/>
        </w:rPr>
      </w:pPr>
      <w:r w:rsidRPr="001E1B20">
        <w:rPr>
          <w:b/>
          <w:sz w:val="36"/>
          <w:szCs w:val="36"/>
        </w:rPr>
        <w:t>2019年第3季度报告</w:t>
      </w:r>
    </w:p>
    <w:p w:rsidP="00281564" w:rsidR="002B45A4" w:rsidRDefault="00D87D00" w:rsidRPr="001E1B20">
      <w:pPr>
        <w:spacing w:before="29" w:line="288" w:lineRule="auto"/>
        <w:jc w:val="center"/>
        <w:rPr>
          <w:b/>
          <w:sz w:val="36"/>
          <w:szCs w:val="36"/>
        </w:rPr>
      </w:pPr>
      <w:r w:rsidRPr="001E1B20">
        <w:rPr>
          <w:b/>
          <w:sz w:val="36"/>
          <w:szCs w:val="36"/>
        </w:rPr>
        <w:t>2019年9月30日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中国工商银行股份有限公司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二〇一九年十月二十二日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基金托管人中国工商银行股份有限公司根据本基金合同规定，于2019年10月21日复核了本报告中的财务指标、净值表现和投资组合报告等内容，保证复核内容不存在虚假记载、误导性陈述或者重大遗漏。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2016年12月20日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6,575,215,584.33</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交银天益宝货币A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交银天益宝货币E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003968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003969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6,557,902.23</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6,568,657,682.10</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(2019年7月1日-2019年9月30日)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交银天益宝货币A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交银天益宝货币E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93,106.37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35,835,574.06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93,106.37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35,835,574.06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6,557,902.23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6,568,657,682.10</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交银天益宝货币A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0.6235%</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0.5353%</w:t>
            </w:r>
          </w:p>
        </w:tc>
        <w:tc>
          <w:tcPr>
            <w:vAlign w:val="center"/>
          </w:tcPr>
          <w:p>
            <w:pPr>
              <w:jc w:val="center"/>
            </w:pPr>
            <w:r>
              <w:rPr>
                <w:rFonts w:ascii="Times New Roman" w:hAnsi="Times New Roman"/>
                <w:color w:val="000000"/>
              </w:rPr>
              <w:t>0.0010%</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交银天益宝货币E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0.6887%</w:t>
            </w:r>
          </w:p>
        </w:tc>
        <w:tc>
          <w:tcPr>
            <w:vAlign w:val="center"/>
          </w:tcPr>
          <w:p>
            <w:pPr>
              <w:jc w:val="center"/>
            </w:pPr>
            <w:r>
              <w:rPr>
                <w:rFonts w:ascii="Times New Roman" w:hAnsi="Times New Roman"/>
                <w:color w:val="000000"/>
              </w:rPr>
              <w:t>0.0012%</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0.6005%</w:t>
            </w:r>
          </w:p>
        </w:tc>
        <w:tc>
          <w:tcPr>
            <w:vAlign w:val="center"/>
          </w:tcPr>
          <w:p>
            <w:pPr>
              <w:jc w:val="center"/>
            </w:pPr>
            <w:r>
              <w:rPr>
                <w:rFonts w:ascii="Times New Roman" w:hAnsi="Times New Roman"/>
                <w:color w:val="000000"/>
              </w:rPr>
              <w:t>0.0012%</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交银施罗德天益宝货币市场基金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2016年12月20日</w:t>
      </w:r>
      <w:r w:rsidR="00A7219D" w:rsidRPr="000E4C40">
        <w:rPr>
          <w:rFonts w:hAnsi="宋体"/>
          <w:color w:val="000000"/>
          <w:kern w:val="0"/>
          <w:sz w:val="24"/>
        </w:rPr>
        <w:t>至</w:t>
      </w:r>
      <w:r w:rsidR="00A7219D" w:rsidRPr="000E4C40">
        <w:rPr>
          <w:color w:val="000000"/>
          <w:kern w:val="0"/>
          <w:sz w:val="24"/>
        </w:rPr>
        <w:t>2019年9月30日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交银天益宝货币A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交银天益宝货币E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交银理财60天债券、交银丰盈收益债券、交银丰润收益债券、交银活期通货币、交银天利宝货币、交银裕盈纯债债券、交银裕利纯债债券、交银裕隆纯债债券、交银天益宝货币、交银境尚收益债券的基金经理</w:t>
            </w:r>
          </w:p>
        </w:tc>
        <w:tc>
          <w:tcPr>
            <w:vAlign w:val="center"/>
          </w:tcPr>
          <w:p>
            <w:pPr>
              <w:jc w:val="center"/>
            </w:pPr>
            <w:r>
              <w:rPr>
                <w:color w:val="000000"/>
                <w:sz w:val="24"/>
              </w:rPr>
              <w:t>2016-12-20</w:t>
            </w:r>
          </w:p>
        </w:tc>
        <w:tc>
          <w:tcPr>
            <w:vAlign w:val="center"/>
          </w:tcPr>
          <w:p>
            <w:pPr>
              <w:jc w:val="center"/>
            </w:pPr>
            <w:r>
              <w:rPr>
                <w:color w:val="000000"/>
                <w:sz w:val="24"/>
              </w:rPr>
              <w:t>2019-09-30</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为了缓解个别银行信用风险暴露事件导致的市场资金面结构性紧张局面，央行向市场注入了较多短期流动性，七月初资金面较为宽松，隔夜回购利率一度下降至1%以下，之后随着资金的逐渐回笼，资金面开始边际收紧，资金价格也一路回升。虽然此间伴随LPR改革、央行降准、LPR利率下调，资金面依然处于一个紧平衡的状态，直到季度末前最后几个交易日才又转为相对宽松。受资金价格的影响，三个月的同业存单、同业存款等货币市场工具的收益率较上季度末小幅上行。总体来看，截止2019年9月25日，银行间隔夜加权利率R001上行86bp到2.41%，七天加权利率R007上行9bp到2.75%，三个月AAA级商业银行同业存单收益率上行35bp到2.7%。</w:t>
      </w:r>
    </w:p>
    <w:p>
      <w:pPr>
        <w:spacing w:before="29" w:line="288" w:lineRule="auto"/>
        <w:ind w:firstLine="480" w:firstLineChars="200"/>
        <w:rPr>
          <w:color w:val="000000"/>
          <w:sz w:val="24"/>
        </w:rPr>
      </w:pPr>
      <w:r>
        <w:rPr>
          <w:color w:val="000000"/>
          <w:sz w:val="24"/>
        </w:rPr>
        <w:t>基金操作方面，我们仍旧保持短久期的操作思路，适当运用杠杆增厚组合收益，多投资于估值波动较小的银行存款与回购等，组合整体流动性良好。九月末我们视组合流动性和市场情况，增配了高评级的同业存单、同业存款等，维持组合收益水平。</w:t>
      </w:r>
    </w:p>
    <w:p>
      <w:pPr>
        <w:spacing w:before="29" w:line="288" w:lineRule="auto"/>
        <w:ind w:firstLine="480" w:firstLineChars="200"/>
        <w:rPr>
          <w:color w:val="000000"/>
          <w:sz w:val="24"/>
        </w:rPr>
      </w:pPr>
      <w:r>
        <w:rPr>
          <w:color w:val="000000"/>
          <w:sz w:val="24"/>
        </w:rPr>
        <w:t>展望2019年四季度，我们认为我国货币政策工具手段较为充足，如果经济下行压力增大或者中美贸易冲突再度升级，货币政策在限制住地产融资之后，还有进一步宽松的空间。但是短期来看，在通胀和汇率掣肘之下，货币政策或将保持定力。考虑到年末或有专项债发行，以及海外发达经济体纷纷加码宽松，流动性收紧的概率也不大。预计在经济企稳之前，流动性总量将维持合理充裕。我们将密切关注通胀是否会超预期上行从而带来货币政策的边际变化，也将继续观察银行理财子公司的发展以及类货币型理财产品对行业生态的影响。</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2,578,764,405.72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36.88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2,548,764,405.72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36.45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0.43</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2,128,750,233.12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30.44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2,270,544,899.81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32.47</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14,303,885.14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0.20</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6,992,363,423.79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5.38</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415,004,127.49</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6.31</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58</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34</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32.56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6.31</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22.60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43.69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7.27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106.13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6.31</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89,643,846.30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1.36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250,029,259.60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3.80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250,029,259.60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3.80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529,821,319.07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8.06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1,679,269,980.75</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25.54</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2,548,764,405.72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38.76</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180410</w:t>
            </w:r>
          </w:p>
        </w:tc>
        <w:tc>
          <w:tcPr>
            <w:vAlign w:val="center"/>
          </w:tcPr>
          <w:p>
            <w:pPr>
              <w:jc w:val="center"/>
            </w:pPr>
            <w:r>
              <w:rPr>
                <w:color w:val="000000"/>
                <w:sz w:val="24"/>
              </w:rPr>
              <w:t>18农发10</w:t>
            </w:r>
          </w:p>
        </w:tc>
        <w:tc>
          <w:tcPr>
            <w:vAlign w:val="center"/>
          </w:tcPr>
          <w:p>
            <w:pPr>
              <w:jc w:val="right"/>
            </w:pPr>
            <w:r>
              <w:rPr>
                <w:color w:val="000000"/>
                <w:sz w:val="24"/>
              </w:rPr>
              <w:t>1,600,000</w:t>
            </w:r>
          </w:p>
        </w:tc>
        <w:tc>
          <w:tcPr>
            <w:vAlign w:val="center"/>
          </w:tcPr>
          <w:p>
            <w:pPr>
              <w:jc w:val="right"/>
            </w:pPr>
            <w:r>
              <w:rPr>
                <w:color w:val="000000"/>
                <w:sz w:val="24"/>
              </w:rPr>
              <w:t>160,021,451.66</w:t>
            </w:r>
          </w:p>
        </w:tc>
        <w:tc>
          <w:tcPr>
            <w:vAlign w:val="center"/>
          </w:tcPr>
          <w:p>
            <w:pPr>
              <w:jc w:val="right"/>
            </w:pPr>
            <w:r>
              <w:rPr>
                <w:color w:val="000000"/>
                <w:sz w:val="24"/>
              </w:rPr>
              <w:t>2.43</w:t>
            </w:r>
          </w:p>
        </w:tc>
      </w:tr>
      <w:tr>
        <w:tc>
          <w:tcPr>
            <w:vAlign w:val="center"/>
          </w:tcPr>
          <w:p>
            <w:pPr>
              <w:jc w:val="center"/>
            </w:pPr>
            <w:r>
              <w:rPr>
                <w:color w:val="000000"/>
                <w:sz w:val="24"/>
              </w:rPr>
              <w:t>2</w:t>
            </w:r>
          </w:p>
        </w:tc>
        <w:tc>
          <w:tcPr>
            <w:vAlign w:val="center"/>
          </w:tcPr>
          <w:p>
            <w:pPr>
              <w:jc w:val="center"/>
            </w:pPr>
            <w:r>
              <w:rPr>
                <w:color w:val="000000"/>
                <w:sz w:val="24"/>
              </w:rPr>
              <w:t>111987027</w:t>
            </w:r>
          </w:p>
        </w:tc>
        <w:tc>
          <w:tcPr>
            <w:vAlign w:val="center"/>
          </w:tcPr>
          <w:p>
            <w:pPr>
              <w:jc w:val="center"/>
            </w:pPr>
            <w:r>
              <w:rPr>
                <w:color w:val="000000"/>
                <w:sz w:val="24"/>
              </w:rPr>
              <w:t>19重庆农村商行CD200</w:t>
            </w:r>
          </w:p>
        </w:tc>
        <w:tc>
          <w:tcPr>
            <w:vAlign w:val="center"/>
          </w:tcPr>
          <w:p>
            <w:pPr>
              <w:jc w:val="right"/>
            </w:pPr>
            <w:r>
              <w:rPr>
                <w:color w:val="000000"/>
                <w:sz w:val="24"/>
              </w:rPr>
              <w:t>1,500,000</w:t>
            </w:r>
          </w:p>
        </w:tc>
        <w:tc>
          <w:tcPr>
            <w:vAlign w:val="center"/>
          </w:tcPr>
          <w:p>
            <w:pPr>
              <w:jc w:val="right"/>
            </w:pPr>
            <w:r>
              <w:rPr>
                <w:color w:val="000000"/>
                <w:sz w:val="24"/>
              </w:rPr>
              <w:t>149,234,861.49</w:t>
            </w:r>
          </w:p>
        </w:tc>
        <w:tc>
          <w:tcPr>
            <w:vAlign w:val="center"/>
          </w:tcPr>
          <w:p>
            <w:pPr>
              <w:jc w:val="right"/>
            </w:pPr>
            <w:r>
              <w:rPr>
                <w:color w:val="000000"/>
                <w:sz w:val="24"/>
              </w:rPr>
              <w:t>2.27</w:t>
            </w:r>
          </w:p>
        </w:tc>
      </w:tr>
      <w:tr>
        <w:tc>
          <w:tcPr>
            <w:vAlign w:val="center"/>
          </w:tcPr>
          <w:p>
            <w:pPr>
              <w:jc w:val="center"/>
            </w:pPr>
            <w:r>
              <w:rPr>
                <w:color w:val="000000"/>
                <w:sz w:val="24"/>
              </w:rPr>
              <w:t>3</w:t>
            </w:r>
          </w:p>
        </w:tc>
        <w:tc>
          <w:tcPr>
            <w:vAlign w:val="center"/>
          </w:tcPr>
          <w:p>
            <w:pPr>
              <w:jc w:val="center"/>
            </w:pPr>
            <w:r>
              <w:rPr>
                <w:color w:val="000000"/>
                <w:sz w:val="24"/>
              </w:rPr>
              <w:t>011901976</w:t>
            </w:r>
          </w:p>
        </w:tc>
        <w:tc>
          <w:tcPr>
            <w:vAlign w:val="center"/>
          </w:tcPr>
          <w:p>
            <w:pPr>
              <w:jc w:val="center"/>
            </w:pPr>
            <w:r>
              <w:rPr>
                <w:color w:val="000000"/>
                <w:sz w:val="24"/>
              </w:rPr>
              <w:t>19浙能源SCP008</w:t>
            </w:r>
          </w:p>
        </w:tc>
        <w:tc>
          <w:tcPr>
            <w:vAlign w:val="center"/>
          </w:tcPr>
          <w:p>
            <w:pPr>
              <w:jc w:val="right"/>
            </w:pPr>
            <w:r>
              <w:rPr>
                <w:color w:val="000000"/>
                <w:sz w:val="24"/>
              </w:rPr>
              <w:t>1,000,000</w:t>
            </w:r>
          </w:p>
        </w:tc>
        <w:tc>
          <w:tcPr>
            <w:vAlign w:val="center"/>
          </w:tcPr>
          <w:p>
            <w:pPr>
              <w:jc w:val="right"/>
            </w:pPr>
            <w:r>
              <w:rPr>
                <w:color w:val="000000"/>
                <w:sz w:val="24"/>
              </w:rPr>
              <w:t>99,952,082.44</w:t>
            </w:r>
          </w:p>
        </w:tc>
        <w:tc>
          <w:tcPr>
            <w:vAlign w:val="center"/>
          </w:tcPr>
          <w:p>
            <w:pPr>
              <w:jc w:val="right"/>
            </w:pPr>
            <w:r>
              <w:rPr>
                <w:color w:val="000000"/>
                <w:sz w:val="24"/>
              </w:rPr>
              <w:t>1.52</w:t>
            </w:r>
          </w:p>
        </w:tc>
      </w:tr>
      <w:tr>
        <w:tc>
          <w:tcPr>
            <w:vAlign w:val="center"/>
          </w:tcPr>
          <w:p>
            <w:pPr>
              <w:jc w:val="center"/>
            </w:pPr>
            <w:r>
              <w:rPr>
                <w:color w:val="000000"/>
                <w:sz w:val="24"/>
              </w:rPr>
              <w:t>4</w:t>
            </w:r>
          </w:p>
        </w:tc>
        <w:tc>
          <w:tcPr>
            <w:vAlign w:val="center"/>
          </w:tcPr>
          <w:p>
            <w:pPr>
              <w:jc w:val="center"/>
            </w:pPr>
            <w:r>
              <w:rPr>
                <w:color w:val="000000"/>
                <w:sz w:val="24"/>
              </w:rPr>
              <w:t>011902066</w:t>
            </w:r>
          </w:p>
        </w:tc>
        <w:tc>
          <w:tcPr>
            <w:vAlign w:val="center"/>
          </w:tcPr>
          <w:p>
            <w:pPr>
              <w:jc w:val="center"/>
            </w:pPr>
            <w:r>
              <w:rPr>
                <w:color w:val="000000"/>
                <w:sz w:val="24"/>
              </w:rPr>
              <w:t>19苏交通SCP021</w:t>
            </w:r>
          </w:p>
        </w:tc>
        <w:tc>
          <w:tcPr>
            <w:vAlign w:val="center"/>
          </w:tcPr>
          <w:p>
            <w:pPr>
              <w:jc w:val="right"/>
            </w:pPr>
            <w:r>
              <w:rPr>
                <w:color w:val="000000"/>
                <w:sz w:val="24"/>
              </w:rPr>
              <w:t>1,000,000</w:t>
            </w:r>
          </w:p>
        </w:tc>
        <w:tc>
          <w:tcPr>
            <w:vAlign w:val="center"/>
          </w:tcPr>
          <w:p>
            <w:pPr>
              <w:jc w:val="right"/>
            </w:pPr>
            <w:r>
              <w:rPr>
                <w:color w:val="000000"/>
                <w:sz w:val="24"/>
              </w:rPr>
              <w:t>99,922,869.20</w:t>
            </w:r>
          </w:p>
        </w:tc>
        <w:tc>
          <w:tcPr>
            <w:vAlign w:val="center"/>
          </w:tcPr>
          <w:p>
            <w:pPr>
              <w:jc w:val="right"/>
            </w:pPr>
            <w:r>
              <w:rPr>
                <w:color w:val="000000"/>
                <w:sz w:val="24"/>
              </w:rPr>
              <w:t>1.52</w:t>
            </w:r>
          </w:p>
        </w:tc>
      </w:tr>
      <w:tr>
        <w:tc>
          <w:tcPr>
            <w:vAlign w:val="center"/>
          </w:tcPr>
          <w:p>
            <w:pPr>
              <w:jc w:val="center"/>
            </w:pPr>
            <w:r>
              <w:rPr>
                <w:color w:val="000000"/>
                <w:sz w:val="24"/>
              </w:rPr>
              <w:t>5</w:t>
            </w:r>
          </w:p>
        </w:tc>
        <w:tc>
          <w:tcPr>
            <w:vAlign w:val="center"/>
          </w:tcPr>
          <w:p>
            <w:pPr>
              <w:jc w:val="center"/>
            </w:pPr>
            <w:r>
              <w:rPr>
                <w:color w:val="000000"/>
                <w:sz w:val="24"/>
              </w:rPr>
              <w:t>111986018</w:t>
            </w:r>
          </w:p>
        </w:tc>
        <w:tc>
          <w:tcPr>
            <w:vAlign w:val="center"/>
          </w:tcPr>
          <w:p>
            <w:pPr>
              <w:jc w:val="center"/>
            </w:pPr>
            <w:r>
              <w:rPr>
                <w:color w:val="000000"/>
                <w:sz w:val="24"/>
              </w:rPr>
              <w:t>19青岛农商行CD103</w:t>
            </w:r>
          </w:p>
        </w:tc>
        <w:tc>
          <w:tcPr>
            <w:vAlign w:val="center"/>
          </w:tcPr>
          <w:p>
            <w:pPr>
              <w:jc w:val="right"/>
            </w:pPr>
            <w:r>
              <w:rPr>
                <w:color w:val="000000"/>
                <w:sz w:val="24"/>
              </w:rPr>
              <w:t>1,000,000</w:t>
            </w:r>
          </w:p>
        </w:tc>
        <w:tc>
          <w:tcPr>
            <w:vAlign w:val="center"/>
          </w:tcPr>
          <w:p>
            <w:pPr>
              <w:jc w:val="right"/>
            </w:pPr>
            <w:r>
              <w:rPr>
                <w:color w:val="000000"/>
                <w:sz w:val="24"/>
              </w:rPr>
              <w:t>99,558,861.18</w:t>
            </w:r>
          </w:p>
        </w:tc>
        <w:tc>
          <w:tcPr>
            <w:vAlign w:val="center"/>
          </w:tcPr>
          <w:p>
            <w:pPr>
              <w:jc w:val="right"/>
            </w:pPr>
            <w:r>
              <w:rPr>
                <w:color w:val="000000"/>
                <w:sz w:val="24"/>
              </w:rPr>
              <w:t>1.51</w:t>
            </w:r>
          </w:p>
        </w:tc>
      </w:tr>
      <w:tr>
        <w:tc>
          <w:tcPr>
            <w:vAlign w:val="center"/>
          </w:tcPr>
          <w:p>
            <w:pPr>
              <w:jc w:val="center"/>
            </w:pPr>
            <w:r>
              <w:rPr>
                <w:color w:val="000000"/>
                <w:sz w:val="24"/>
              </w:rPr>
              <w:t>6</w:t>
            </w:r>
          </w:p>
        </w:tc>
        <w:tc>
          <w:tcPr>
            <w:vAlign w:val="center"/>
          </w:tcPr>
          <w:p>
            <w:pPr>
              <w:jc w:val="center"/>
            </w:pPr>
            <w:r>
              <w:rPr>
                <w:color w:val="000000"/>
                <w:sz w:val="24"/>
              </w:rPr>
              <w:t>111998810</w:t>
            </w:r>
          </w:p>
        </w:tc>
        <w:tc>
          <w:tcPr>
            <w:vAlign w:val="center"/>
          </w:tcPr>
          <w:p>
            <w:pPr>
              <w:jc w:val="center"/>
            </w:pPr>
            <w:r>
              <w:rPr>
                <w:color w:val="000000"/>
                <w:sz w:val="24"/>
              </w:rPr>
              <w:t>19东亚银行CD032</w:t>
            </w:r>
          </w:p>
        </w:tc>
        <w:tc>
          <w:tcPr>
            <w:vAlign w:val="center"/>
          </w:tcPr>
          <w:p>
            <w:pPr>
              <w:jc w:val="right"/>
            </w:pPr>
            <w:r>
              <w:rPr>
                <w:color w:val="000000"/>
                <w:sz w:val="24"/>
              </w:rPr>
              <w:t>1,000,000</w:t>
            </w:r>
          </w:p>
        </w:tc>
        <w:tc>
          <w:tcPr>
            <w:vAlign w:val="center"/>
          </w:tcPr>
          <w:p>
            <w:pPr>
              <w:jc w:val="right"/>
            </w:pPr>
            <w:r>
              <w:rPr>
                <w:color w:val="000000"/>
                <w:sz w:val="24"/>
              </w:rPr>
              <w:t>99,527,840.02</w:t>
            </w:r>
          </w:p>
        </w:tc>
        <w:tc>
          <w:tcPr>
            <w:vAlign w:val="center"/>
          </w:tcPr>
          <w:p>
            <w:pPr>
              <w:jc w:val="right"/>
            </w:pPr>
            <w:r>
              <w:rPr>
                <w:color w:val="000000"/>
                <w:sz w:val="24"/>
              </w:rPr>
              <w:t>1.51</w:t>
            </w:r>
          </w:p>
        </w:tc>
      </w:tr>
      <w:tr>
        <w:tc>
          <w:tcPr>
            <w:vAlign w:val="center"/>
          </w:tcPr>
          <w:p>
            <w:pPr>
              <w:jc w:val="center"/>
            </w:pPr>
            <w:r>
              <w:rPr>
                <w:color w:val="000000"/>
                <w:sz w:val="24"/>
              </w:rPr>
              <w:t>7</w:t>
            </w:r>
          </w:p>
        </w:tc>
        <w:tc>
          <w:tcPr>
            <w:vAlign w:val="center"/>
          </w:tcPr>
          <w:p>
            <w:pPr>
              <w:jc w:val="center"/>
            </w:pPr>
            <w:r>
              <w:rPr>
                <w:color w:val="000000"/>
                <w:sz w:val="24"/>
              </w:rPr>
              <w:t>111987215</w:t>
            </w:r>
          </w:p>
        </w:tc>
        <w:tc>
          <w:tcPr>
            <w:vAlign w:val="center"/>
          </w:tcPr>
          <w:p>
            <w:pPr>
              <w:jc w:val="center"/>
            </w:pPr>
            <w:r>
              <w:rPr>
                <w:color w:val="000000"/>
                <w:sz w:val="24"/>
              </w:rPr>
              <w:t>19兰州银行CD054</w:t>
            </w:r>
          </w:p>
        </w:tc>
        <w:tc>
          <w:tcPr>
            <w:vAlign w:val="center"/>
          </w:tcPr>
          <w:p>
            <w:pPr>
              <w:jc w:val="right"/>
            </w:pPr>
            <w:r>
              <w:rPr>
                <w:color w:val="000000"/>
                <w:sz w:val="24"/>
              </w:rPr>
              <w:t>1,000,000</w:t>
            </w:r>
          </w:p>
        </w:tc>
        <w:tc>
          <w:tcPr>
            <w:vAlign w:val="center"/>
          </w:tcPr>
          <w:p>
            <w:pPr>
              <w:jc w:val="right"/>
            </w:pPr>
            <w:r>
              <w:rPr>
                <w:color w:val="000000"/>
                <w:sz w:val="24"/>
              </w:rPr>
              <w:t>99,480,263.64</w:t>
            </w:r>
          </w:p>
        </w:tc>
        <w:tc>
          <w:tcPr>
            <w:vAlign w:val="center"/>
          </w:tcPr>
          <w:p>
            <w:pPr>
              <w:jc w:val="right"/>
            </w:pPr>
            <w:r>
              <w:rPr>
                <w:color w:val="000000"/>
                <w:sz w:val="24"/>
              </w:rPr>
              <w:t>1.51</w:t>
            </w:r>
          </w:p>
        </w:tc>
      </w:tr>
      <w:tr>
        <w:tc>
          <w:tcPr>
            <w:vAlign w:val="center"/>
          </w:tcPr>
          <w:p>
            <w:pPr>
              <w:jc w:val="center"/>
            </w:pPr>
            <w:r>
              <w:rPr>
                <w:color w:val="000000"/>
                <w:sz w:val="24"/>
              </w:rPr>
              <w:t>8</w:t>
            </w:r>
          </w:p>
        </w:tc>
        <w:tc>
          <w:tcPr>
            <w:vAlign w:val="center"/>
          </w:tcPr>
          <w:p>
            <w:pPr>
              <w:jc w:val="center"/>
            </w:pPr>
            <w:r>
              <w:rPr>
                <w:color w:val="000000"/>
                <w:sz w:val="24"/>
              </w:rPr>
              <w:t>111981072</w:t>
            </w:r>
          </w:p>
        </w:tc>
        <w:tc>
          <w:tcPr>
            <w:vAlign w:val="center"/>
          </w:tcPr>
          <w:p>
            <w:pPr>
              <w:jc w:val="center"/>
            </w:pPr>
            <w:r>
              <w:rPr>
                <w:color w:val="000000"/>
                <w:sz w:val="24"/>
              </w:rPr>
              <w:t>19广州农村商业银行CD077</w:t>
            </w:r>
          </w:p>
        </w:tc>
        <w:tc>
          <w:tcPr>
            <w:vAlign w:val="center"/>
          </w:tcPr>
          <w:p>
            <w:pPr>
              <w:jc w:val="right"/>
            </w:pPr>
            <w:r>
              <w:rPr>
                <w:color w:val="000000"/>
                <w:sz w:val="24"/>
              </w:rPr>
              <w:t>1,000,000</w:t>
            </w:r>
          </w:p>
        </w:tc>
        <w:tc>
          <w:tcPr>
            <w:vAlign w:val="center"/>
          </w:tcPr>
          <w:p>
            <w:pPr>
              <w:jc w:val="right"/>
            </w:pPr>
            <w:r>
              <w:rPr>
                <w:color w:val="000000"/>
                <w:sz w:val="24"/>
              </w:rPr>
              <w:t>99,356,303.43</w:t>
            </w:r>
          </w:p>
        </w:tc>
        <w:tc>
          <w:tcPr>
            <w:vAlign w:val="center"/>
          </w:tcPr>
          <w:p>
            <w:pPr>
              <w:jc w:val="right"/>
            </w:pPr>
            <w:r>
              <w:rPr>
                <w:color w:val="000000"/>
                <w:sz w:val="24"/>
              </w:rPr>
              <w:t>1.51</w:t>
            </w:r>
          </w:p>
        </w:tc>
      </w:tr>
      <w:tr>
        <w:tc>
          <w:tcPr>
            <w:vAlign w:val="center"/>
          </w:tcPr>
          <w:p>
            <w:pPr>
              <w:jc w:val="center"/>
            </w:pPr>
            <w:r>
              <w:rPr>
                <w:color w:val="000000"/>
                <w:sz w:val="24"/>
              </w:rPr>
              <w:t>9</w:t>
            </w:r>
          </w:p>
        </w:tc>
        <w:tc>
          <w:tcPr>
            <w:vAlign w:val="center"/>
          </w:tcPr>
          <w:p>
            <w:pPr>
              <w:jc w:val="center"/>
            </w:pPr>
            <w:r>
              <w:rPr>
                <w:color w:val="000000"/>
                <w:sz w:val="24"/>
              </w:rPr>
              <w:t>160215</w:t>
            </w:r>
          </w:p>
        </w:tc>
        <w:tc>
          <w:tcPr>
            <w:vAlign w:val="center"/>
          </w:tcPr>
          <w:p>
            <w:pPr>
              <w:jc w:val="center"/>
            </w:pPr>
            <w:r>
              <w:rPr>
                <w:color w:val="000000"/>
                <w:sz w:val="24"/>
              </w:rPr>
              <w:t>16国开15</w:t>
            </w:r>
          </w:p>
        </w:tc>
        <w:tc>
          <w:tcPr>
            <w:vAlign w:val="center"/>
          </w:tcPr>
          <w:p>
            <w:pPr>
              <w:jc w:val="right"/>
            </w:pPr>
            <w:r>
              <w:rPr>
                <w:color w:val="000000"/>
                <w:sz w:val="24"/>
              </w:rPr>
              <w:t>900,000</w:t>
            </w:r>
          </w:p>
        </w:tc>
        <w:tc>
          <w:tcPr>
            <w:vAlign w:val="center"/>
          </w:tcPr>
          <w:p>
            <w:pPr>
              <w:jc w:val="right"/>
            </w:pPr>
            <w:r>
              <w:rPr>
                <w:color w:val="000000"/>
                <w:sz w:val="24"/>
              </w:rPr>
              <w:t>90,007,807.94</w:t>
            </w:r>
          </w:p>
        </w:tc>
        <w:tc>
          <w:tcPr>
            <w:vAlign w:val="center"/>
          </w:tcPr>
          <w:p>
            <w:pPr>
              <w:jc w:val="right"/>
            </w:pPr>
            <w:r>
              <w:rPr>
                <w:color w:val="000000"/>
                <w:sz w:val="24"/>
              </w:rPr>
              <w:t>1.37</w:t>
            </w:r>
          </w:p>
        </w:tc>
      </w:tr>
      <w:tr>
        <w:tc>
          <w:tcPr>
            <w:vAlign w:val="center"/>
          </w:tcPr>
          <w:p>
            <w:pPr>
              <w:jc w:val="center"/>
            </w:pPr>
            <w:r>
              <w:rPr>
                <w:color w:val="000000"/>
                <w:sz w:val="24"/>
              </w:rPr>
              <w:t>10</w:t>
            </w:r>
          </w:p>
        </w:tc>
        <w:tc>
          <w:tcPr>
            <w:vAlign w:val="center"/>
          </w:tcPr>
          <w:p>
            <w:pPr>
              <w:jc w:val="center"/>
            </w:pPr>
            <w:r>
              <w:rPr>
                <w:color w:val="000000"/>
                <w:sz w:val="24"/>
              </w:rPr>
              <w:t>071900093</w:t>
            </w:r>
          </w:p>
        </w:tc>
        <w:tc>
          <w:tcPr>
            <w:vAlign w:val="center"/>
          </w:tcPr>
          <w:p>
            <w:pPr>
              <w:jc w:val="center"/>
            </w:pPr>
            <w:r>
              <w:rPr>
                <w:color w:val="000000"/>
                <w:sz w:val="24"/>
              </w:rPr>
              <w:t>19东方证券CP003</w:t>
            </w:r>
          </w:p>
        </w:tc>
        <w:tc>
          <w:tcPr>
            <w:vAlign w:val="center"/>
          </w:tcPr>
          <w:p>
            <w:pPr>
              <w:jc w:val="right"/>
            </w:pPr>
            <w:r>
              <w:rPr>
                <w:color w:val="000000"/>
                <w:sz w:val="24"/>
              </w:rPr>
              <w:t>800,000</w:t>
            </w:r>
          </w:p>
        </w:tc>
        <w:tc>
          <w:tcPr>
            <w:vAlign w:val="center"/>
          </w:tcPr>
          <w:p>
            <w:pPr>
              <w:jc w:val="right"/>
            </w:pPr>
            <w:r>
              <w:rPr>
                <w:color w:val="000000"/>
                <w:sz w:val="24"/>
              </w:rPr>
              <w:t>80,000,108.36</w:t>
            </w:r>
          </w:p>
        </w:tc>
        <w:tc>
          <w:tcPr>
            <w:vAlign w:val="center"/>
          </w:tcPr>
          <w:p>
            <w:pPr>
              <w:jc w:val="right"/>
            </w:pPr>
            <w:r>
              <w:rPr>
                <w:color w:val="000000"/>
                <w:sz w:val="24"/>
              </w:rPr>
              <w:t>1.22</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0.0536%</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0.0039%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0.0280%</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159531</w:t>
            </w:r>
          </w:p>
        </w:tc>
        <w:tc>
          <w:tcPr>
            <w:vAlign w:val="center"/>
          </w:tcPr>
          <w:p>
            <w:pPr>
              <w:jc w:val="center"/>
            </w:pPr>
            <w:r>
              <w:rPr>
                <w:color w:val="000000"/>
                <w:sz w:val="24"/>
              </w:rPr>
              <w:t>信泽04A1</w:t>
            </w:r>
          </w:p>
        </w:tc>
        <w:tc>
          <w:tcPr>
            <w:vAlign w:val="center"/>
          </w:tcPr>
          <w:p>
            <w:pPr>
              <w:jc w:val="right"/>
            </w:pPr>
            <w:r>
              <w:rPr>
                <w:color w:val="000000"/>
                <w:sz w:val="24"/>
              </w:rPr>
              <w:t>300,000</w:t>
            </w:r>
          </w:p>
        </w:tc>
        <w:tc>
          <w:tcPr>
            <w:vAlign w:val="center"/>
          </w:tcPr>
          <w:p>
            <w:pPr>
              <w:jc w:val="right"/>
            </w:pPr>
            <w:r>
              <w:rPr>
                <w:color w:val="000000"/>
                <w:sz w:val="24"/>
              </w:rPr>
              <w:t>29,997,000.00</w:t>
            </w:r>
          </w:p>
        </w:tc>
        <w:tc>
          <w:tcPr>
            <w:vAlign w:val="center"/>
          </w:tcPr>
          <w:p>
            <w:pPr>
              <w:jc w:val="right"/>
            </w:pPr>
            <w:r>
              <w:rPr>
                <w:color w:val="000000"/>
                <w:sz w:val="24"/>
              </w:rPr>
              <w:t>0.46</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14,003,760.14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300,000.00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125.00</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14,303,885.14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交银天益宝货币A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交银天益宝货币E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23,625,460.67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4,575,471,884.56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8,486,026.68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4,284,017,007.15</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25,553,585.12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2,290,831,209.61</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6,557,902.23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6,568,657,682.10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352,595.03</w:t>
            </w:r>
          </w:p>
        </w:tc>
        <w:tc>
          <w:tcPr>
            <w:vAlign w:val="center"/>
          </w:tcPr>
          <w:p>
            <w:pPr>
              <w:jc w:val="right"/>
            </w:pPr>
            <w:r>
              <w:rPr>
                <w:color w:val="000000"/>
                <w:sz w:val="24"/>
              </w:rPr>
              <w:t>352,595.03</w:t>
            </w:r>
          </w:p>
        </w:tc>
        <w:tc>
          <w:tcPr>
            <w:vAlign w:val="center"/>
          </w:tcPr>
          <w:p>
            <w:pPr>
              <w:jc w:val="center"/>
            </w:pPr>
            <w:r>
              <w:rPr>
                <w:color w:val="000000"/>
                <w:sz w:val="24"/>
              </w:rPr>
              <w:t>0.00%</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352,595.03</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352,595.03</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注：1、本基金管理人本报告期末持有本基金E类份额50,491,203.86份，占本基金期末E类基金总份额的0.77%，本基金管理人本报告期末持有本基金A类份额0.00份，占本基金期末A类基金总份额的0.00%。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1、中国证监会准予交银施罗德天益宝货币市场基金募集注册的文件； </w:t>
      </w:r>
    </w:p>
    <w:p>
      <w:pPr>
        <w:spacing w:before="29" w:line="288" w:lineRule="auto"/>
        <w:ind w:firstLine="480" w:firstLineChars="200"/>
        <w:rPr>
          <w:color w:val="000000"/>
          <w:sz w:val="24"/>
        </w:rPr>
      </w:pPr>
      <w:r>
        <w:rPr>
          <w:color w:val="000000"/>
          <w:sz w:val="24"/>
        </w:rPr>
        <w:t xml:space="preserve">2、《交银施罗德天益宝货币市场基金基金合同》； </w:t>
      </w:r>
    </w:p>
    <w:p>
      <w:pPr>
        <w:spacing w:before="29" w:line="288" w:lineRule="auto"/>
        <w:ind w:firstLine="480" w:firstLineChars="200"/>
        <w:rPr>
          <w:color w:val="000000"/>
          <w:sz w:val="24"/>
        </w:rPr>
      </w:pPr>
      <w:r>
        <w:rPr>
          <w:color w:val="000000"/>
          <w:sz w:val="24"/>
        </w:rPr>
        <w:t xml:space="preserve">3、《交银施罗德天益宝货币市场基金招募说明书》； </w:t>
      </w:r>
    </w:p>
    <w:p>
      <w:pPr>
        <w:spacing w:before="29" w:line="288" w:lineRule="auto"/>
        <w:ind w:firstLine="480" w:firstLineChars="200"/>
        <w:rPr>
          <w:color w:val="000000"/>
          <w:sz w:val="24"/>
        </w:rPr>
      </w:pPr>
      <w:r>
        <w:rPr>
          <w:color w:val="000000"/>
          <w:sz w:val="24"/>
        </w:rPr>
        <w:t xml:space="preserve">4、《交银施罗德天益宝货币市场基金托管协议》； </w:t>
      </w:r>
    </w:p>
    <w:p>
      <w:pPr>
        <w:spacing w:before="29" w:line="288" w:lineRule="auto"/>
        <w:ind w:firstLine="480" w:firstLineChars="200"/>
        <w:rPr>
          <w:color w:val="000000"/>
          <w:sz w:val="24"/>
        </w:rPr>
      </w:pPr>
      <w:r>
        <w:rPr>
          <w:color w:val="000000"/>
          <w:sz w:val="24"/>
        </w:rPr>
        <w:t xml:space="preserve">5、关于申请募集注册交银施罗德天益宝货币市场基金的法律意见书；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8、报告期内交银施罗德天益宝货币市场基金在指定报刊上各项公告的原稿。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交银施罗德天益宝货币市场基金2019年第3季度报告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