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bookmarkStart w:id="0" w:name="_GoBack"/>
            <w:bookmarkEnd w:id="0"/>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38,168,192.26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763728" w:rsidRDefault="00195071">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763728" w:rsidRDefault="00763728">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763728" w:rsidRDefault="00195071">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37,010,473.06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1,157,719.20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141,460.52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7,645.97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193,042.67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7,688.41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40,010,531.42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1,300,594.07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1.123</w:t>
            </w:r>
          </w:p>
        </w:tc>
      </w:tr>
    </w:tbl>
    <w:p w:rsidR="00763728" w:rsidRDefault="0019507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63728">
        <w:trPr>
          <w:jc w:val="center"/>
        </w:trPr>
        <w:tc>
          <w:tcPr>
            <w:tcW w:w="1266" w:type="dxa"/>
            <w:vAlign w:val="center"/>
          </w:tcPr>
          <w:p w:rsidR="00763728" w:rsidRDefault="00195071">
            <w:pPr>
              <w:jc w:val="left"/>
            </w:pPr>
            <w:r>
              <w:rPr>
                <w:color w:val="000000"/>
                <w:sz w:val="24"/>
              </w:rPr>
              <w:t>过去三个月</w:t>
            </w:r>
          </w:p>
        </w:tc>
        <w:tc>
          <w:tcPr>
            <w:tcW w:w="1267" w:type="dxa"/>
            <w:vAlign w:val="center"/>
          </w:tcPr>
          <w:p w:rsidR="00763728" w:rsidRDefault="00195071">
            <w:pPr>
              <w:jc w:val="center"/>
            </w:pPr>
            <w:r>
              <w:rPr>
                <w:color w:val="000000"/>
                <w:sz w:val="24"/>
              </w:rPr>
              <w:t>0.56%</w:t>
            </w:r>
          </w:p>
        </w:tc>
        <w:tc>
          <w:tcPr>
            <w:tcW w:w="1267" w:type="dxa"/>
            <w:vAlign w:val="center"/>
          </w:tcPr>
          <w:p w:rsidR="00763728" w:rsidRDefault="00195071">
            <w:pPr>
              <w:jc w:val="center"/>
            </w:pPr>
            <w:r>
              <w:rPr>
                <w:color w:val="000000"/>
                <w:sz w:val="24"/>
              </w:rPr>
              <w:t>0.04%</w:t>
            </w:r>
          </w:p>
        </w:tc>
        <w:tc>
          <w:tcPr>
            <w:tcW w:w="1267" w:type="dxa"/>
            <w:vAlign w:val="center"/>
          </w:tcPr>
          <w:p w:rsidR="00763728" w:rsidRDefault="00195071">
            <w:pPr>
              <w:jc w:val="center"/>
            </w:pPr>
            <w:r>
              <w:rPr>
                <w:color w:val="000000"/>
                <w:sz w:val="24"/>
              </w:rPr>
              <w:t>0.45%</w:t>
            </w:r>
          </w:p>
        </w:tc>
        <w:tc>
          <w:tcPr>
            <w:tcW w:w="1267" w:type="dxa"/>
            <w:vAlign w:val="center"/>
          </w:tcPr>
          <w:p w:rsidR="00763728" w:rsidRDefault="00195071">
            <w:pPr>
              <w:jc w:val="center"/>
            </w:pPr>
            <w:r>
              <w:rPr>
                <w:color w:val="000000"/>
                <w:sz w:val="24"/>
              </w:rPr>
              <w:t>0.04%</w:t>
            </w:r>
          </w:p>
        </w:tc>
        <w:tc>
          <w:tcPr>
            <w:tcW w:w="1267" w:type="dxa"/>
            <w:vAlign w:val="center"/>
          </w:tcPr>
          <w:p w:rsidR="00763728" w:rsidRDefault="00195071">
            <w:pPr>
              <w:jc w:val="center"/>
            </w:pPr>
            <w:r>
              <w:rPr>
                <w:color w:val="000000"/>
                <w:sz w:val="24"/>
              </w:rPr>
              <w:t>0.11%</w:t>
            </w:r>
          </w:p>
        </w:tc>
        <w:tc>
          <w:tcPr>
            <w:tcW w:w="1267" w:type="dxa"/>
            <w:vAlign w:val="center"/>
          </w:tcPr>
          <w:p w:rsidR="00763728" w:rsidRDefault="00195071">
            <w:pPr>
              <w:jc w:val="center"/>
            </w:pPr>
            <w:r>
              <w:rPr>
                <w:color w:val="000000"/>
                <w:sz w:val="24"/>
              </w:rPr>
              <w:t>0.00%</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63728">
        <w:trPr>
          <w:jc w:val="center"/>
        </w:trPr>
        <w:tc>
          <w:tcPr>
            <w:tcW w:w="1266" w:type="dxa"/>
            <w:vAlign w:val="center"/>
          </w:tcPr>
          <w:p w:rsidR="00763728" w:rsidRDefault="00195071">
            <w:pPr>
              <w:jc w:val="left"/>
            </w:pPr>
            <w:r>
              <w:rPr>
                <w:color w:val="000000"/>
                <w:sz w:val="24"/>
              </w:rPr>
              <w:t>过去三个月</w:t>
            </w:r>
          </w:p>
        </w:tc>
        <w:tc>
          <w:tcPr>
            <w:tcW w:w="1267" w:type="dxa"/>
            <w:vAlign w:val="center"/>
          </w:tcPr>
          <w:p w:rsidR="00763728" w:rsidRDefault="00195071">
            <w:pPr>
              <w:jc w:val="center"/>
            </w:pPr>
            <w:r>
              <w:rPr>
                <w:color w:val="000000"/>
                <w:sz w:val="24"/>
              </w:rPr>
              <w:t>0.54%</w:t>
            </w:r>
          </w:p>
        </w:tc>
        <w:tc>
          <w:tcPr>
            <w:tcW w:w="1267" w:type="dxa"/>
            <w:vAlign w:val="center"/>
          </w:tcPr>
          <w:p w:rsidR="00763728" w:rsidRDefault="00195071">
            <w:pPr>
              <w:jc w:val="center"/>
            </w:pPr>
            <w:r>
              <w:rPr>
                <w:color w:val="000000"/>
                <w:sz w:val="24"/>
              </w:rPr>
              <w:t>0.04%</w:t>
            </w:r>
          </w:p>
        </w:tc>
        <w:tc>
          <w:tcPr>
            <w:tcW w:w="1267" w:type="dxa"/>
            <w:vAlign w:val="center"/>
          </w:tcPr>
          <w:p w:rsidR="00763728" w:rsidRDefault="00195071">
            <w:pPr>
              <w:jc w:val="center"/>
            </w:pPr>
            <w:r>
              <w:rPr>
                <w:color w:val="000000"/>
                <w:sz w:val="24"/>
              </w:rPr>
              <w:t>0.45%</w:t>
            </w:r>
          </w:p>
        </w:tc>
        <w:tc>
          <w:tcPr>
            <w:tcW w:w="1267" w:type="dxa"/>
            <w:vAlign w:val="center"/>
          </w:tcPr>
          <w:p w:rsidR="00763728" w:rsidRDefault="00195071">
            <w:pPr>
              <w:jc w:val="center"/>
            </w:pPr>
            <w:r>
              <w:rPr>
                <w:color w:val="000000"/>
                <w:sz w:val="24"/>
              </w:rPr>
              <w:t>0.04%</w:t>
            </w:r>
          </w:p>
        </w:tc>
        <w:tc>
          <w:tcPr>
            <w:tcW w:w="1267" w:type="dxa"/>
            <w:vAlign w:val="center"/>
          </w:tcPr>
          <w:p w:rsidR="00763728" w:rsidRDefault="00195071">
            <w:pPr>
              <w:jc w:val="center"/>
            </w:pPr>
            <w:r>
              <w:rPr>
                <w:color w:val="000000"/>
                <w:sz w:val="24"/>
              </w:rPr>
              <w:t>0.09%</w:t>
            </w:r>
          </w:p>
        </w:tc>
        <w:tc>
          <w:tcPr>
            <w:tcW w:w="1267" w:type="dxa"/>
            <w:vAlign w:val="center"/>
          </w:tcPr>
          <w:p w:rsidR="00763728" w:rsidRDefault="00195071">
            <w:pPr>
              <w:jc w:val="center"/>
            </w:pPr>
            <w:r>
              <w:rPr>
                <w:color w:val="000000"/>
                <w:sz w:val="24"/>
              </w:rPr>
              <w:t>0.00%</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63728">
        <w:trPr>
          <w:jc w:val="center"/>
        </w:trPr>
        <w:tc>
          <w:tcPr>
            <w:tcW w:w="946" w:type="dxa"/>
            <w:vAlign w:val="center"/>
          </w:tcPr>
          <w:p w:rsidR="00763728" w:rsidRDefault="00195071">
            <w:pPr>
              <w:jc w:val="center"/>
            </w:pPr>
            <w:r>
              <w:rPr>
                <w:color w:val="000000"/>
                <w:sz w:val="24"/>
              </w:rPr>
              <w:t>连端清</w:t>
            </w:r>
          </w:p>
        </w:tc>
        <w:tc>
          <w:tcPr>
            <w:tcW w:w="924" w:type="dxa"/>
            <w:vAlign w:val="center"/>
          </w:tcPr>
          <w:p w:rsidR="00763728" w:rsidRDefault="00195071">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02" w:type="dxa"/>
            <w:vAlign w:val="center"/>
          </w:tcPr>
          <w:p w:rsidR="00763728" w:rsidRDefault="00195071">
            <w:pPr>
              <w:jc w:val="center"/>
            </w:pPr>
            <w:r>
              <w:rPr>
                <w:color w:val="000000"/>
                <w:sz w:val="24"/>
              </w:rPr>
              <w:t>2015-08-04</w:t>
            </w:r>
          </w:p>
        </w:tc>
        <w:tc>
          <w:tcPr>
            <w:tcW w:w="1300" w:type="dxa"/>
            <w:vAlign w:val="center"/>
          </w:tcPr>
          <w:p w:rsidR="00763728" w:rsidRDefault="00195071">
            <w:pPr>
              <w:jc w:val="center"/>
            </w:pPr>
            <w:r>
              <w:rPr>
                <w:color w:val="000000"/>
                <w:sz w:val="24"/>
              </w:rPr>
              <w:t>-</w:t>
            </w:r>
          </w:p>
        </w:tc>
        <w:tc>
          <w:tcPr>
            <w:tcW w:w="1245" w:type="dxa"/>
            <w:vAlign w:val="center"/>
          </w:tcPr>
          <w:p w:rsidR="00763728" w:rsidRDefault="00195071">
            <w:pPr>
              <w:jc w:val="center"/>
            </w:pPr>
            <w:r>
              <w:rPr>
                <w:color w:val="000000"/>
                <w:sz w:val="24"/>
              </w:rPr>
              <w:t>6</w:t>
            </w:r>
            <w:r>
              <w:rPr>
                <w:color w:val="000000"/>
                <w:sz w:val="24"/>
              </w:rPr>
              <w:t>年</w:t>
            </w:r>
          </w:p>
        </w:tc>
        <w:tc>
          <w:tcPr>
            <w:tcW w:w="3251" w:type="dxa"/>
            <w:vAlign w:val="center"/>
          </w:tcPr>
          <w:p w:rsidR="00763728" w:rsidRDefault="0019507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lastRenderedPageBreak/>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r w:rsidR="00763728">
        <w:trPr>
          <w:jc w:val="center"/>
        </w:trPr>
        <w:tc>
          <w:tcPr>
            <w:tcW w:w="946" w:type="dxa"/>
            <w:vAlign w:val="center"/>
          </w:tcPr>
          <w:p w:rsidR="00763728" w:rsidRDefault="00195071">
            <w:pPr>
              <w:jc w:val="center"/>
            </w:pPr>
            <w:r>
              <w:rPr>
                <w:color w:val="000000"/>
                <w:sz w:val="24"/>
              </w:rPr>
              <w:lastRenderedPageBreak/>
              <w:t>于海颖</w:t>
            </w:r>
          </w:p>
        </w:tc>
        <w:tc>
          <w:tcPr>
            <w:tcW w:w="924" w:type="dxa"/>
            <w:vAlign w:val="center"/>
          </w:tcPr>
          <w:p w:rsidR="00763728" w:rsidRDefault="00195071">
            <w:pPr>
              <w:jc w:val="center"/>
            </w:pPr>
            <w:r>
              <w:rPr>
                <w:color w:val="000000"/>
                <w:sz w:val="24"/>
              </w:rPr>
              <w:t>交银增利债券、交银纯债债券发起、交银丰盈收益债券、交银丰晟收益债券、交银裕如纯债债券的基金经理，公司固定收益（公募）投资总监</w:t>
            </w:r>
          </w:p>
        </w:tc>
        <w:tc>
          <w:tcPr>
            <w:tcW w:w="1202" w:type="dxa"/>
            <w:vAlign w:val="center"/>
          </w:tcPr>
          <w:p w:rsidR="00763728" w:rsidRDefault="00195071">
            <w:pPr>
              <w:jc w:val="center"/>
            </w:pPr>
            <w:r>
              <w:rPr>
                <w:color w:val="000000"/>
                <w:sz w:val="24"/>
              </w:rPr>
              <w:t>2016-12-29</w:t>
            </w:r>
          </w:p>
        </w:tc>
        <w:tc>
          <w:tcPr>
            <w:tcW w:w="1300" w:type="dxa"/>
            <w:vAlign w:val="center"/>
          </w:tcPr>
          <w:p w:rsidR="00763728" w:rsidRDefault="00195071">
            <w:pPr>
              <w:jc w:val="center"/>
            </w:pPr>
            <w:r>
              <w:rPr>
                <w:color w:val="000000"/>
                <w:sz w:val="24"/>
              </w:rPr>
              <w:t>-</w:t>
            </w:r>
          </w:p>
        </w:tc>
        <w:tc>
          <w:tcPr>
            <w:tcW w:w="1245" w:type="dxa"/>
            <w:vAlign w:val="center"/>
          </w:tcPr>
          <w:p w:rsidR="00763728" w:rsidRDefault="00195071">
            <w:pPr>
              <w:jc w:val="center"/>
            </w:pPr>
            <w:r>
              <w:rPr>
                <w:color w:val="000000"/>
                <w:sz w:val="24"/>
              </w:rPr>
              <w:t>13</w:t>
            </w:r>
            <w:r>
              <w:rPr>
                <w:color w:val="000000"/>
                <w:sz w:val="24"/>
              </w:rPr>
              <w:t>年</w:t>
            </w:r>
          </w:p>
        </w:tc>
        <w:tc>
          <w:tcPr>
            <w:tcW w:w="3251" w:type="dxa"/>
            <w:vAlign w:val="center"/>
          </w:tcPr>
          <w:p w:rsidR="00763728" w:rsidRDefault="00195071">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w:t>
            </w:r>
            <w:r>
              <w:rPr>
                <w:color w:val="000000"/>
                <w:sz w:val="24"/>
              </w:rPr>
              <w:lastRenderedPageBreak/>
              <w:t>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w:t>
            </w:r>
            <w:r>
              <w:rPr>
                <w:color w:val="000000"/>
                <w:sz w:val="24"/>
              </w:rPr>
              <w:t>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bl>
    <w:p w:rsidR="00763728" w:rsidRDefault="00195071">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763728" w:rsidRDefault="0019507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763728" w:rsidRDefault="0019507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63728" w:rsidRDefault="00195071">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63728" w:rsidRDefault="0019507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63728" w:rsidRDefault="00195071">
      <w:pPr>
        <w:spacing w:before="29" w:line="288" w:lineRule="auto"/>
        <w:ind w:firstLineChars="200" w:firstLine="480"/>
        <w:rPr>
          <w:color w:val="000000"/>
          <w:sz w:val="24"/>
        </w:rPr>
      </w:pPr>
      <w:r>
        <w:rPr>
          <w:color w:val="000000"/>
          <w:sz w:val="24"/>
        </w:rPr>
        <w:t>2019</w:t>
      </w:r>
      <w:r>
        <w:rPr>
          <w:color w:val="000000"/>
          <w:sz w:val="24"/>
        </w:rPr>
        <w:t>年三季度，国内经济继续放缓。受中美贸易战硝烟再起及美欧等发达经济体衰退预期加强等影响，三季度中采制造业</w:t>
      </w:r>
      <w:r>
        <w:rPr>
          <w:color w:val="000000"/>
          <w:sz w:val="24"/>
        </w:rPr>
        <w:t>PMI</w:t>
      </w:r>
      <w:r>
        <w:rPr>
          <w:color w:val="000000"/>
          <w:sz w:val="24"/>
        </w:rPr>
        <w:t>依然在荣枯线以下。三季度尽管基建投资略有回升，但是受制造业</w:t>
      </w:r>
      <w:r>
        <w:rPr>
          <w:color w:val="000000"/>
          <w:sz w:val="24"/>
        </w:rPr>
        <w:t>FAI</w:t>
      </w:r>
      <w:r>
        <w:rPr>
          <w:color w:val="000000"/>
          <w:sz w:val="24"/>
        </w:rPr>
        <w:t>持续下行且房地产</w:t>
      </w:r>
      <w:r>
        <w:rPr>
          <w:color w:val="000000"/>
          <w:sz w:val="24"/>
        </w:rPr>
        <w:t>FAI</w:t>
      </w:r>
      <w:r>
        <w:rPr>
          <w:color w:val="000000"/>
          <w:sz w:val="24"/>
        </w:rPr>
        <w:t>高位下行影响，</w:t>
      </w:r>
      <w:r>
        <w:rPr>
          <w:color w:val="000000"/>
          <w:sz w:val="24"/>
        </w:rPr>
        <w:t>FAI</w:t>
      </w:r>
      <w:r>
        <w:rPr>
          <w:color w:val="000000"/>
          <w:sz w:val="24"/>
        </w:rPr>
        <w:t>同比增速继续下行承压。受汽车销售降幅扩大等影响，</w:t>
      </w:r>
      <w:r>
        <w:rPr>
          <w:color w:val="000000"/>
          <w:sz w:val="24"/>
        </w:rPr>
        <w:t>7-8</w:t>
      </w:r>
      <w:r>
        <w:rPr>
          <w:color w:val="000000"/>
          <w:sz w:val="24"/>
        </w:rPr>
        <w:t>月社会消费品零售同比增速降至低位。</w:t>
      </w:r>
      <w:r>
        <w:rPr>
          <w:color w:val="000000"/>
          <w:sz w:val="24"/>
        </w:rPr>
        <w:t>7-8</w:t>
      </w:r>
      <w:r>
        <w:rPr>
          <w:color w:val="000000"/>
          <w:sz w:val="24"/>
        </w:rPr>
        <w:t>月</w:t>
      </w:r>
      <w:r>
        <w:rPr>
          <w:color w:val="000000"/>
          <w:sz w:val="24"/>
        </w:rPr>
        <w:t>PPI</w:t>
      </w:r>
      <w:r>
        <w:rPr>
          <w:color w:val="000000"/>
          <w:sz w:val="24"/>
        </w:rPr>
        <w:t>同比在三年后再次步入负增长状态，但是受猪肉与鲜果等大幅上涨推动，</w:t>
      </w:r>
      <w:r>
        <w:rPr>
          <w:color w:val="000000"/>
          <w:sz w:val="24"/>
        </w:rPr>
        <w:t>CPI</w:t>
      </w:r>
      <w:r>
        <w:rPr>
          <w:color w:val="000000"/>
          <w:sz w:val="24"/>
        </w:rPr>
        <w:t>持续攀升。三季度中美贸易战曾一度升级，但九月有所缓和。货币政策上，受经济下行与中美贸易战不确定性等影响，央行加强逆周期</w:t>
      </w:r>
      <w:r>
        <w:rPr>
          <w:color w:val="000000"/>
          <w:sz w:val="24"/>
        </w:rPr>
        <w:t>调节力度，</w:t>
      </w:r>
      <w:r>
        <w:rPr>
          <w:color w:val="000000"/>
          <w:sz w:val="24"/>
        </w:rPr>
        <w:t xml:space="preserve"> </w:t>
      </w:r>
      <w:r>
        <w:rPr>
          <w:color w:val="000000"/>
          <w:sz w:val="24"/>
        </w:rPr>
        <w:t>九月上旬宣布全面降准</w:t>
      </w:r>
      <w:r>
        <w:rPr>
          <w:color w:val="000000"/>
          <w:sz w:val="24"/>
        </w:rPr>
        <w:t>0.5</w:t>
      </w:r>
      <w:r>
        <w:rPr>
          <w:color w:val="000000"/>
          <w:sz w:val="24"/>
        </w:rPr>
        <w:t>个百分点且定向降准</w:t>
      </w:r>
      <w:r>
        <w:rPr>
          <w:color w:val="000000"/>
          <w:sz w:val="24"/>
        </w:rPr>
        <w:t>1</w:t>
      </w:r>
      <w:r>
        <w:rPr>
          <w:color w:val="000000"/>
          <w:sz w:val="24"/>
        </w:rPr>
        <w:t>个百分点，努力疏通货币传导机制，八月人行宣布改革完善贷款市场报价利率（</w:t>
      </w:r>
      <w:r>
        <w:rPr>
          <w:color w:val="000000"/>
          <w:sz w:val="24"/>
        </w:rPr>
        <w:t>LPR</w:t>
      </w:r>
      <w:r>
        <w:rPr>
          <w:color w:val="000000"/>
          <w:sz w:val="24"/>
        </w:rPr>
        <w:t>）形成机制。</w:t>
      </w:r>
    </w:p>
    <w:p w:rsidR="00763728" w:rsidRDefault="00195071">
      <w:pPr>
        <w:spacing w:before="29" w:line="288" w:lineRule="auto"/>
        <w:ind w:firstLineChars="200" w:firstLine="480"/>
        <w:rPr>
          <w:color w:val="000000"/>
          <w:sz w:val="24"/>
        </w:rPr>
      </w:pPr>
      <w:r>
        <w:rPr>
          <w:color w:val="000000"/>
          <w:sz w:val="24"/>
        </w:rPr>
        <w:t>资金面上，三季度央行加强了公开市场回笼力度，维护货币市场资金面稳定，银行间货币市场资金面除九月中下旬有些趋紧之外，大部分交易日保持相对宽松格局，但三季度货币市场资金价格较二季度显著上涨。三季度存单与存款收益率中枢继续下移。三季度债市处于先上涨后回调的震荡格局。受经济下行预期增强及中美贸易战不确定性上升等影响，七月至八月中旬债市一路上涨，但随后货币政策宽松不及市场</w:t>
      </w:r>
      <w:r>
        <w:rPr>
          <w:color w:val="000000"/>
          <w:sz w:val="24"/>
        </w:rPr>
        <w:t>预期，八月中下旬开始债市进入回调状态。</w:t>
      </w:r>
    </w:p>
    <w:p w:rsidR="00763728" w:rsidRDefault="00195071">
      <w:pPr>
        <w:spacing w:before="29" w:line="288" w:lineRule="auto"/>
        <w:ind w:firstLineChars="200" w:firstLine="480"/>
        <w:rPr>
          <w:color w:val="000000"/>
          <w:sz w:val="24"/>
        </w:rPr>
      </w:pPr>
      <w:r>
        <w:rPr>
          <w:color w:val="000000"/>
          <w:sz w:val="24"/>
        </w:rPr>
        <w:t>基金操作方面，报告期内本基金保持流动性以期满足基金份额持有人潜在赎回需求，同时择机调整组合杠杆与久期，为持有人创造稳健的回报。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展望</w:t>
      </w:r>
      <w:r w:rsidRPr="007F52FA">
        <w:rPr>
          <w:color w:val="000000"/>
          <w:sz w:val="24"/>
        </w:rPr>
        <w:t>2019</w:t>
      </w:r>
      <w:r w:rsidRPr="007F52FA">
        <w:rPr>
          <w:color w:val="000000"/>
          <w:sz w:val="24"/>
        </w:rPr>
        <w:t>年四季度，国内经济继续放缓风险依然存在，但是考虑稳增长与逆周期调节政策的逐步推进等因素，边际放缓幅度可能趋于收敛。我们推测短期内人行货币政策将维持中性偏松，保持逆周期调节作用。我们将密切关注中美贸易谈判的进展以及中央经济政策动态。组合管理方面，本基金将紧密跟踪研判宏观经济走势与央行货币政策操作，管控风险，积极跟踪把握市场机会，努力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37,955,284.10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72.28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37,955,284.10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72.28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11,760,137.64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2,427,241.18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371,743.87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52,514,406.79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4,927,660.00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33,027,624.10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79.95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33,027,624.10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79.95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37,955,284.10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w:t>
            </w:r>
            <w:r w:rsidRPr="007F52FA">
              <w:rPr>
                <w:color w:val="000000"/>
                <w:kern w:val="0"/>
                <w:sz w:val="24"/>
              </w:rPr>
              <w:lastRenderedPageBreak/>
              <w:t>产净值比</w:t>
            </w:r>
            <w:r w:rsidR="00334656" w:rsidRPr="007F52FA">
              <w:rPr>
                <w:color w:val="000000"/>
                <w:kern w:val="0"/>
                <w:sz w:val="24"/>
              </w:rPr>
              <w:t>例</w:t>
            </w:r>
            <w:r w:rsidRPr="007F52FA">
              <w:rPr>
                <w:color w:val="000000"/>
                <w:kern w:val="0"/>
                <w:sz w:val="24"/>
              </w:rPr>
              <w:t>（％）</w:t>
            </w:r>
          </w:p>
        </w:tc>
      </w:tr>
      <w:tr w:rsidR="00763728">
        <w:trPr>
          <w:jc w:val="center"/>
        </w:trPr>
        <w:tc>
          <w:tcPr>
            <w:tcW w:w="1075" w:type="dxa"/>
            <w:vAlign w:val="center"/>
          </w:tcPr>
          <w:p w:rsidR="00763728" w:rsidRDefault="00195071">
            <w:pPr>
              <w:jc w:val="center"/>
            </w:pPr>
            <w:r>
              <w:rPr>
                <w:color w:val="000000"/>
                <w:sz w:val="24"/>
              </w:rPr>
              <w:lastRenderedPageBreak/>
              <w:t>1</w:t>
            </w:r>
          </w:p>
        </w:tc>
        <w:tc>
          <w:tcPr>
            <w:tcW w:w="1533" w:type="dxa"/>
            <w:vAlign w:val="center"/>
          </w:tcPr>
          <w:p w:rsidR="00763728" w:rsidRDefault="00195071">
            <w:pPr>
              <w:jc w:val="center"/>
            </w:pPr>
            <w:r>
              <w:rPr>
                <w:color w:val="000000"/>
                <w:sz w:val="24"/>
              </w:rPr>
              <w:t>190207</w:t>
            </w:r>
          </w:p>
        </w:tc>
        <w:tc>
          <w:tcPr>
            <w:tcW w:w="1533" w:type="dxa"/>
            <w:vAlign w:val="center"/>
          </w:tcPr>
          <w:p w:rsidR="00763728" w:rsidRDefault="00195071">
            <w:pPr>
              <w:jc w:val="center"/>
            </w:pPr>
            <w:r>
              <w:rPr>
                <w:color w:val="000000"/>
                <w:sz w:val="24"/>
              </w:rPr>
              <w:t>19</w:t>
            </w:r>
            <w:r>
              <w:rPr>
                <w:color w:val="000000"/>
                <w:sz w:val="24"/>
              </w:rPr>
              <w:t>国开</w:t>
            </w:r>
            <w:r>
              <w:rPr>
                <w:color w:val="000000"/>
                <w:sz w:val="24"/>
              </w:rPr>
              <w:t>07</w:t>
            </w:r>
          </w:p>
        </w:tc>
        <w:tc>
          <w:tcPr>
            <w:tcW w:w="1394" w:type="dxa"/>
            <w:vAlign w:val="center"/>
          </w:tcPr>
          <w:p w:rsidR="00763728" w:rsidRDefault="00195071">
            <w:pPr>
              <w:jc w:val="right"/>
            </w:pPr>
            <w:r>
              <w:rPr>
                <w:color w:val="000000"/>
                <w:sz w:val="24"/>
              </w:rPr>
              <w:t>200,000</w:t>
            </w:r>
          </w:p>
        </w:tc>
        <w:tc>
          <w:tcPr>
            <w:tcW w:w="1944" w:type="dxa"/>
            <w:vAlign w:val="center"/>
          </w:tcPr>
          <w:p w:rsidR="00763728" w:rsidRDefault="00195071">
            <w:pPr>
              <w:jc w:val="right"/>
            </w:pPr>
            <w:r>
              <w:rPr>
                <w:color w:val="000000"/>
                <w:sz w:val="24"/>
              </w:rPr>
              <w:t>20,062,000.00</w:t>
            </w:r>
          </w:p>
        </w:tc>
        <w:tc>
          <w:tcPr>
            <w:tcW w:w="1389" w:type="dxa"/>
            <w:vAlign w:val="center"/>
          </w:tcPr>
          <w:p w:rsidR="00763728" w:rsidRDefault="00195071">
            <w:pPr>
              <w:jc w:val="right"/>
            </w:pPr>
            <w:r>
              <w:rPr>
                <w:color w:val="000000"/>
                <w:sz w:val="24"/>
              </w:rPr>
              <w:t>48.56</w:t>
            </w:r>
          </w:p>
        </w:tc>
      </w:tr>
      <w:tr w:rsidR="00763728">
        <w:trPr>
          <w:jc w:val="center"/>
        </w:trPr>
        <w:tc>
          <w:tcPr>
            <w:tcW w:w="1075" w:type="dxa"/>
            <w:vAlign w:val="center"/>
          </w:tcPr>
          <w:p w:rsidR="00763728" w:rsidRDefault="00195071">
            <w:pPr>
              <w:jc w:val="center"/>
            </w:pPr>
            <w:r>
              <w:rPr>
                <w:color w:val="000000"/>
                <w:sz w:val="24"/>
              </w:rPr>
              <w:t>2</w:t>
            </w:r>
          </w:p>
        </w:tc>
        <w:tc>
          <w:tcPr>
            <w:tcW w:w="1533" w:type="dxa"/>
            <w:vAlign w:val="center"/>
          </w:tcPr>
          <w:p w:rsidR="00763728" w:rsidRDefault="00195071">
            <w:pPr>
              <w:jc w:val="center"/>
            </w:pPr>
            <w:r>
              <w:rPr>
                <w:color w:val="000000"/>
                <w:sz w:val="24"/>
              </w:rPr>
              <w:t>018007</w:t>
            </w:r>
          </w:p>
        </w:tc>
        <w:tc>
          <w:tcPr>
            <w:tcW w:w="1533" w:type="dxa"/>
            <w:vAlign w:val="center"/>
          </w:tcPr>
          <w:p w:rsidR="00763728" w:rsidRDefault="00195071">
            <w:pPr>
              <w:jc w:val="center"/>
            </w:pPr>
            <w:r>
              <w:rPr>
                <w:color w:val="000000"/>
                <w:sz w:val="24"/>
              </w:rPr>
              <w:t>国开</w:t>
            </w:r>
            <w:r>
              <w:rPr>
                <w:color w:val="000000"/>
                <w:sz w:val="24"/>
              </w:rPr>
              <w:t>1801</w:t>
            </w:r>
          </w:p>
        </w:tc>
        <w:tc>
          <w:tcPr>
            <w:tcW w:w="1394" w:type="dxa"/>
            <w:vAlign w:val="center"/>
          </w:tcPr>
          <w:p w:rsidR="00763728" w:rsidRDefault="00195071">
            <w:pPr>
              <w:jc w:val="right"/>
            </w:pPr>
            <w:r>
              <w:rPr>
                <w:color w:val="000000"/>
                <w:sz w:val="24"/>
              </w:rPr>
              <w:t>101,800</w:t>
            </w:r>
          </w:p>
        </w:tc>
        <w:tc>
          <w:tcPr>
            <w:tcW w:w="1944" w:type="dxa"/>
            <w:vAlign w:val="center"/>
          </w:tcPr>
          <w:p w:rsidR="00763728" w:rsidRDefault="00195071">
            <w:pPr>
              <w:jc w:val="right"/>
            </w:pPr>
            <w:r>
              <w:rPr>
                <w:color w:val="000000"/>
                <w:sz w:val="24"/>
              </w:rPr>
              <w:t>10,302,160.00</w:t>
            </w:r>
          </w:p>
        </w:tc>
        <w:tc>
          <w:tcPr>
            <w:tcW w:w="1389" w:type="dxa"/>
            <w:vAlign w:val="center"/>
          </w:tcPr>
          <w:p w:rsidR="00763728" w:rsidRDefault="00195071">
            <w:pPr>
              <w:jc w:val="right"/>
            </w:pPr>
            <w:r>
              <w:rPr>
                <w:color w:val="000000"/>
                <w:sz w:val="24"/>
              </w:rPr>
              <w:t>24.94</w:t>
            </w:r>
          </w:p>
        </w:tc>
      </w:tr>
      <w:tr w:rsidR="00763728">
        <w:trPr>
          <w:jc w:val="center"/>
        </w:trPr>
        <w:tc>
          <w:tcPr>
            <w:tcW w:w="1075" w:type="dxa"/>
            <w:vAlign w:val="center"/>
          </w:tcPr>
          <w:p w:rsidR="00763728" w:rsidRDefault="00195071">
            <w:pPr>
              <w:jc w:val="center"/>
            </w:pPr>
            <w:r>
              <w:rPr>
                <w:color w:val="000000"/>
                <w:sz w:val="24"/>
              </w:rPr>
              <w:t>3</w:t>
            </w:r>
          </w:p>
        </w:tc>
        <w:tc>
          <w:tcPr>
            <w:tcW w:w="1533" w:type="dxa"/>
            <w:vAlign w:val="center"/>
          </w:tcPr>
          <w:p w:rsidR="00763728" w:rsidRDefault="00195071">
            <w:pPr>
              <w:jc w:val="center"/>
            </w:pPr>
            <w:r>
              <w:rPr>
                <w:color w:val="000000"/>
                <w:sz w:val="24"/>
              </w:rPr>
              <w:t>010107</w:t>
            </w:r>
          </w:p>
        </w:tc>
        <w:tc>
          <w:tcPr>
            <w:tcW w:w="1533" w:type="dxa"/>
            <w:vAlign w:val="center"/>
          </w:tcPr>
          <w:p w:rsidR="00763728" w:rsidRDefault="00195071">
            <w:pPr>
              <w:jc w:val="center"/>
            </w:pPr>
            <w:r>
              <w:rPr>
                <w:color w:val="000000"/>
                <w:sz w:val="24"/>
              </w:rPr>
              <w:t>21</w:t>
            </w:r>
            <w:r>
              <w:rPr>
                <w:color w:val="000000"/>
                <w:sz w:val="24"/>
              </w:rPr>
              <w:t>国债</w:t>
            </w:r>
            <w:r>
              <w:rPr>
                <w:color w:val="000000"/>
                <w:sz w:val="24"/>
              </w:rPr>
              <w:t>⑺</w:t>
            </w:r>
          </w:p>
        </w:tc>
        <w:tc>
          <w:tcPr>
            <w:tcW w:w="1394" w:type="dxa"/>
            <w:vAlign w:val="center"/>
          </w:tcPr>
          <w:p w:rsidR="00763728" w:rsidRDefault="00195071">
            <w:pPr>
              <w:jc w:val="right"/>
            </w:pPr>
            <w:r>
              <w:rPr>
                <w:color w:val="000000"/>
                <w:sz w:val="24"/>
              </w:rPr>
              <w:t>43,000</w:t>
            </w:r>
          </w:p>
        </w:tc>
        <w:tc>
          <w:tcPr>
            <w:tcW w:w="1944" w:type="dxa"/>
            <w:vAlign w:val="center"/>
          </w:tcPr>
          <w:p w:rsidR="00763728" w:rsidRDefault="00195071">
            <w:pPr>
              <w:jc w:val="right"/>
            </w:pPr>
            <w:r>
              <w:rPr>
                <w:color w:val="000000"/>
                <w:sz w:val="24"/>
              </w:rPr>
              <w:t>4,427,710.00</w:t>
            </w:r>
          </w:p>
        </w:tc>
        <w:tc>
          <w:tcPr>
            <w:tcW w:w="1389" w:type="dxa"/>
            <w:vAlign w:val="center"/>
          </w:tcPr>
          <w:p w:rsidR="00763728" w:rsidRDefault="00195071">
            <w:pPr>
              <w:jc w:val="right"/>
            </w:pPr>
            <w:r>
              <w:rPr>
                <w:color w:val="000000"/>
                <w:sz w:val="24"/>
              </w:rPr>
              <w:t>10.72</w:t>
            </w:r>
          </w:p>
        </w:tc>
      </w:tr>
      <w:tr w:rsidR="00763728">
        <w:trPr>
          <w:jc w:val="center"/>
        </w:trPr>
        <w:tc>
          <w:tcPr>
            <w:tcW w:w="1075" w:type="dxa"/>
            <w:vAlign w:val="center"/>
          </w:tcPr>
          <w:p w:rsidR="00763728" w:rsidRDefault="00195071">
            <w:pPr>
              <w:jc w:val="center"/>
            </w:pPr>
            <w:r>
              <w:rPr>
                <w:color w:val="000000"/>
                <w:sz w:val="24"/>
              </w:rPr>
              <w:t>4</w:t>
            </w:r>
          </w:p>
        </w:tc>
        <w:tc>
          <w:tcPr>
            <w:tcW w:w="1533" w:type="dxa"/>
            <w:vAlign w:val="center"/>
          </w:tcPr>
          <w:p w:rsidR="00763728" w:rsidRDefault="00195071">
            <w:pPr>
              <w:jc w:val="center"/>
            </w:pPr>
            <w:r>
              <w:rPr>
                <w:color w:val="000000"/>
                <w:sz w:val="24"/>
              </w:rPr>
              <w:t>018008</w:t>
            </w:r>
          </w:p>
        </w:tc>
        <w:tc>
          <w:tcPr>
            <w:tcW w:w="1533" w:type="dxa"/>
            <w:vAlign w:val="center"/>
          </w:tcPr>
          <w:p w:rsidR="00763728" w:rsidRDefault="00195071">
            <w:pPr>
              <w:jc w:val="center"/>
            </w:pPr>
            <w:r>
              <w:rPr>
                <w:color w:val="000000"/>
                <w:sz w:val="24"/>
              </w:rPr>
              <w:t>国开</w:t>
            </w:r>
            <w:r>
              <w:rPr>
                <w:color w:val="000000"/>
                <w:sz w:val="24"/>
              </w:rPr>
              <w:t>1802</w:t>
            </w:r>
          </w:p>
        </w:tc>
        <w:tc>
          <w:tcPr>
            <w:tcW w:w="1394" w:type="dxa"/>
            <w:vAlign w:val="center"/>
          </w:tcPr>
          <w:p w:rsidR="00763728" w:rsidRDefault="00195071">
            <w:pPr>
              <w:jc w:val="right"/>
            </w:pPr>
            <w:r>
              <w:rPr>
                <w:color w:val="000000"/>
                <w:sz w:val="24"/>
              </w:rPr>
              <w:t>15,010</w:t>
            </w:r>
          </w:p>
        </w:tc>
        <w:tc>
          <w:tcPr>
            <w:tcW w:w="1944" w:type="dxa"/>
            <w:vAlign w:val="center"/>
          </w:tcPr>
          <w:p w:rsidR="00763728" w:rsidRDefault="00195071">
            <w:pPr>
              <w:jc w:val="right"/>
            </w:pPr>
            <w:r>
              <w:rPr>
                <w:color w:val="000000"/>
                <w:sz w:val="24"/>
              </w:rPr>
              <w:t>1,537,174.10</w:t>
            </w:r>
          </w:p>
        </w:tc>
        <w:tc>
          <w:tcPr>
            <w:tcW w:w="1389" w:type="dxa"/>
            <w:vAlign w:val="center"/>
          </w:tcPr>
          <w:p w:rsidR="00763728" w:rsidRDefault="00195071">
            <w:pPr>
              <w:jc w:val="right"/>
            </w:pPr>
            <w:r>
              <w:rPr>
                <w:color w:val="000000"/>
                <w:sz w:val="24"/>
              </w:rPr>
              <w:t>3.72</w:t>
            </w:r>
          </w:p>
        </w:tc>
      </w:tr>
      <w:tr w:rsidR="00763728">
        <w:trPr>
          <w:jc w:val="center"/>
        </w:trPr>
        <w:tc>
          <w:tcPr>
            <w:tcW w:w="1075" w:type="dxa"/>
            <w:vAlign w:val="center"/>
          </w:tcPr>
          <w:p w:rsidR="00763728" w:rsidRDefault="00195071">
            <w:pPr>
              <w:jc w:val="center"/>
            </w:pPr>
            <w:r>
              <w:rPr>
                <w:color w:val="000000"/>
                <w:sz w:val="24"/>
              </w:rPr>
              <w:t>5</w:t>
            </w:r>
          </w:p>
        </w:tc>
        <w:tc>
          <w:tcPr>
            <w:tcW w:w="1533" w:type="dxa"/>
            <w:vAlign w:val="center"/>
          </w:tcPr>
          <w:p w:rsidR="00763728" w:rsidRDefault="00195071">
            <w:pPr>
              <w:jc w:val="center"/>
            </w:pPr>
            <w:r>
              <w:rPr>
                <w:color w:val="000000"/>
                <w:sz w:val="24"/>
              </w:rPr>
              <w:t>018006</w:t>
            </w:r>
          </w:p>
        </w:tc>
        <w:tc>
          <w:tcPr>
            <w:tcW w:w="1533" w:type="dxa"/>
            <w:vAlign w:val="center"/>
          </w:tcPr>
          <w:p w:rsidR="00763728" w:rsidRDefault="00195071">
            <w:pPr>
              <w:jc w:val="center"/>
            </w:pPr>
            <w:r>
              <w:rPr>
                <w:color w:val="000000"/>
                <w:sz w:val="24"/>
              </w:rPr>
              <w:t>国开</w:t>
            </w:r>
            <w:r>
              <w:rPr>
                <w:color w:val="000000"/>
                <w:sz w:val="24"/>
              </w:rPr>
              <w:t>1702</w:t>
            </w:r>
          </w:p>
        </w:tc>
        <w:tc>
          <w:tcPr>
            <w:tcW w:w="1394" w:type="dxa"/>
            <w:vAlign w:val="center"/>
          </w:tcPr>
          <w:p w:rsidR="00763728" w:rsidRDefault="00195071">
            <w:pPr>
              <w:jc w:val="right"/>
            </w:pPr>
            <w:r>
              <w:rPr>
                <w:color w:val="000000"/>
                <w:sz w:val="24"/>
              </w:rPr>
              <w:t>11,000</w:t>
            </w:r>
          </w:p>
        </w:tc>
        <w:tc>
          <w:tcPr>
            <w:tcW w:w="1944" w:type="dxa"/>
            <w:vAlign w:val="center"/>
          </w:tcPr>
          <w:p w:rsidR="00763728" w:rsidRDefault="00195071">
            <w:pPr>
              <w:jc w:val="right"/>
            </w:pPr>
            <w:r>
              <w:rPr>
                <w:color w:val="000000"/>
                <w:sz w:val="24"/>
              </w:rPr>
              <w:t>1,126,290.00</w:t>
            </w:r>
          </w:p>
        </w:tc>
        <w:tc>
          <w:tcPr>
            <w:tcW w:w="1389" w:type="dxa"/>
            <w:vAlign w:val="center"/>
          </w:tcPr>
          <w:p w:rsidR="00763728" w:rsidRDefault="00195071">
            <w:pPr>
              <w:jc w:val="right"/>
            </w:pPr>
            <w:r>
              <w:rPr>
                <w:color w:val="000000"/>
                <w:sz w:val="24"/>
              </w:rPr>
              <w:t>2.73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3,092.79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368,601.08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371,743.87</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20,084,436.20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1,258,782.43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18,571,899.70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8,953,661.55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1,645,862.84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9,054,724.78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37,010,473.06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1,157,719.20</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lastRenderedPageBreak/>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63728">
        <w:tc>
          <w:tcPr>
            <w:tcW w:w="992" w:type="dxa"/>
            <w:vMerge w:val="restart"/>
          </w:tcPr>
          <w:p w:rsidR="00763728" w:rsidRDefault="00763728"/>
          <w:p w:rsidR="00763728" w:rsidRDefault="00195071">
            <w:r>
              <w:rPr>
                <w:rFonts w:ascii="宋体" w:hAnsi="宋体" w:hint="eastAsia"/>
                <w:bCs/>
                <w:color w:val="000000"/>
                <w:kern w:val="0"/>
                <w:szCs w:val="21"/>
              </w:rPr>
              <w:t>机构</w:t>
            </w:r>
          </w:p>
        </w:tc>
        <w:tc>
          <w:tcPr>
            <w:tcW w:w="991" w:type="dxa"/>
            <w:vAlign w:val="center"/>
          </w:tcPr>
          <w:p w:rsidR="00763728" w:rsidRDefault="00195071">
            <w:pPr>
              <w:jc w:val="center"/>
            </w:pPr>
            <w:r>
              <w:rPr>
                <w:rFonts w:ascii="宋体" w:hAnsi="宋体" w:hint="eastAsia"/>
                <w:color w:val="000000"/>
                <w:kern w:val="0"/>
                <w:szCs w:val="21"/>
              </w:rPr>
              <w:t>1</w:t>
            </w:r>
          </w:p>
        </w:tc>
        <w:tc>
          <w:tcPr>
            <w:tcW w:w="1843" w:type="dxa"/>
            <w:vAlign w:val="center"/>
          </w:tcPr>
          <w:p w:rsidR="00763728" w:rsidRDefault="00195071">
            <w:pPr>
              <w:jc w:val="center"/>
            </w:pPr>
            <w:r>
              <w:rPr>
                <w:rFonts w:ascii="宋体" w:hAnsi="宋体" w:hint="eastAsia"/>
                <w:color w:val="000000"/>
                <w:kern w:val="0"/>
                <w:szCs w:val="21"/>
              </w:rPr>
              <w:t>2019/7/1-2019/9/30</w:t>
            </w:r>
          </w:p>
        </w:tc>
        <w:tc>
          <w:tcPr>
            <w:tcW w:w="851" w:type="dxa"/>
            <w:vAlign w:val="center"/>
          </w:tcPr>
          <w:p w:rsidR="00763728" w:rsidRDefault="00195071">
            <w:pPr>
              <w:jc w:val="center"/>
            </w:pPr>
            <w:r>
              <w:rPr>
                <w:rFonts w:ascii="宋体" w:hAnsi="宋体" w:hint="eastAsia"/>
                <w:color w:val="000000"/>
                <w:kern w:val="0"/>
                <w:szCs w:val="21"/>
              </w:rPr>
              <w:t>-</w:t>
            </w:r>
          </w:p>
        </w:tc>
        <w:tc>
          <w:tcPr>
            <w:tcW w:w="850" w:type="dxa"/>
            <w:vAlign w:val="center"/>
          </w:tcPr>
          <w:p w:rsidR="00763728" w:rsidRDefault="00195071">
            <w:pPr>
              <w:jc w:val="center"/>
            </w:pPr>
            <w:r>
              <w:rPr>
                <w:rFonts w:ascii="宋体" w:hAnsi="宋体" w:hint="eastAsia"/>
                <w:color w:val="000000"/>
                <w:kern w:val="0"/>
                <w:szCs w:val="21"/>
              </w:rPr>
              <w:t>18,569,173.63</w:t>
            </w:r>
          </w:p>
        </w:tc>
        <w:tc>
          <w:tcPr>
            <w:tcW w:w="1134" w:type="dxa"/>
            <w:vAlign w:val="center"/>
          </w:tcPr>
          <w:p w:rsidR="00763728" w:rsidRDefault="00195071">
            <w:pPr>
              <w:jc w:val="center"/>
            </w:pPr>
            <w:r>
              <w:rPr>
                <w:rFonts w:ascii="宋体" w:hAnsi="宋体" w:hint="eastAsia"/>
                <w:color w:val="000000"/>
                <w:kern w:val="0"/>
                <w:szCs w:val="21"/>
              </w:rPr>
              <w:t>-</w:t>
            </w:r>
          </w:p>
        </w:tc>
        <w:tc>
          <w:tcPr>
            <w:tcW w:w="1419" w:type="dxa"/>
            <w:vAlign w:val="center"/>
          </w:tcPr>
          <w:p w:rsidR="00763728" w:rsidRDefault="00195071">
            <w:pPr>
              <w:jc w:val="center"/>
            </w:pPr>
            <w:r>
              <w:rPr>
                <w:rFonts w:ascii="宋体" w:hAnsi="宋体" w:hint="eastAsia"/>
                <w:color w:val="000000"/>
                <w:kern w:val="0"/>
                <w:szCs w:val="21"/>
              </w:rPr>
              <w:t>18,569,173.63</w:t>
            </w:r>
          </w:p>
        </w:tc>
        <w:tc>
          <w:tcPr>
            <w:tcW w:w="1130" w:type="dxa"/>
            <w:vAlign w:val="center"/>
          </w:tcPr>
          <w:p w:rsidR="00763728" w:rsidRDefault="00195071">
            <w:pPr>
              <w:jc w:val="center"/>
            </w:pPr>
            <w:r>
              <w:rPr>
                <w:rFonts w:ascii="宋体" w:hAnsi="宋体" w:hint="eastAsia"/>
                <w:color w:val="000000"/>
                <w:kern w:val="0"/>
                <w:szCs w:val="21"/>
              </w:rPr>
              <w:t>48.65%</w:t>
            </w:r>
          </w:p>
        </w:tc>
      </w:tr>
      <w:tr w:rsidR="00763728">
        <w:tc>
          <w:tcPr>
            <w:tcW w:w="992" w:type="dxa"/>
            <w:vMerge w:val="restart"/>
          </w:tcPr>
          <w:p w:rsidR="00763728" w:rsidRDefault="00763728"/>
          <w:p w:rsidR="00763728" w:rsidRDefault="00195071">
            <w:r>
              <w:rPr>
                <w:rFonts w:ascii="宋体" w:hAnsi="宋体" w:hint="eastAsia"/>
                <w:bCs/>
                <w:color w:val="000000"/>
                <w:kern w:val="0"/>
                <w:szCs w:val="21"/>
              </w:rPr>
              <w:t>个人</w:t>
            </w:r>
          </w:p>
        </w:tc>
        <w:tc>
          <w:tcPr>
            <w:tcW w:w="991" w:type="dxa"/>
            <w:vAlign w:val="center"/>
          </w:tcPr>
          <w:p w:rsidR="00763728" w:rsidRDefault="00195071">
            <w:pPr>
              <w:jc w:val="center"/>
            </w:pPr>
            <w:r>
              <w:rPr>
                <w:rFonts w:ascii="宋体" w:hAnsi="宋体" w:hint="eastAsia"/>
                <w:kern w:val="0"/>
                <w:szCs w:val="21"/>
              </w:rPr>
              <w:t>1</w:t>
            </w:r>
          </w:p>
        </w:tc>
        <w:tc>
          <w:tcPr>
            <w:tcW w:w="1843" w:type="dxa"/>
            <w:vAlign w:val="center"/>
          </w:tcPr>
          <w:p w:rsidR="00763728" w:rsidRDefault="00195071">
            <w:pPr>
              <w:jc w:val="center"/>
            </w:pPr>
            <w:r>
              <w:rPr>
                <w:rFonts w:ascii="宋体" w:hAnsi="宋体" w:hint="eastAsia"/>
                <w:kern w:val="0"/>
                <w:szCs w:val="21"/>
              </w:rPr>
              <w:t>2019/7/1-2019/9/30</w:t>
            </w:r>
          </w:p>
        </w:tc>
        <w:tc>
          <w:tcPr>
            <w:tcW w:w="851" w:type="dxa"/>
            <w:vAlign w:val="center"/>
          </w:tcPr>
          <w:p w:rsidR="00763728" w:rsidRDefault="00195071">
            <w:pPr>
              <w:jc w:val="center"/>
            </w:pPr>
            <w:r>
              <w:rPr>
                <w:rFonts w:ascii="宋体" w:hAnsi="宋体" w:hint="eastAsia"/>
                <w:kern w:val="0"/>
                <w:szCs w:val="21"/>
              </w:rPr>
              <w:t>4,941,611.46</w:t>
            </w:r>
          </w:p>
        </w:tc>
        <w:tc>
          <w:tcPr>
            <w:tcW w:w="850" w:type="dxa"/>
            <w:vAlign w:val="center"/>
          </w:tcPr>
          <w:p w:rsidR="00763728" w:rsidRDefault="00195071">
            <w:pPr>
              <w:jc w:val="center"/>
            </w:pPr>
            <w:r>
              <w:rPr>
                <w:rFonts w:ascii="宋体" w:hAnsi="宋体" w:hint="eastAsia"/>
                <w:kern w:val="0"/>
                <w:szCs w:val="21"/>
              </w:rPr>
              <w:t>-</w:t>
            </w:r>
          </w:p>
        </w:tc>
        <w:tc>
          <w:tcPr>
            <w:tcW w:w="1134" w:type="dxa"/>
            <w:vAlign w:val="center"/>
          </w:tcPr>
          <w:p w:rsidR="00763728" w:rsidRDefault="00195071">
            <w:pPr>
              <w:jc w:val="center"/>
            </w:pPr>
            <w:r>
              <w:rPr>
                <w:rFonts w:ascii="宋体" w:hAnsi="宋体" w:hint="eastAsia"/>
                <w:kern w:val="0"/>
                <w:szCs w:val="21"/>
              </w:rPr>
              <w:t>-</w:t>
            </w:r>
          </w:p>
        </w:tc>
        <w:tc>
          <w:tcPr>
            <w:tcW w:w="1419" w:type="dxa"/>
            <w:vAlign w:val="center"/>
          </w:tcPr>
          <w:p w:rsidR="00763728" w:rsidRDefault="00195071">
            <w:pPr>
              <w:jc w:val="center"/>
            </w:pPr>
            <w:r>
              <w:rPr>
                <w:rFonts w:ascii="宋体" w:hAnsi="宋体" w:hint="eastAsia"/>
                <w:kern w:val="0"/>
                <w:szCs w:val="21"/>
              </w:rPr>
              <w:t>4,941,611.46</w:t>
            </w:r>
          </w:p>
        </w:tc>
        <w:tc>
          <w:tcPr>
            <w:tcW w:w="1130" w:type="dxa"/>
            <w:vAlign w:val="center"/>
          </w:tcPr>
          <w:p w:rsidR="00763728" w:rsidRDefault="00195071">
            <w:pPr>
              <w:jc w:val="center"/>
            </w:pPr>
            <w:r>
              <w:rPr>
                <w:rFonts w:ascii="宋体" w:hAnsi="宋体" w:hint="eastAsia"/>
                <w:kern w:val="0"/>
                <w:szCs w:val="21"/>
              </w:rPr>
              <w:t>12.95%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763728" w:rsidRDefault="00195071">
      <w:pPr>
        <w:spacing w:before="29" w:line="288" w:lineRule="auto"/>
        <w:ind w:firstLineChars="200" w:firstLine="480"/>
        <w:rPr>
          <w:rFonts w:eastAsiaTheme="minorEastAsia"/>
          <w:color w:val="000000"/>
          <w:sz w:val="24"/>
        </w:rPr>
      </w:pPr>
      <w:r>
        <w:rPr>
          <w:rFonts w:eastAsiaTheme="minorEastAsia"/>
          <w:color w:val="000000"/>
          <w:sz w:val="24"/>
        </w:rPr>
        <w:lastRenderedPageBreak/>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95071">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95071">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071"/>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372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C9E9-A96C-46C7-A1FC-DCDA360A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244</TotalTime>
  <Pages>15</Pages>
  <Words>1331</Words>
  <Characters>7590</Characters>
  <Application>Microsoft Office Word</Application>
  <DocSecurity>0</DocSecurity>
  <Lines>63</Lines>
  <Paragraphs>17</Paragraphs>
  <ScaleCrop>false</ScaleCrop>
  <Company>TRT. Ltd. Co.</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biz-sunbinglei</cp:lastModifiedBy>
  <cp:revision>403</cp:revision>
  <cp:lastPrinted>2007-07-19T00:46:00Z</cp:lastPrinted>
  <dcterms:created xsi:type="dcterms:W3CDTF">2014-01-17T06:19:00Z</dcterms:created>
  <dcterms:modified xsi:type="dcterms:W3CDTF">2019-10-14T10:46:00Z</dcterms:modified>
</cp:coreProperties>
</file>