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交银施罗德创新成长混合型证券投资基金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交银创新成长混合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006223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006223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2018年9月27日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156,040,930.87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本基金通过优化资产配置和灵活运用多种投资策略，把握港股通资本市场开放政策下的投资机会，力争实现基金资产的稳定增值。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沪深300指数收益率×50%+恒生指数收益率×30%+中证综合债券指数收益率×20%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14,196,007.95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6,649,553.79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0.0592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208,534,862.49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1.3364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6.79%</w:t>
            </w:r>
          </w:p>
        </w:tc>
        <w:tc>
          <w:tcPr>
            <w:vAlign w:val="center"/>
          </w:tcPr>
          <w:p>
            <w:pPr>
              <w:jc w:val="center"/>
            </w:pPr>
            <w:r>
              <w:rPr>
                <w:color w:val="000000"/>
                <w:sz w:val="24"/>
                <w:szCs w:val="24"/>
              </w:rPr>
              <w:t>1.15%</w:t>
            </w:r>
          </w:p>
        </w:tc>
        <w:tc>
          <w:tcPr>
            <w:vAlign w:val="center"/>
          </w:tcPr>
          <w:p>
            <w:pPr>
              <w:jc w:val="center"/>
            </w:pPr>
            <w:r>
              <w:rPr>
                <w:color w:val="000000"/>
                <w:sz w:val="24"/>
                <w:szCs w:val="24"/>
              </w:rPr>
              <w:t>-2.44%</w:t>
            </w:r>
          </w:p>
        </w:tc>
        <w:tc>
          <w:tcPr>
            <w:vAlign w:val="center"/>
          </w:tcPr>
          <w:p>
            <w:pPr>
              <w:jc w:val="center"/>
            </w:pPr>
            <w:r>
              <w:rPr>
                <w:color w:val="000000"/>
                <w:sz w:val="24"/>
                <w:szCs w:val="24"/>
              </w:rPr>
              <w:t>0.69%</w:t>
            </w:r>
          </w:p>
        </w:tc>
        <w:tc>
          <w:tcPr>
            <w:vAlign w:val="center"/>
          </w:tcPr>
          <w:p>
            <w:pPr>
              <w:jc w:val="center"/>
            </w:pPr>
            <w:r>
              <w:rPr>
                <w:color w:val="000000"/>
                <w:sz w:val="24"/>
                <w:szCs w:val="24"/>
              </w:rPr>
              <w:t>9.23%</w:t>
            </w:r>
          </w:p>
        </w:tc>
        <w:tc>
          <w:tcPr>
            <w:vAlign w:val="center"/>
          </w:tcPr>
          <w:p>
            <w:pPr>
              <w:jc w:val="center"/>
            </w:pPr>
            <w:r>
              <w:rPr>
                <w:color w:val="000000"/>
                <w:sz w:val="24"/>
                <w:szCs w:val="24"/>
              </w:rPr>
              <w:t>0.46%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交银施罗德创新成长混合型证券投资基金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2018年9月27日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2018年9月27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周中</w:t>
            </w:r>
          </w:p>
        </w:tc>
        <w:tc>
          <w:tcPr>
            <w:vAlign w:val="center"/>
          </w:tcPr>
          <w:p>
            <w:pPr>
              <w:jc w:val="center"/>
            </w:pPr>
            <w:r>
              <w:rPr>
                <w:color w:val="000000"/>
                <w:sz w:val="24"/>
                <w:szCs w:val="24"/>
              </w:rPr>
              <w:t>交银环球精选混合(QDII)、交银创新成长混合的基金经理</w:t>
            </w:r>
          </w:p>
        </w:tc>
        <w:tc>
          <w:tcPr>
            <w:vAlign w:val="center"/>
          </w:tcPr>
          <w:p>
            <w:pPr>
              <w:jc w:val="center"/>
            </w:pPr>
            <w:r>
              <w:rPr>
                <w:color w:val="000000"/>
                <w:sz w:val="24"/>
                <w:szCs w:val="24"/>
              </w:rPr>
              <w:t>2018-09-27</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周中先生，中国国籍，复旦大学金融学硕士。历任野村证券亚太区股票研究部研究助理，中银国际证券研究部研究员、高级经理，瑞银证券研究部行业分析师、董事。2015年加入交银施罗德基金管理有限公司。2015年12月12日至2019年9月19日担任交银施罗德全球自然资源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三季度市场整体表现比较平稳，在贸易战压力之下A股市场体现出较强的韧性，科技特别是5G和半导体相关的个股表现较好。港股依然还在筑底的过程当中，香港局势面临不确定性，导致了部分资金流出港股，整体市场承压。</w:t>
      </w:r>
    </w:p>
    <w:p>
      <w:pPr>
        <w:spacing w:before="29" w:line="288" w:lineRule="auto"/>
        <w:ind w:firstLine="480" w:firstLineChars="200"/>
        <w:rPr>
          <w:color w:val="000000"/>
          <w:sz w:val="24"/>
          <w:szCs w:val="24"/>
        </w:rPr>
      </w:pPr>
      <w:r>
        <w:rPr>
          <w:color w:val="000000"/>
          <w:sz w:val="24"/>
          <w:szCs w:val="24"/>
        </w:rPr>
        <w:t>本基金三季度总体仓位保持较高水平，我们依然坚持自下而上精选个股的投资策略，重点投资于受到宏观经济波动影响较小的成长类个股，因为目前港股中的优质成长股正在越来越体现出较好的配置价值，我们组合配置方面逐步提升港股的比重。</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展望2019年四季度，在MSCI扩容的大背景之下A股市场表现不会太差。国内货币财政政策转向宽松也将有利于股票市场的表现。我们认为未来依然一段时间能够获得稳健成长的科技/消费类个股或最具有配置价值。</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184,671,400.10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88.09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184,671,400.10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88.09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499,950.00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0.24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499,950.00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0.24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24,250,116.49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11.57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210,685.80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209,632,152.39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83,045,084.98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39.82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3,704,000.00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7,104,800.00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50,734,493.12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24.33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13,954,766.20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4,290,000.00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6,508,000.00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2,565,028.32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171,906,172.62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82.44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2397"/>
        <w:gridCol w:w="3119"/>
        <w:gridCol w:w="3118"/>
      </w:tblGrid>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行业类别</w:t>
            </w:r>
            <w:r w:rsidRPr="00FF0BBF">
              <w:rPr>
                <w:color w:val="000000"/>
                <w:sz w:val="24"/>
              </w:rPr>
              <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公允价值（人民币）</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tc>
          <w:tcPr>
            <w:vAlign w:val="center"/>
          </w:tcPr>
          <w:p>
            <w:pPr>
              <w:jc w:val="center"/>
            </w:pPr>
            <w:r>
              <w:rPr>
                <w:color w:val="000000"/>
                <w:sz w:val="24"/>
              </w:rPr>
              <w:t>房地产</w:t>
            </w:r>
          </w:p>
        </w:tc>
        <w:tc>
          <w:tcPr>
            <w:vAlign w:val="center"/>
          </w:tcPr>
          <w:p>
            <w:pPr>
              <w:jc w:val="center"/>
            </w:pPr>
            <w:r>
              <w:rPr>
                <w:color w:val="000000"/>
                <w:sz w:val="24"/>
              </w:rPr>
              <w:t>2,370,482.28</w:t>
            </w:r>
          </w:p>
        </w:tc>
        <w:tc>
          <w:tcPr>
            <w:vAlign w:val="center"/>
          </w:tcPr>
          <w:p>
            <w:pPr>
              <w:jc w:val="center"/>
            </w:pPr>
            <w:r>
              <w:rPr>
                <w:color w:val="000000"/>
                <w:sz w:val="24"/>
              </w:rPr>
              <w:t>1.14</w:t>
            </w:r>
          </w:p>
        </w:tc>
      </w:tr>
      <w:tr>
        <w:tc>
          <w:tcPr>
            <w:vAlign w:val="center"/>
          </w:tcPr>
          <w:p>
            <w:pPr>
              <w:jc w:val="center"/>
            </w:pPr>
            <w:r>
              <w:rPr>
                <w:color w:val="000000"/>
                <w:sz w:val="24"/>
              </w:rPr>
              <w:t>通讯服务</w:t>
            </w:r>
          </w:p>
        </w:tc>
        <w:tc>
          <w:tcPr>
            <w:vAlign w:val="center"/>
          </w:tcPr>
          <w:p>
            <w:pPr>
              <w:jc w:val="center"/>
            </w:pPr>
            <w:r>
              <w:rPr>
                <w:color w:val="000000"/>
                <w:sz w:val="24"/>
              </w:rPr>
              <w:t>10,394,745.20</w:t>
            </w:r>
          </w:p>
        </w:tc>
        <w:tc>
          <w:tcPr>
            <w:vAlign w:val="center"/>
          </w:tcPr>
          <w:p>
            <w:pPr>
              <w:jc w:val="center"/>
            </w:pPr>
            <w:r>
              <w:rPr>
                <w:color w:val="000000"/>
                <w:sz w:val="24"/>
              </w:rPr>
              <w:t>4.98</w:t>
            </w:r>
          </w:p>
        </w:tc>
      </w:tr>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合计</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12,765,227.48</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6.12</w:t>
            </w:r>
          </w:p>
        </w:tc>
      </w:tr>
    </w:tbl>
    <w:p w:rsidP="00F51C4E" w:rsidR="00F51C4E" w:rsidRDefault="00F51C4E">
      <w:pPr>
        <w:spacing w:before="29" w:line="360" w:lineRule="auto"/>
        <w:ind w:left="17"/>
        <w:rPr>
          <w:color w:val="000000"/>
          <w:sz w:val="24"/>
        </w:rPr>
      </w:pPr>
      <w:r w:rsidRPr="00FF0BBF">
        <w:rPr>
          <w:color w:val="000000"/>
          <w:sz w:val="24"/>
        </w:rPr>
        <w:t>注：以上分类采用全球行业分类标准（GICS）。</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00700.HK</w:t>
            </w:r>
          </w:p>
        </w:tc>
        <w:tc>
          <w:tcPr>
            <w:vAlign w:val="center"/>
          </w:tcPr>
          <w:p>
            <w:pPr>
              <w:jc w:val="center"/>
            </w:pPr>
            <w:r>
              <w:rPr>
                <w:color w:val="000000"/>
                <w:sz w:val="24"/>
                <w:szCs w:val="24"/>
              </w:rPr>
              <w:t>腾讯控股</w:t>
            </w:r>
          </w:p>
        </w:tc>
        <w:tc>
          <w:tcPr>
            <w:vAlign w:val="center"/>
          </w:tcPr>
          <w:p>
            <w:pPr>
              <w:jc w:val="right"/>
            </w:pPr>
            <w:r>
              <w:rPr>
                <w:color w:val="000000"/>
                <w:sz w:val="24"/>
                <w:szCs w:val="24"/>
              </w:rPr>
              <w:t>34,900</w:t>
            </w:r>
          </w:p>
        </w:tc>
        <w:tc>
          <w:tcPr>
            <w:vAlign w:val="center"/>
          </w:tcPr>
          <w:p>
            <w:pPr>
              <w:jc w:val="right"/>
            </w:pPr>
            <w:r>
              <w:rPr>
                <w:color w:val="000000"/>
                <w:sz w:val="24"/>
                <w:szCs w:val="24"/>
              </w:rPr>
              <w:t>10,394,745.20</w:t>
            </w:r>
          </w:p>
        </w:tc>
        <w:tc>
          <w:tcPr>
            <w:vAlign w:val="center"/>
          </w:tcPr>
          <w:p>
            <w:pPr>
              <w:jc w:val="right"/>
            </w:pPr>
            <w:r>
              <w:rPr>
                <w:color w:val="000000"/>
                <w:sz w:val="24"/>
                <w:szCs w:val="24"/>
              </w:rPr>
              <w:t>4.98</w:t>
            </w:r>
          </w:p>
        </w:tc>
      </w:tr>
      <w:tr>
        <w:tc>
          <w:tcPr>
            <w:vAlign w:val="center"/>
          </w:tcPr>
          <w:p>
            <w:pPr>
              <w:jc w:val="center"/>
            </w:pPr>
            <w:r>
              <w:rPr>
                <w:color w:val="000000"/>
                <w:sz w:val="24"/>
                <w:szCs w:val="24"/>
              </w:rPr>
              <w:t>2</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100,000</w:t>
            </w:r>
          </w:p>
        </w:tc>
        <w:tc>
          <w:tcPr>
            <w:vAlign w:val="center"/>
          </w:tcPr>
          <w:p>
            <w:pPr>
              <w:jc w:val="right"/>
            </w:pPr>
            <w:r>
              <w:rPr>
                <w:color w:val="000000"/>
                <w:sz w:val="24"/>
                <w:szCs w:val="24"/>
              </w:rPr>
              <w:t>8,704,000.00</w:t>
            </w:r>
          </w:p>
        </w:tc>
        <w:tc>
          <w:tcPr>
            <w:vAlign w:val="center"/>
          </w:tcPr>
          <w:p>
            <w:pPr>
              <w:jc w:val="right"/>
            </w:pPr>
            <w:r>
              <w:rPr>
                <w:color w:val="000000"/>
                <w:sz w:val="24"/>
                <w:szCs w:val="24"/>
              </w:rPr>
              <w:t>4.17</w:t>
            </w:r>
          </w:p>
        </w:tc>
      </w:tr>
      <w:tr>
        <w:tc>
          <w:tcPr>
            <w:vAlign w:val="center"/>
          </w:tcPr>
          <w:p>
            <w:pPr>
              <w:jc w:val="center"/>
            </w:pPr>
            <w:r>
              <w:rPr>
                <w:color w:val="000000"/>
                <w:sz w:val="24"/>
                <w:szCs w:val="24"/>
              </w:rPr>
              <w:t>3</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400,000</w:t>
            </w:r>
          </w:p>
        </w:tc>
        <w:tc>
          <w:tcPr>
            <w:vAlign w:val="center"/>
          </w:tcPr>
          <w:p>
            <w:pPr>
              <w:jc w:val="right"/>
            </w:pPr>
            <w:r>
              <w:rPr>
                <w:color w:val="000000"/>
                <w:sz w:val="24"/>
                <w:szCs w:val="24"/>
              </w:rPr>
              <w:t>6,856,000.00</w:t>
            </w:r>
          </w:p>
        </w:tc>
        <w:tc>
          <w:tcPr>
            <w:vAlign w:val="center"/>
          </w:tcPr>
          <w:p>
            <w:pPr>
              <w:jc w:val="right"/>
            </w:pPr>
            <w:r>
              <w:rPr>
                <w:color w:val="000000"/>
                <w:sz w:val="24"/>
                <w:szCs w:val="24"/>
              </w:rPr>
              <w:t>3.29</w:t>
            </w:r>
          </w:p>
        </w:tc>
      </w:tr>
      <w:tr>
        <w:tc>
          <w:tcPr>
            <w:vAlign w:val="center"/>
          </w:tcPr>
          <w:p>
            <w:pPr>
              <w:jc w:val="center"/>
            </w:pPr>
            <w:r>
              <w:rPr>
                <w:color w:val="000000"/>
                <w:sz w:val="24"/>
                <w:szCs w:val="24"/>
              </w:rPr>
              <w:t>4</w:t>
            </w:r>
          </w:p>
        </w:tc>
        <w:tc>
          <w:tcPr>
            <w:vAlign w:val="center"/>
          </w:tcPr>
          <w:p>
            <w:pPr>
              <w:jc w:val="center"/>
            </w:pPr>
            <w:r>
              <w:rPr>
                <w:color w:val="000000"/>
                <w:sz w:val="24"/>
                <w:szCs w:val="24"/>
              </w:rPr>
              <w:t>600570</w:t>
            </w:r>
          </w:p>
        </w:tc>
        <w:tc>
          <w:tcPr>
            <w:vAlign w:val="center"/>
          </w:tcPr>
          <w:p>
            <w:pPr>
              <w:jc w:val="center"/>
            </w:pPr>
            <w:r>
              <w:rPr>
                <w:color w:val="000000"/>
                <w:sz w:val="24"/>
                <w:szCs w:val="24"/>
              </w:rPr>
              <w:t>恒生电子</w:t>
            </w:r>
          </w:p>
        </w:tc>
        <w:tc>
          <w:tcPr>
            <w:vAlign w:val="center"/>
          </w:tcPr>
          <w:p>
            <w:pPr>
              <w:jc w:val="right"/>
            </w:pPr>
            <w:r>
              <w:rPr>
                <w:color w:val="000000"/>
                <w:sz w:val="24"/>
                <w:szCs w:val="24"/>
              </w:rPr>
              <w:t>89,990</w:t>
            </w:r>
          </w:p>
        </w:tc>
        <w:tc>
          <w:tcPr>
            <w:vAlign w:val="center"/>
          </w:tcPr>
          <w:p>
            <w:pPr>
              <w:jc w:val="right"/>
            </w:pPr>
            <w:r>
              <w:rPr>
                <w:color w:val="000000"/>
                <w:sz w:val="24"/>
                <w:szCs w:val="24"/>
              </w:rPr>
              <w:t>6,652,960.70</w:t>
            </w:r>
          </w:p>
        </w:tc>
        <w:tc>
          <w:tcPr>
            <w:vAlign w:val="center"/>
          </w:tcPr>
          <w:p>
            <w:pPr>
              <w:jc w:val="right"/>
            </w:pPr>
            <w:r>
              <w:rPr>
                <w:color w:val="000000"/>
                <w:sz w:val="24"/>
                <w:szCs w:val="24"/>
              </w:rPr>
              <w:t>3.19</w:t>
            </w:r>
          </w:p>
        </w:tc>
      </w:tr>
      <w:tr>
        <w:tc>
          <w:tcPr>
            <w:vAlign w:val="center"/>
          </w:tcPr>
          <w:p>
            <w:pPr>
              <w:jc w:val="center"/>
            </w:pPr>
            <w:r>
              <w:rPr>
                <w:color w:val="000000"/>
                <w:sz w:val="24"/>
                <w:szCs w:val="24"/>
              </w:rPr>
              <w:t>5</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400,000</w:t>
            </w:r>
          </w:p>
        </w:tc>
        <w:tc>
          <w:tcPr>
            <w:vAlign w:val="center"/>
          </w:tcPr>
          <w:p>
            <w:pPr>
              <w:jc w:val="right"/>
            </w:pPr>
            <w:r>
              <w:rPr>
                <w:color w:val="000000"/>
                <w:sz w:val="24"/>
                <w:szCs w:val="24"/>
              </w:rPr>
              <w:t>6,508,000.00</w:t>
            </w:r>
          </w:p>
        </w:tc>
        <w:tc>
          <w:tcPr>
            <w:vAlign w:val="center"/>
          </w:tcPr>
          <w:p>
            <w:pPr>
              <w:jc w:val="right"/>
            </w:pPr>
            <w:r>
              <w:rPr>
                <w:color w:val="000000"/>
                <w:sz w:val="24"/>
                <w:szCs w:val="24"/>
              </w:rPr>
              <w:t>3.12</w:t>
            </w:r>
          </w:p>
        </w:tc>
      </w:tr>
      <w:tr>
        <w:tc>
          <w:tcPr>
            <w:vAlign w:val="center"/>
          </w:tcPr>
          <w:p>
            <w:pPr>
              <w:jc w:val="center"/>
            </w:pPr>
            <w:r>
              <w:rPr>
                <w:color w:val="000000"/>
                <w:sz w:val="24"/>
                <w:szCs w:val="24"/>
              </w:rPr>
              <w:t>6</w:t>
            </w:r>
          </w:p>
        </w:tc>
        <w:tc>
          <w:tcPr>
            <w:vAlign w:val="center"/>
          </w:tcPr>
          <w:p>
            <w:pPr>
              <w:jc w:val="center"/>
            </w:pPr>
            <w:r>
              <w:rPr>
                <w:color w:val="000000"/>
                <w:sz w:val="24"/>
                <w:szCs w:val="24"/>
              </w:rPr>
              <w:t>002123</w:t>
            </w:r>
          </w:p>
        </w:tc>
        <w:tc>
          <w:tcPr>
            <w:vAlign w:val="center"/>
          </w:tcPr>
          <w:p>
            <w:pPr>
              <w:jc w:val="center"/>
            </w:pPr>
            <w:r>
              <w:rPr>
                <w:color w:val="000000"/>
                <w:sz w:val="24"/>
                <w:szCs w:val="24"/>
              </w:rPr>
              <w:t>梦网集团</w:t>
            </w:r>
          </w:p>
        </w:tc>
        <w:tc>
          <w:tcPr>
            <w:vAlign w:val="center"/>
          </w:tcPr>
          <w:p>
            <w:pPr>
              <w:jc w:val="right"/>
            </w:pPr>
            <w:r>
              <w:rPr>
                <w:color w:val="000000"/>
                <w:sz w:val="24"/>
                <w:szCs w:val="24"/>
              </w:rPr>
              <w:t>350,000</w:t>
            </w:r>
          </w:p>
        </w:tc>
        <w:tc>
          <w:tcPr>
            <w:vAlign w:val="center"/>
          </w:tcPr>
          <w:p>
            <w:pPr>
              <w:jc w:val="right"/>
            </w:pPr>
            <w:r>
              <w:rPr>
                <w:color w:val="000000"/>
                <w:sz w:val="24"/>
                <w:szCs w:val="24"/>
              </w:rPr>
              <w:t>5,890,500.00</w:t>
            </w:r>
          </w:p>
        </w:tc>
        <w:tc>
          <w:tcPr>
            <w:vAlign w:val="center"/>
          </w:tcPr>
          <w:p>
            <w:pPr>
              <w:jc w:val="right"/>
            </w:pPr>
            <w:r>
              <w:rPr>
                <w:color w:val="000000"/>
                <w:sz w:val="24"/>
                <w:szCs w:val="24"/>
              </w:rPr>
              <w:t>2.82</w:t>
            </w:r>
          </w:p>
        </w:tc>
      </w:tr>
      <w:tr>
        <w:tc>
          <w:tcPr>
            <w:vAlign w:val="center"/>
          </w:tcPr>
          <w:p>
            <w:pPr>
              <w:jc w:val="center"/>
            </w:pPr>
            <w:r>
              <w:rPr>
                <w:color w:val="000000"/>
                <w:sz w:val="24"/>
                <w:szCs w:val="24"/>
              </w:rPr>
              <w:t>7</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250,000</w:t>
            </w:r>
          </w:p>
        </w:tc>
        <w:tc>
          <w:tcPr>
            <w:vAlign w:val="center"/>
          </w:tcPr>
          <w:p>
            <w:pPr>
              <w:jc w:val="right"/>
            </w:pPr>
            <w:r>
              <w:rPr>
                <w:color w:val="000000"/>
                <w:sz w:val="24"/>
                <w:szCs w:val="24"/>
              </w:rPr>
              <w:t>5,830,000.00</w:t>
            </w:r>
          </w:p>
        </w:tc>
        <w:tc>
          <w:tcPr>
            <w:vAlign w:val="center"/>
          </w:tcPr>
          <w:p>
            <w:pPr>
              <w:jc w:val="right"/>
            </w:pPr>
            <w:r>
              <w:rPr>
                <w:color w:val="000000"/>
                <w:sz w:val="24"/>
                <w:szCs w:val="24"/>
              </w:rPr>
              <w:t>2.80</w:t>
            </w:r>
          </w:p>
        </w:tc>
      </w:tr>
      <w:tr>
        <w:tc>
          <w:tcPr>
            <w:vAlign w:val="center"/>
          </w:tcPr>
          <w:p>
            <w:pPr>
              <w:jc w:val="center"/>
            </w:pPr>
            <w:r>
              <w:rPr>
                <w:color w:val="000000"/>
                <w:sz w:val="24"/>
                <w:szCs w:val="24"/>
              </w:rPr>
              <w:t>8</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600,000</w:t>
            </w:r>
          </w:p>
        </w:tc>
        <w:tc>
          <w:tcPr>
            <w:vAlign w:val="center"/>
          </w:tcPr>
          <w:p>
            <w:pPr>
              <w:jc w:val="right"/>
            </w:pPr>
            <w:r>
              <w:rPr>
                <w:color w:val="000000"/>
                <w:sz w:val="24"/>
                <w:szCs w:val="24"/>
              </w:rPr>
              <w:t>5,802,000.00</w:t>
            </w:r>
          </w:p>
        </w:tc>
        <w:tc>
          <w:tcPr>
            <w:vAlign w:val="center"/>
          </w:tcPr>
          <w:p>
            <w:pPr>
              <w:jc w:val="right"/>
            </w:pPr>
            <w:r>
              <w:rPr>
                <w:color w:val="000000"/>
                <w:sz w:val="24"/>
                <w:szCs w:val="24"/>
              </w:rPr>
              <w:t>2.78</w:t>
            </w:r>
          </w:p>
        </w:tc>
      </w:tr>
      <w:tr>
        <w:tc>
          <w:tcPr>
            <w:vAlign w:val="center"/>
          </w:tcPr>
          <w:p>
            <w:pPr>
              <w:jc w:val="center"/>
            </w:pPr>
            <w:r>
              <w:rPr>
                <w:color w:val="000000"/>
                <w:sz w:val="24"/>
                <w:szCs w:val="24"/>
              </w:rPr>
              <w:t>9</w:t>
            </w:r>
          </w:p>
        </w:tc>
        <w:tc>
          <w:tcPr>
            <w:vAlign w:val="center"/>
          </w:tcPr>
          <w:p>
            <w:pPr>
              <w:jc w:val="center"/>
            </w:pPr>
            <w:r>
              <w:rPr>
                <w:color w:val="000000"/>
                <w:sz w:val="24"/>
                <w:szCs w:val="24"/>
              </w:rPr>
              <w:t>002439</w:t>
            </w:r>
          </w:p>
        </w:tc>
        <w:tc>
          <w:tcPr>
            <w:vAlign w:val="center"/>
          </w:tcPr>
          <w:p>
            <w:pPr>
              <w:jc w:val="center"/>
            </w:pPr>
            <w:r>
              <w:rPr>
                <w:color w:val="000000"/>
                <w:sz w:val="24"/>
                <w:szCs w:val="24"/>
              </w:rPr>
              <w:t>启明星辰</w:t>
            </w:r>
          </w:p>
        </w:tc>
        <w:tc>
          <w:tcPr>
            <w:vAlign w:val="center"/>
          </w:tcPr>
          <w:p>
            <w:pPr>
              <w:jc w:val="right"/>
            </w:pPr>
            <w:r>
              <w:rPr>
                <w:color w:val="000000"/>
                <w:sz w:val="24"/>
                <w:szCs w:val="24"/>
              </w:rPr>
              <w:t>179,919</w:t>
            </w:r>
          </w:p>
        </w:tc>
        <w:tc>
          <w:tcPr>
            <w:vAlign w:val="center"/>
          </w:tcPr>
          <w:p>
            <w:pPr>
              <w:jc w:val="right"/>
            </w:pPr>
            <w:r>
              <w:rPr>
                <w:color w:val="000000"/>
                <w:sz w:val="24"/>
                <w:szCs w:val="24"/>
              </w:rPr>
              <w:t>5,753,809.62</w:t>
            </w:r>
          </w:p>
        </w:tc>
        <w:tc>
          <w:tcPr>
            <w:vAlign w:val="center"/>
          </w:tcPr>
          <w:p>
            <w:pPr>
              <w:jc w:val="right"/>
            </w:pPr>
            <w:r>
              <w:rPr>
                <w:color w:val="000000"/>
                <w:sz w:val="24"/>
                <w:szCs w:val="24"/>
              </w:rPr>
              <w:t>2.76</w:t>
            </w:r>
          </w:p>
        </w:tc>
      </w:tr>
      <w:tr>
        <w:tc>
          <w:tcPr>
            <w:vAlign w:val="center"/>
          </w:tcPr>
          <w:p>
            <w:pPr>
              <w:jc w:val="center"/>
            </w:pPr>
            <w:r>
              <w:rPr>
                <w:color w:val="000000"/>
                <w:sz w:val="24"/>
                <w:szCs w:val="24"/>
              </w:rPr>
              <w:t>10</w:t>
            </w:r>
          </w:p>
        </w:tc>
        <w:tc>
          <w:tcPr>
            <w:vAlign w:val="center"/>
          </w:tcPr>
          <w:p>
            <w:pPr>
              <w:jc w:val="center"/>
            </w:pPr>
            <w:r>
              <w:rPr>
                <w:color w:val="000000"/>
                <w:sz w:val="24"/>
                <w:szCs w:val="24"/>
              </w:rPr>
              <w:t>600703</w:t>
            </w:r>
          </w:p>
        </w:tc>
        <w:tc>
          <w:tcPr>
            <w:vAlign w:val="center"/>
          </w:tcPr>
          <w:p>
            <w:pPr>
              <w:jc w:val="center"/>
            </w:pPr>
            <w:r>
              <w:rPr>
                <w:color w:val="000000"/>
                <w:sz w:val="24"/>
                <w:szCs w:val="24"/>
              </w:rPr>
              <w:t>三安光电</w:t>
            </w:r>
          </w:p>
        </w:tc>
        <w:tc>
          <w:tcPr>
            <w:vAlign w:val="center"/>
          </w:tcPr>
          <w:p>
            <w:pPr>
              <w:jc w:val="right"/>
            </w:pPr>
            <w:r>
              <w:rPr>
                <w:color w:val="000000"/>
                <w:sz w:val="24"/>
                <w:szCs w:val="24"/>
              </w:rPr>
              <w:t>400,000</w:t>
            </w:r>
          </w:p>
        </w:tc>
        <w:tc>
          <w:tcPr>
            <w:vAlign w:val="center"/>
          </w:tcPr>
          <w:p>
            <w:pPr>
              <w:jc w:val="right"/>
            </w:pPr>
            <w:r>
              <w:rPr>
                <w:color w:val="000000"/>
                <w:sz w:val="24"/>
                <w:szCs w:val="24"/>
              </w:rPr>
              <w:t>5,632,000.00</w:t>
            </w:r>
          </w:p>
        </w:tc>
        <w:tc>
          <w:tcPr>
            <w:vAlign w:val="center"/>
          </w:tcPr>
          <w:p>
            <w:pPr>
              <w:jc w:val="right"/>
            </w:pPr>
            <w:r>
              <w:rPr>
                <w:color w:val="000000"/>
                <w:sz w:val="24"/>
                <w:szCs w:val="24"/>
              </w:rPr>
              <w:t>2.70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499,950.00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0.24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499,950.00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0.24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019611</w:t>
            </w:r>
          </w:p>
        </w:tc>
        <w:tc>
          <w:tcPr>
            <w:vAlign w:val="center"/>
          </w:tcPr>
          <w:p>
            <w:pPr>
              <w:jc w:val="center"/>
            </w:pPr>
            <w:r>
              <w:rPr>
                <w:color w:val="000000"/>
                <w:sz w:val="24"/>
                <w:szCs w:val="24"/>
              </w:rPr>
              <w:t>19国债01</w:t>
            </w:r>
          </w:p>
        </w:tc>
        <w:tc>
          <w:tcPr>
            <w:vAlign w:val="center"/>
          </w:tcPr>
          <w:p>
            <w:pPr>
              <w:jc w:val="right"/>
            </w:pPr>
            <w:r>
              <w:rPr>
                <w:color w:val="000000"/>
                <w:sz w:val="24"/>
                <w:szCs w:val="24"/>
              </w:rPr>
              <w:t>5,000</w:t>
            </w:r>
          </w:p>
        </w:tc>
        <w:tc>
          <w:tcPr>
            <w:vAlign w:val="center"/>
          </w:tcPr>
          <w:p>
            <w:pPr>
              <w:jc w:val="right"/>
            </w:pPr>
            <w:r>
              <w:rPr>
                <w:color w:val="000000"/>
                <w:sz w:val="24"/>
                <w:szCs w:val="24"/>
              </w:rPr>
              <w:t>499,950.00</w:t>
            </w:r>
          </w:p>
        </w:tc>
        <w:tc>
          <w:tcPr>
            <w:vAlign w:val="center"/>
          </w:tcPr>
          <w:p>
            <w:pPr>
              <w:jc w:val="right"/>
            </w:pPr>
            <w:r>
              <w:rPr>
                <w:color w:val="000000"/>
                <w:sz w:val="24"/>
                <w:szCs w:val="24"/>
              </w:rPr>
              <w:t>0.24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194,778.57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5,196.27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10,710.96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210,685.80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105,321,802.76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83,028,701.56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32,309,573.45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156,040,930.87</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1、中国证监会准予交银施罗德创新成长混合型证券投资基金募集注册的文件；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2、《交银施罗德创新成长混合型证券投资基金基金合同》；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3、《交银施罗德创新成长混合型证券投资基金招募说明书》；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4、《交银施罗德创新成长混合型证券投资基金托管协议》；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5、关于申请募集注册交银施罗德创新成长混合型证券投资基金的法律意见书；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8、报告期内交银施罗德创新成长混合型证券投资基金在指定报刊上各项公告的原稿。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交银施罗德创新成长混合型证券投资基金2019年第3季度报告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