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交银施罗德新成长混合型证券投资基金</w:t>
      </w:r>
    </w:p>
    <w:p w:rsidR="002279D3" w:rsidRPr="0081286B" w:rsidRDefault="002279D3" w:rsidP="00C15CAC">
      <w:pPr>
        <w:spacing w:before="29" w:line="288" w:lineRule="auto"/>
        <w:jc w:val="center"/>
        <w:rPr>
          <w:b/>
          <w:sz w:val="36"/>
          <w:szCs w:val="36"/>
        </w:rPr>
      </w:pPr>
      <w:r w:rsidRPr="0081286B">
        <w:rPr>
          <w:b/>
          <w:sz w:val="36"/>
          <w:szCs w:val="36"/>
        </w:rPr>
        <w:t>2019</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2019</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基金托管人：招商银行股份有限公司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二〇一九年十月二十二日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D824E0" w:rsidRDefault="00D86191">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D824E0" w:rsidRDefault="00D86191">
      <w:pPr>
        <w:spacing w:before="29" w:line="288" w:lineRule="auto"/>
        <w:ind w:firstLineChars="200" w:firstLine="480"/>
        <w:rPr>
          <w:color w:val="000000"/>
          <w:sz w:val="24"/>
          <w:szCs w:val="24"/>
        </w:rPr>
      </w:pPr>
      <w:r>
        <w:rPr>
          <w:color w:val="000000"/>
          <w:sz w:val="24"/>
          <w:szCs w:val="24"/>
        </w:rPr>
        <w:t>基金托管人招商银行股份有限公司根据本基金合同规定，于</w:t>
      </w:r>
      <w:r>
        <w:rPr>
          <w:color w:val="000000"/>
          <w:sz w:val="24"/>
          <w:szCs w:val="24"/>
        </w:rPr>
        <w:t>2019</w:t>
      </w:r>
      <w:r>
        <w:rPr>
          <w:color w:val="000000"/>
          <w:sz w:val="24"/>
          <w:szCs w:val="24"/>
        </w:rPr>
        <w:t>年</w:t>
      </w:r>
      <w:r>
        <w:rPr>
          <w:color w:val="000000"/>
          <w:sz w:val="24"/>
          <w:szCs w:val="24"/>
        </w:rPr>
        <w:t>10</w:t>
      </w:r>
      <w:r>
        <w:rPr>
          <w:color w:val="000000"/>
          <w:sz w:val="24"/>
          <w:szCs w:val="24"/>
        </w:rPr>
        <w:t>月</w:t>
      </w:r>
      <w:r>
        <w:rPr>
          <w:color w:val="000000"/>
          <w:sz w:val="24"/>
          <w:szCs w:val="24"/>
        </w:rPr>
        <w:t>21</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D824E0" w:rsidRDefault="00D86191">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D824E0" w:rsidRDefault="00D86191">
      <w:pPr>
        <w:spacing w:before="29" w:line="288" w:lineRule="auto"/>
        <w:ind w:firstLineChars="200" w:firstLine="480"/>
        <w:rPr>
          <w:color w:val="000000"/>
          <w:sz w:val="24"/>
          <w:szCs w:val="24"/>
        </w:rPr>
      </w:pPr>
      <w:r>
        <w:rPr>
          <w:color w:val="000000"/>
          <w:sz w:val="24"/>
          <w:szCs w:val="24"/>
        </w:rPr>
        <w:t>基金的过往业绩并不代表其未来表现。投资有风险，</w:t>
      </w:r>
      <w:r>
        <w:rPr>
          <w:color w:val="000000"/>
          <w:sz w:val="24"/>
          <w:szCs w:val="24"/>
        </w:rPr>
        <w:t>投资者在作出投资决策前应仔细阅读本基金的招募说明书。</w:t>
      </w:r>
      <w:r>
        <w:rPr>
          <w:color w:val="000000"/>
          <w:sz w:val="24"/>
          <w:szCs w:val="24"/>
        </w:rPr>
        <w:t xml:space="preserve"> </w:t>
      </w:r>
    </w:p>
    <w:p w:rsidR="00D824E0" w:rsidRDefault="00D86191">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2019</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交银新成长混合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519736</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519736</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519737</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2014</w:t>
            </w:r>
            <w:r w:rsidRPr="00414345">
              <w:rPr>
                <w:color w:val="000000"/>
                <w:kern w:val="0"/>
                <w:sz w:val="24"/>
                <w:szCs w:val="24"/>
              </w:rPr>
              <w:t>年</w:t>
            </w:r>
            <w:r w:rsidRPr="00414345">
              <w:rPr>
                <w:color w:val="000000"/>
                <w:kern w:val="0"/>
                <w:sz w:val="24"/>
                <w:szCs w:val="24"/>
              </w:rPr>
              <w:t>5</w:t>
            </w:r>
            <w:r w:rsidRPr="00414345">
              <w:rPr>
                <w:color w:val="000000"/>
                <w:kern w:val="0"/>
                <w:sz w:val="24"/>
                <w:szCs w:val="24"/>
              </w:rPr>
              <w:t>月</w:t>
            </w:r>
            <w:r w:rsidRPr="00414345">
              <w:rPr>
                <w:color w:val="000000"/>
                <w:kern w:val="0"/>
                <w:sz w:val="24"/>
                <w:szCs w:val="24"/>
              </w:rPr>
              <w:t>9</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1,431,924,223.19</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深入挖掘经济转型背景下的投资机会，自下而上精选个股，力争实现基金资产的长期稳定增值。</w:t>
            </w:r>
            <w:r w:rsidRPr="00414345">
              <w:rPr>
                <w:color w:val="000000"/>
                <w:kern w:val="0"/>
                <w:sz w:val="24"/>
                <w:szCs w:val="24"/>
              </w:rPr>
              <w:t xml:space="preserve"> </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研究优势，在经济转型大背景下，分析和判断宏观经济运行变化和政府产业政策等多因素影响，积极挖掘不同行业和子行业景气度新变化下的个股投资机会，通过团队对个股深入的基本面研究和细致的实地调研，精选公司品质良好、成长具有可持续性、定价相对合理的股票进行投资，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富时中国</w:t>
            </w:r>
            <w:r w:rsidRPr="00414345">
              <w:rPr>
                <w:color w:val="000000"/>
                <w:kern w:val="0"/>
                <w:sz w:val="24"/>
                <w:szCs w:val="24"/>
              </w:rPr>
              <w:t>A600</w:t>
            </w:r>
            <w:r w:rsidRPr="00414345">
              <w:rPr>
                <w:color w:val="000000"/>
                <w:kern w:val="0"/>
                <w:sz w:val="24"/>
                <w:szCs w:val="24"/>
              </w:rPr>
              <w:t>成长指数</w:t>
            </w:r>
            <w:r w:rsidRPr="00414345">
              <w:rPr>
                <w:color w:val="000000"/>
                <w:kern w:val="0"/>
                <w:sz w:val="24"/>
                <w:szCs w:val="24"/>
              </w:rPr>
              <w:t>+25%×</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w:t>
            </w:r>
            <w:r w:rsidRPr="00414345">
              <w:rPr>
                <w:color w:val="000000"/>
                <w:kern w:val="0"/>
                <w:sz w:val="24"/>
                <w:szCs w:val="24"/>
              </w:rPr>
              <w:lastRenderedPageBreak/>
              <w:t>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招商银行股份有限公司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D868B3" w:rsidRPr="00414345" w:rsidTr="00D868B3">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(2019</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-2019</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D868B3" w:rsidRPr="00414345" w:rsidTr="00D868B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339,409,502.01</w:t>
            </w:r>
          </w:p>
        </w:tc>
      </w:tr>
      <w:tr w:rsidR="00D868B3" w:rsidRPr="00414345" w:rsidTr="00D868B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157,926,672.54</w:t>
            </w:r>
          </w:p>
        </w:tc>
      </w:tr>
      <w:tr w:rsidR="00D868B3" w:rsidRPr="00414345" w:rsidTr="00D868B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0.1177</w:t>
            </w:r>
          </w:p>
        </w:tc>
      </w:tr>
      <w:tr w:rsidR="00D868B3" w:rsidRPr="00414345" w:rsidTr="00D868B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3,387,588,931.35</w:t>
            </w:r>
          </w:p>
        </w:tc>
      </w:tr>
      <w:tr w:rsidR="00D868B3" w:rsidRPr="00414345" w:rsidTr="00D868B3">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2.366</w:t>
            </w:r>
          </w:p>
        </w:tc>
      </w:tr>
    </w:tbl>
    <w:p w:rsidR="00D824E0" w:rsidRDefault="00D86191">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D824E0">
        <w:trPr>
          <w:jc w:val="center"/>
        </w:trPr>
        <w:tc>
          <w:tcPr>
            <w:tcW w:w="1701" w:type="dxa"/>
            <w:vAlign w:val="center"/>
          </w:tcPr>
          <w:p w:rsidR="00D824E0" w:rsidRDefault="00D86191">
            <w:pPr>
              <w:jc w:val="left"/>
            </w:pPr>
            <w:r>
              <w:rPr>
                <w:color w:val="000000"/>
                <w:sz w:val="24"/>
                <w:szCs w:val="24"/>
              </w:rPr>
              <w:t>过去三个月</w:t>
            </w:r>
          </w:p>
        </w:tc>
        <w:tc>
          <w:tcPr>
            <w:tcW w:w="1045" w:type="dxa"/>
            <w:vAlign w:val="center"/>
          </w:tcPr>
          <w:p w:rsidR="00D824E0" w:rsidRDefault="00D86191">
            <w:pPr>
              <w:jc w:val="center"/>
            </w:pPr>
            <w:r>
              <w:rPr>
                <w:color w:val="000000"/>
                <w:sz w:val="24"/>
                <w:szCs w:val="24"/>
              </w:rPr>
              <w:t>5.11%</w:t>
            </w:r>
          </w:p>
        </w:tc>
        <w:tc>
          <w:tcPr>
            <w:tcW w:w="1344" w:type="dxa"/>
            <w:vAlign w:val="center"/>
          </w:tcPr>
          <w:p w:rsidR="00D824E0" w:rsidRDefault="00D86191">
            <w:pPr>
              <w:jc w:val="center"/>
            </w:pPr>
            <w:r>
              <w:rPr>
                <w:color w:val="000000"/>
                <w:sz w:val="24"/>
                <w:szCs w:val="24"/>
              </w:rPr>
              <w:t>0.93%</w:t>
            </w:r>
          </w:p>
        </w:tc>
        <w:tc>
          <w:tcPr>
            <w:tcW w:w="1194" w:type="dxa"/>
            <w:vAlign w:val="center"/>
          </w:tcPr>
          <w:p w:rsidR="00D824E0" w:rsidRDefault="00D86191">
            <w:pPr>
              <w:jc w:val="center"/>
            </w:pPr>
            <w:r>
              <w:rPr>
                <w:color w:val="000000"/>
                <w:sz w:val="24"/>
                <w:szCs w:val="24"/>
              </w:rPr>
              <w:t>2.57%</w:t>
            </w:r>
          </w:p>
        </w:tc>
        <w:tc>
          <w:tcPr>
            <w:tcW w:w="1492" w:type="dxa"/>
            <w:vAlign w:val="center"/>
          </w:tcPr>
          <w:p w:rsidR="00D824E0" w:rsidRDefault="00D86191">
            <w:pPr>
              <w:jc w:val="center"/>
            </w:pPr>
            <w:r>
              <w:rPr>
                <w:color w:val="000000"/>
                <w:sz w:val="24"/>
                <w:szCs w:val="24"/>
              </w:rPr>
              <w:t>0.79%</w:t>
            </w:r>
          </w:p>
        </w:tc>
        <w:tc>
          <w:tcPr>
            <w:tcW w:w="1194" w:type="dxa"/>
            <w:vAlign w:val="center"/>
          </w:tcPr>
          <w:p w:rsidR="00D824E0" w:rsidRDefault="00D86191">
            <w:pPr>
              <w:jc w:val="center"/>
            </w:pPr>
            <w:r>
              <w:rPr>
                <w:color w:val="000000"/>
                <w:sz w:val="24"/>
                <w:szCs w:val="24"/>
              </w:rPr>
              <w:t>2.54%</w:t>
            </w:r>
          </w:p>
        </w:tc>
        <w:tc>
          <w:tcPr>
            <w:tcW w:w="898" w:type="dxa"/>
            <w:vAlign w:val="center"/>
          </w:tcPr>
          <w:p w:rsidR="00D824E0" w:rsidRDefault="00D86191">
            <w:pPr>
              <w:jc w:val="center"/>
            </w:pPr>
            <w:r>
              <w:rPr>
                <w:color w:val="000000"/>
                <w:sz w:val="24"/>
                <w:szCs w:val="24"/>
              </w:rPr>
              <w:t>0.14%</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富时中国</w:t>
      </w:r>
      <w:r w:rsidRPr="00414345">
        <w:rPr>
          <w:color w:val="000000"/>
          <w:sz w:val="24"/>
          <w:szCs w:val="24"/>
        </w:rPr>
        <w:t>A600</w:t>
      </w:r>
      <w:r w:rsidRPr="00414345">
        <w:rPr>
          <w:color w:val="000000"/>
          <w:sz w:val="24"/>
          <w:szCs w:val="24"/>
        </w:rPr>
        <w:t>成长指数</w:t>
      </w:r>
      <w:r w:rsidRPr="00414345">
        <w:rPr>
          <w:color w:val="000000"/>
          <w:sz w:val="24"/>
          <w:szCs w:val="24"/>
        </w:rPr>
        <w:t>+25%×</w:t>
      </w:r>
      <w:r w:rsidRPr="00414345">
        <w:rPr>
          <w:color w:val="000000"/>
          <w:sz w:val="24"/>
          <w:szCs w:val="24"/>
        </w:rPr>
        <w:t>中信标普全债指数</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富时中国</w:t>
      </w:r>
      <w:r w:rsidRPr="00414345">
        <w:rPr>
          <w:color w:val="000000"/>
          <w:sz w:val="24"/>
          <w:szCs w:val="24"/>
        </w:rPr>
        <w:t>A600</w:t>
      </w:r>
      <w:r w:rsidRPr="00414345">
        <w:rPr>
          <w:color w:val="000000"/>
          <w:sz w:val="24"/>
          <w:szCs w:val="24"/>
        </w:rPr>
        <w:t>成长指数</w:t>
      </w:r>
      <w:r w:rsidRPr="00414345">
        <w:rPr>
          <w:color w:val="000000"/>
          <w:sz w:val="24"/>
          <w:szCs w:val="24"/>
        </w:rPr>
        <w:t>+25%×</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lastRenderedPageBreak/>
        <w:t>交银施罗德新成长混合型证券投资基金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2014</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5</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9</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2019</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D824E0">
        <w:trPr>
          <w:jc w:val="center"/>
        </w:trPr>
        <w:tc>
          <w:tcPr>
            <w:tcW w:w="846" w:type="dxa"/>
            <w:vAlign w:val="center"/>
          </w:tcPr>
          <w:p w:rsidR="00D824E0" w:rsidRDefault="00D86191">
            <w:pPr>
              <w:jc w:val="center"/>
            </w:pPr>
            <w:r>
              <w:rPr>
                <w:color w:val="000000"/>
                <w:sz w:val="24"/>
                <w:szCs w:val="24"/>
              </w:rPr>
              <w:t>王崇</w:t>
            </w:r>
          </w:p>
        </w:tc>
        <w:tc>
          <w:tcPr>
            <w:tcW w:w="845" w:type="dxa"/>
            <w:vAlign w:val="center"/>
          </w:tcPr>
          <w:p w:rsidR="00D824E0" w:rsidRDefault="00D86191">
            <w:pPr>
              <w:jc w:val="center"/>
            </w:pPr>
            <w:r>
              <w:rPr>
                <w:color w:val="000000"/>
                <w:sz w:val="24"/>
                <w:szCs w:val="24"/>
              </w:rPr>
              <w:t>交银精选混合、交银新成长混合</w:t>
            </w:r>
            <w:r w:rsidR="00D868B3" w:rsidRPr="00D868B3">
              <w:rPr>
                <w:rFonts w:hint="eastAsia"/>
                <w:color w:val="000000"/>
                <w:sz w:val="24"/>
                <w:szCs w:val="24"/>
              </w:rPr>
              <w:t>、交银瑞丰混合</w:t>
            </w:r>
            <w:r>
              <w:rPr>
                <w:color w:val="000000"/>
                <w:sz w:val="24"/>
                <w:szCs w:val="24"/>
              </w:rPr>
              <w:t>的基金</w:t>
            </w:r>
            <w:r>
              <w:rPr>
                <w:color w:val="000000"/>
                <w:sz w:val="24"/>
                <w:szCs w:val="24"/>
              </w:rPr>
              <w:lastRenderedPageBreak/>
              <w:t>经理，公司</w:t>
            </w:r>
            <w:bookmarkStart w:id="0" w:name="_GoBack"/>
            <w:bookmarkEnd w:id="0"/>
            <w:r>
              <w:rPr>
                <w:color w:val="000000"/>
                <w:sz w:val="24"/>
                <w:szCs w:val="24"/>
              </w:rPr>
              <w:t>权益投资副总监</w:t>
            </w:r>
          </w:p>
        </w:tc>
        <w:tc>
          <w:tcPr>
            <w:tcW w:w="1549" w:type="dxa"/>
            <w:vAlign w:val="center"/>
          </w:tcPr>
          <w:p w:rsidR="00D824E0" w:rsidRDefault="00D86191">
            <w:pPr>
              <w:jc w:val="center"/>
            </w:pPr>
            <w:r>
              <w:rPr>
                <w:color w:val="000000"/>
                <w:sz w:val="24"/>
                <w:szCs w:val="24"/>
              </w:rPr>
              <w:lastRenderedPageBreak/>
              <w:t>2014-10-22</w:t>
            </w:r>
          </w:p>
        </w:tc>
        <w:tc>
          <w:tcPr>
            <w:tcW w:w="1548" w:type="dxa"/>
            <w:vAlign w:val="center"/>
          </w:tcPr>
          <w:p w:rsidR="00D824E0" w:rsidRDefault="00D86191">
            <w:pPr>
              <w:jc w:val="center"/>
            </w:pPr>
            <w:r>
              <w:rPr>
                <w:color w:val="000000"/>
                <w:sz w:val="24"/>
                <w:szCs w:val="24"/>
              </w:rPr>
              <w:t>-</w:t>
            </w:r>
          </w:p>
        </w:tc>
        <w:tc>
          <w:tcPr>
            <w:tcW w:w="1407" w:type="dxa"/>
            <w:vAlign w:val="center"/>
          </w:tcPr>
          <w:p w:rsidR="00D824E0" w:rsidRDefault="00D86191">
            <w:pPr>
              <w:jc w:val="center"/>
            </w:pPr>
            <w:r>
              <w:rPr>
                <w:color w:val="000000"/>
                <w:sz w:val="24"/>
                <w:szCs w:val="24"/>
              </w:rPr>
              <w:t>11</w:t>
            </w:r>
            <w:r>
              <w:rPr>
                <w:color w:val="000000"/>
                <w:sz w:val="24"/>
                <w:szCs w:val="24"/>
              </w:rPr>
              <w:t>年</w:t>
            </w:r>
          </w:p>
        </w:tc>
        <w:tc>
          <w:tcPr>
            <w:tcW w:w="2673" w:type="dxa"/>
            <w:vAlign w:val="center"/>
          </w:tcPr>
          <w:p w:rsidR="00D824E0" w:rsidRDefault="00D86191">
            <w:r>
              <w:rPr>
                <w:color w:val="000000"/>
                <w:sz w:val="24"/>
                <w:szCs w:val="24"/>
              </w:rPr>
              <w:t>王崇先生，北京大学金融学博士。</w:t>
            </w:r>
            <w:r>
              <w:rPr>
                <w:color w:val="000000"/>
                <w:sz w:val="24"/>
                <w:szCs w:val="24"/>
              </w:rPr>
              <w:t>2008</w:t>
            </w:r>
            <w:r>
              <w:rPr>
                <w:color w:val="000000"/>
                <w:sz w:val="24"/>
                <w:szCs w:val="24"/>
              </w:rPr>
              <w:t>年加入交银施罗德基金管理有限公司，历任行业分析师、高级研究员。</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D824E0" w:rsidRDefault="00D86191">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D824E0" w:rsidRDefault="00D86191">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D824E0" w:rsidRDefault="00D86191">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w:t>
      </w:r>
      <w:r>
        <w:rPr>
          <w:color w:val="000000"/>
          <w:sz w:val="24"/>
          <w:szCs w:val="24"/>
        </w:rPr>
        <w:t>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lastRenderedPageBreak/>
        <w:t xml:space="preserve">4.4 </w:t>
      </w:r>
      <w:r w:rsidRPr="00414345">
        <w:rPr>
          <w:rFonts w:hAnsi="宋体"/>
          <w:b/>
          <w:bCs/>
          <w:color w:val="000000"/>
          <w:sz w:val="24"/>
        </w:rPr>
        <w:t>报告期内基金的投资策略和运作分析</w:t>
      </w:r>
    </w:p>
    <w:p w:rsidR="00D824E0" w:rsidRDefault="00D86191">
      <w:pPr>
        <w:spacing w:before="29" w:line="288" w:lineRule="auto"/>
        <w:ind w:firstLineChars="200" w:firstLine="480"/>
        <w:rPr>
          <w:color w:val="000000"/>
          <w:sz w:val="24"/>
          <w:szCs w:val="24"/>
        </w:rPr>
      </w:pPr>
      <w:r>
        <w:rPr>
          <w:color w:val="000000"/>
          <w:sz w:val="24"/>
          <w:szCs w:val="24"/>
        </w:rPr>
        <w:t>2019</w:t>
      </w:r>
      <w:r>
        <w:rPr>
          <w:color w:val="000000"/>
          <w:sz w:val="24"/>
          <w:szCs w:val="24"/>
        </w:rPr>
        <w:t>年三季度国内经济延续回落趋势，同时政策定力增强，维持稳健货币政策，房地产调控政策延续从紧，坚持房住不炒。三季度</w:t>
      </w:r>
      <w:r>
        <w:rPr>
          <w:color w:val="000000"/>
          <w:sz w:val="24"/>
          <w:szCs w:val="24"/>
        </w:rPr>
        <w:t>A</w:t>
      </w:r>
      <w:r>
        <w:rPr>
          <w:color w:val="000000"/>
          <w:sz w:val="24"/>
          <w:szCs w:val="24"/>
        </w:rPr>
        <w:t>股市场对中美贸易冲突逐渐脱敏，市场从正面解读中看到</w:t>
      </w:r>
      <w:r>
        <w:rPr>
          <w:color w:val="000000"/>
          <w:sz w:val="24"/>
          <w:szCs w:val="24"/>
        </w:rPr>
        <w:t>5G</w:t>
      </w:r>
      <w:r>
        <w:rPr>
          <w:color w:val="000000"/>
          <w:sz w:val="24"/>
          <w:szCs w:val="24"/>
        </w:rPr>
        <w:t>和国产替代带来的科技板块投资机会，同时三季度初科创板推出后高估值交易，主板</w:t>
      </w:r>
      <w:r>
        <w:rPr>
          <w:color w:val="000000"/>
          <w:sz w:val="24"/>
          <w:szCs w:val="24"/>
        </w:rPr>
        <w:t>TMT</w:t>
      </w:r>
      <w:r>
        <w:rPr>
          <w:color w:val="000000"/>
          <w:sz w:val="24"/>
          <w:szCs w:val="24"/>
        </w:rPr>
        <w:t>估值出现比较优势，以半导体和消费电子为首的</w:t>
      </w:r>
      <w:r>
        <w:rPr>
          <w:color w:val="000000"/>
          <w:sz w:val="24"/>
          <w:szCs w:val="24"/>
        </w:rPr>
        <w:t>TMT</w:t>
      </w:r>
      <w:r>
        <w:rPr>
          <w:color w:val="000000"/>
          <w:sz w:val="24"/>
          <w:szCs w:val="24"/>
        </w:rPr>
        <w:t>科技板块领涨市场，涨幅遥遥领先，而受房地产调控从紧的影响的房地产以及相关产业链个股跌幅靠前。</w:t>
      </w:r>
    </w:p>
    <w:p w:rsidR="00D824E0" w:rsidRDefault="00D86191">
      <w:pPr>
        <w:spacing w:before="29" w:line="288" w:lineRule="auto"/>
        <w:ind w:firstLineChars="200" w:firstLine="480"/>
        <w:rPr>
          <w:color w:val="000000"/>
          <w:sz w:val="24"/>
          <w:szCs w:val="24"/>
        </w:rPr>
      </w:pPr>
      <w:r>
        <w:rPr>
          <w:color w:val="000000"/>
          <w:sz w:val="24"/>
          <w:szCs w:val="24"/>
        </w:rPr>
        <w:t>本基金三季度大部分时间保持中性偏低仓位，坚持自下而上，同时行业分散配置，规避热门行业板块，个股集中度略有下降。行业层面减持金融、医疗服务以及电子；增持房地产、建材以及医疗器械。从三季度总体表现来看，本基金跑赢业绩比较基准。</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2019</w:t>
      </w:r>
      <w:r w:rsidRPr="00414345">
        <w:rPr>
          <w:color w:val="000000"/>
          <w:sz w:val="24"/>
          <w:szCs w:val="24"/>
        </w:rPr>
        <w:t>年四季度，我们维持中期乐观的同时对四季度市场持谨慎态度。考虑到目前的经济状况、利率水平以及政策取向，我们仍旧认为大类资产配置中权益最优，从估值盈利匹配度来看，有不少传统行业优质公司龙头仍旧值得投资和持有。另一方面，我们注意到，长期逻辑通畅的新兴产业（如医疗服务、创新药以及半导体计算机等）经历了三季度大幅上涨后估值处于历史高位，而以房地产为首相关传统行业估值处于历史低位，两者比值接近历史极值。后面到底是高估值板块下跌，还是低估值补涨，未来如何演绎值得关注。最后，核心资产的概念已深入人心，相关核心资产股票的价格已不再具有优势，那么简单抓龙头买入持有式的投资方法可能已经不再那么有效，至少是未来收益率会下降。本基金后续继续关注一、二线房地产龙头、医疗服务器械、以及计算机为首的新兴成长，努力寻找中期市值空间较大的优质公司股票做中期布局，恪守能力圈和安全边际原则，努力为基金持有人带来稳定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2,516,886,663.83</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73.84</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2,516,886,663.83</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73.84</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169,949,000.00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4.99</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169,949,000.00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4.99</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435,547,672.43</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12.78</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285,969,455.01</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8.39</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3,408,352,791.27</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612,016,151.36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18.07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88,058,490.38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w:t>
            </w:r>
            <w:r w:rsidRPr="00414345">
              <w:rPr>
                <w:sz w:val="24"/>
                <w:szCs w:val="24"/>
              </w:rPr>
              <w:lastRenderedPageBreak/>
              <w:t>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lastRenderedPageBreak/>
              <w:t>294,187,639.78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8.68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266,297,848.95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7.86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593,483,950.91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17.52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17,938,800.00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0.53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160,840,537.04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4.75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163,782,524.45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4.83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309,783,120.96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9.14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10,497,600.00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0.31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2,516,886,663.83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74.30</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D824E0">
        <w:trPr>
          <w:jc w:val="center"/>
        </w:trPr>
        <w:tc>
          <w:tcPr>
            <w:tcW w:w="855" w:type="dxa"/>
            <w:vAlign w:val="center"/>
          </w:tcPr>
          <w:p w:rsidR="00D824E0" w:rsidRDefault="00D86191">
            <w:pPr>
              <w:jc w:val="center"/>
            </w:pPr>
            <w:r>
              <w:rPr>
                <w:color w:val="000000"/>
                <w:sz w:val="24"/>
                <w:szCs w:val="24"/>
              </w:rPr>
              <w:t>1</w:t>
            </w:r>
          </w:p>
        </w:tc>
        <w:tc>
          <w:tcPr>
            <w:tcW w:w="1334" w:type="dxa"/>
            <w:vAlign w:val="center"/>
          </w:tcPr>
          <w:p w:rsidR="00D824E0" w:rsidRDefault="00D86191">
            <w:pPr>
              <w:jc w:val="center"/>
            </w:pPr>
            <w:r>
              <w:rPr>
                <w:color w:val="000000"/>
                <w:sz w:val="24"/>
                <w:szCs w:val="24"/>
              </w:rPr>
              <w:t>600048</w:t>
            </w:r>
          </w:p>
        </w:tc>
        <w:tc>
          <w:tcPr>
            <w:tcW w:w="1777" w:type="dxa"/>
            <w:vAlign w:val="center"/>
          </w:tcPr>
          <w:p w:rsidR="00D824E0" w:rsidRDefault="00D86191">
            <w:pPr>
              <w:jc w:val="center"/>
            </w:pPr>
            <w:r>
              <w:rPr>
                <w:color w:val="000000"/>
                <w:sz w:val="24"/>
                <w:szCs w:val="24"/>
              </w:rPr>
              <w:t>保利地产</w:t>
            </w:r>
          </w:p>
        </w:tc>
        <w:tc>
          <w:tcPr>
            <w:tcW w:w="1334" w:type="dxa"/>
            <w:vAlign w:val="center"/>
          </w:tcPr>
          <w:p w:rsidR="00D824E0" w:rsidRDefault="00D86191">
            <w:pPr>
              <w:jc w:val="right"/>
            </w:pPr>
            <w:r>
              <w:rPr>
                <w:color w:val="000000"/>
                <w:sz w:val="24"/>
                <w:szCs w:val="24"/>
              </w:rPr>
              <w:t>19,063,556</w:t>
            </w:r>
          </w:p>
        </w:tc>
        <w:tc>
          <w:tcPr>
            <w:tcW w:w="1924" w:type="dxa"/>
            <w:vAlign w:val="center"/>
          </w:tcPr>
          <w:p w:rsidR="00D824E0" w:rsidRDefault="00D86191">
            <w:pPr>
              <w:jc w:val="right"/>
            </w:pPr>
            <w:r>
              <w:rPr>
                <w:color w:val="000000"/>
                <w:sz w:val="24"/>
                <w:szCs w:val="24"/>
              </w:rPr>
              <w:t>272,608,850.80</w:t>
            </w:r>
          </w:p>
        </w:tc>
        <w:tc>
          <w:tcPr>
            <w:tcW w:w="1644" w:type="dxa"/>
            <w:vAlign w:val="center"/>
          </w:tcPr>
          <w:p w:rsidR="00D824E0" w:rsidRDefault="00D86191">
            <w:pPr>
              <w:jc w:val="right"/>
            </w:pPr>
            <w:r>
              <w:rPr>
                <w:color w:val="000000"/>
                <w:sz w:val="24"/>
                <w:szCs w:val="24"/>
              </w:rPr>
              <w:t>8.05</w:t>
            </w:r>
          </w:p>
        </w:tc>
      </w:tr>
      <w:tr w:rsidR="00D824E0">
        <w:trPr>
          <w:jc w:val="center"/>
        </w:trPr>
        <w:tc>
          <w:tcPr>
            <w:tcW w:w="855" w:type="dxa"/>
            <w:vAlign w:val="center"/>
          </w:tcPr>
          <w:p w:rsidR="00D824E0" w:rsidRDefault="00D86191">
            <w:pPr>
              <w:jc w:val="center"/>
            </w:pPr>
            <w:r>
              <w:rPr>
                <w:color w:val="000000"/>
                <w:sz w:val="24"/>
                <w:szCs w:val="24"/>
              </w:rPr>
              <w:t>2</w:t>
            </w:r>
          </w:p>
        </w:tc>
        <w:tc>
          <w:tcPr>
            <w:tcW w:w="1334" w:type="dxa"/>
            <w:vAlign w:val="center"/>
          </w:tcPr>
          <w:p w:rsidR="00D824E0" w:rsidRDefault="00D86191">
            <w:pPr>
              <w:jc w:val="center"/>
            </w:pPr>
            <w:r>
              <w:rPr>
                <w:color w:val="000000"/>
                <w:sz w:val="24"/>
                <w:szCs w:val="24"/>
              </w:rPr>
              <w:t>002044</w:t>
            </w:r>
          </w:p>
        </w:tc>
        <w:tc>
          <w:tcPr>
            <w:tcW w:w="1777" w:type="dxa"/>
            <w:vAlign w:val="center"/>
          </w:tcPr>
          <w:p w:rsidR="00D824E0" w:rsidRDefault="00D86191">
            <w:pPr>
              <w:jc w:val="center"/>
            </w:pPr>
            <w:r>
              <w:rPr>
                <w:color w:val="000000"/>
                <w:sz w:val="24"/>
                <w:szCs w:val="24"/>
              </w:rPr>
              <w:t>美年健康</w:t>
            </w:r>
          </w:p>
        </w:tc>
        <w:tc>
          <w:tcPr>
            <w:tcW w:w="1334" w:type="dxa"/>
            <w:vAlign w:val="center"/>
          </w:tcPr>
          <w:p w:rsidR="00D824E0" w:rsidRDefault="00D86191">
            <w:pPr>
              <w:jc w:val="right"/>
            </w:pPr>
            <w:r>
              <w:rPr>
                <w:color w:val="000000"/>
                <w:sz w:val="24"/>
                <w:szCs w:val="24"/>
              </w:rPr>
              <w:t>19,957,806</w:t>
            </w:r>
          </w:p>
        </w:tc>
        <w:tc>
          <w:tcPr>
            <w:tcW w:w="1924" w:type="dxa"/>
            <w:vAlign w:val="center"/>
          </w:tcPr>
          <w:p w:rsidR="00D824E0" w:rsidRDefault="00D86191">
            <w:pPr>
              <w:jc w:val="right"/>
            </w:pPr>
            <w:r>
              <w:rPr>
                <w:color w:val="000000"/>
                <w:sz w:val="24"/>
                <w:szCs w:val="24"/>
              </w:rPr>
              <w:t>242,406,120.96</w:t>
            </w:r>
          </w:p>
        </w:tc>
        <w:tc>
          <w:tcPr>
            <w:tcW w:w="1644" w:type="dxa"/>
            <w:vAlign w:val="center"/>
          </w:tcPr>
          <w:p w:rsidR="00D824E0" w:rsidRDefault="00D86191">
            <w:pPr>
              <w:jc w:val="right"/>
            </w:pPr>
            <w:r>
              <w:rPr>
                <w:color w:val="000000"/>
                <w:sz w:val="24"/>
                <w:szCs w:val="24"/>
              </w:rPr>
              <w:t>7.16</w:t>
            </w:r>
          </w:p>
        </w:tc>
      </w:tr>
      <w:tr w:rsidR="00D824E0">
        <w:trPr>
          <w:jc w:val="center"/>
        </w:trPr>
        <w:tc>
          <w:tcPr>
            <w:tcW w:w="855" w:type="dxa"/>
            <w:vAlign w:val="center"/>
          </w:tcPr>
          <w:p w:rsidR="00D824E0" w:rsidRDefault="00D86191">
            <w:pPr>
              <w:jc w:val="center"/>
            </w:pPr>
            <w:r>
              <w:rPr>
                <w:color w:val="000000"/>
                <w:sz w:val="24"/>
                <w:szCs w:val="24"/>
              </w:rPr>
              <w:t>3</w:t>
            </w:r>
          </w:p>
        </w:tc>
        <w:tc>
          <w:tcPr>
            <w:tcW w:w="1334" w:type="dxa"/>
            <w:vAlign w:val="center"/>
          </w:tcPr>
          <w:p w:rsidR="00D824E0" w:rsidRDefault="00D86191">
            <w:pPr>
              <w:jc w:val="center"/>
            </w:pPr>
            <w:r>
              <w:rPr>
                <w:color w:val="000000"/>
                <w:sz w:val="24"/>
                <w:szCs w:val="24"/>
              </w:rPr>
              <w:t>002271</w:t>
            </w:r>
          </w:p>
        </w:tc>
        <w:tc>
          <w:tcPr>
            <w:tcW w:w="1777" w:type="dxa"/>
            <w:vAlign w:val="center"/>
          </w:tcPr>
          <w:p w:rsidR="00D824E0" w:rsidRDefault="00D86191">
            <w:pPr>
              <w:jc w:val="center"/>
            </w:pPr>
            <w:r>
              <w:rPr>
                <w:color w:val="000000"/>
                <w:sz w:val="24"/>
                <w:szCs w:val="24"/>
              </w:rPr>
              <w:t>东方雨虹</w:t>
            </w:r>
          </w:p>
        </w:tc>
        <w:tc>
          <w:tcPr>
            <w:tcW w:w="1334" w:type="dxa"/>
            <w:vAlign w:val="center"/>
          </w:tcPr>
          <w:p w:rsidR="00D824E0" w:rsidRDefault="00D86191">
            <w:pPr>
              <w:jc w:val="right"/>
            </w:pPr>
            <w:r>
              <w:rPr>
                <w:color w:val="000000"/>
                <w:sz w:val="24"/>
                <w:szCs w:val="24"/>
              </w:rPr>
              <w:t>11,445,094</w:t>
            </w:r>
          </w:p>
        </w:tc>
        <w:tc>
          <w:tcPr>
            <w:tcW w:w="1924" w:type="dxa"/>
            <w:vAlign w:val="center"/>
          </w:tcPr>
          <w:p w:rsidR="00D824E0" w:rsidRDefault="00D86191">
            <w:pPr>
              <w:jc w:val="right"/>
            </w:pPr>
            <w:r>
              <w:rPr>
                <w:color w:val="000000"/>
                <w:sz w:val="24"/>
                <w:szCs w:val="24"/>
              </w:rPr>
              <w:t>240,575,875.88</w:t>
            </w:r>
          </w:p>
        </w:tc>
        <w:tc>
          <w:tcPr>
            <w:tcW w:w="1644" w:type="dxa"/>
            <w:vAlign w:val="center"/>
          </w:tcPr>
          <w:p w:rsidR="00D824E0" w:rsidRDefault="00D86191">
            <w:pPr>
              <w:jc w:val="right"/>
            </w:pPr>
            <w:r>
              <w:rPr>
                <w:color w:val="000000"/>
                <w:sz w:val="24"/>
                <w:szCs w:val="24"/>
              </w:rPr>
              <w:t>7.10</w:t>
            </w:r>
          </w:p>
        </w:tc>
      </w:tr>
      <w:tr w:rsidR="00D824E0">
        <w:trPr>
          <w:jc w:val="center"/>
        </w:trPr>
        <w:tc>
          <w:tcPr>
            <w:tcW w:w="855" w:type="dxa"/>
            <w:vAlign w:val="center"/>
          </w:tcPr>
          <w:p w:rsidR="00D824E0" w:rsidRDefault="00D86191">
            <w:pPr>
              <w:jc w:val="center"/>
            </w:pPr>
            <w:r>
              <w:rPr>
                <w:color w:val="000000"/>
                <w:sz w:val="24"/>
                <w:szCs w:val="24"/>
              </w:rPr>
              <w:t>4</w:t>
            </w:r>
          </w:p>
        </w:tc>
        <w:tc>
          <w:tcPr>
            <w:tcW w:w="1334" w:type="dxa"/>
            <w:vAlign w:val="center"/>
          </w:tcPr>
          <w:p w:rsidR="00D824E0" w:rsidRDefault="00D86191">
            <w:pPr>
              <w:jc w:val="center"/>
            </w:pPr>
            <w:r>
              <w:rPr>
                <w:color w:val="000000"/>
                <w:sz w:val="24"/>
                <w:szCs w:val="24"/>
              </w:rPr>
              <w:t>601166</w:t>
            </w:r>
          </w:p>
        </w:tc>
        <w:tc>
          <w:tcPr>
            <w:tcW w:w="1777" w:type="dxa"/>
            <w:vAlign w:val="center"/>
          </w:tcPr>
          <w:p w:rsidR="00D824E0" w:rsidRDefault="00D86191">
            <w:pPr>
              <w:jc w:val="center"/>
            </w:pPr>
            <w:r>
              <w:rPr>
                <w:color w:val="000000"/>
                <w:sz w:val="24"/>
                <w:szCs w:val="24"/>
              </w:rPr>
              <w:t>兴业银行</w:t>
            </w:r>
          </w:p>
        </w:tc>
        <w:tc>
          <w:tcPr>
            <w:tcW w:w="1334" w:type="dxa"/>
            <w:vAlign w:val="center"/>
          </w:tcPr>
          <w:p w:rsidR="00D824E0" w:rsidRDefault="00D86191">
            <w:pPr>
              <w:jc w:val="right"/>
            </w:pPr>
            <w:r>
              <w:rPr>
                <w:color w:val="000000"/>
                <w:sz w:val="24"/>
                <w:szCs w:val="24"/>
              </w:rPr>
              <w:t>9,606,587</w:t>
            </w:r>
          </w:p>
        </w:tc>
        <w:tc>
          <w:tcPr>
            <w:tcW w:w="1924" w:type="dxa"/>
            <w:vAlign w:val="center"/>
          </w:tcPr>
          <w:p w:rsidR="00D824E0" w:rsidRDefault="00D86191">
            <w:pPr>
              <w:jc w:val="right"/>
            </w:pPr>
            <w:r>
              <w:rPr>
                <w:color w:val="000000"/>
                <w:sz w:val="24"/>
                <w:szCs w:val="24"/>
              </w:rPr>
              <w:t>168,403,470.11</w:t>
            </w:r>
          </w:p>
        </w:tc>
        <w:tc>
          <w:tcPr>
            <w:tcW w:w="1644" w:type="dxa"/>
            <w:vAlign w:val="center"/>
          </w:tcPr>
          <w:p w:rsidR="00D824E0" w:rsidRDefault="00D86191">
            <w:pPr>
              <w:jc w:val="right"/>
            </w:pPr>
            <w:r>
              <w:rPr>
                <w:color w:val="000000"/>
                <w:sz w:val="24"/>
                <w:szCs w:val="24"/>
              </w:rPr>
              <w:t>4.97</w:t>
            </w:r>
          </w:p>
        </w:tc>
      </w:tr>
      <w:tr w:rsidR="00D824E0">
        <w:trPr>
          <w:jc w:val="center"/>
        </w:trPr>
        <w:tc>
          <w:tcPr>
            <w:tcW w:w="855" w:type="dxa"/>
            <w:vAlign w:val="center"/>
          </w:tcPr>
          <w:p w:rsidR="00D824E0" w:rsidRDefault="00D86191">
            <w:pPr>
              <w:jc w:val="center"/>
            </w:pPr>
            <w:r>
              <w:rPr>
                <w:color w:val="000000"/>
                <w:sz w:val="24"/>
                <w:szCs w:val="24"/>
              </w:rPr>
              <w:t>5</w:t>
            </w:r>
          </w:p>
        </w:tc>
        <w:tc>
          <w:tcPr>
            <w:tcW w:w="1334" w:type="dxa"/>
            <w:vAlign w:val="center"/>
          </w:tcPr>
          <w:p w:rsidR="00D824E0" w:rsidRDefault="00D86191">
            <w:pPr>
              <w:jc w:val="center"/>
            </w:pPr>
            <w:r>
              <w:rPr>
                <w:color w:val="000000"/>
                <w:sz w:val="24"/>
                <w:szCs w:val="24"/>
              </w:rPr>
              <w:t>002607</w:t>
            </w:r>
          </w:p>
        </w:tc>
        <w:tc>
          <w:tcPr>
            <w:tcW w:w="1777" w:type="dxa"/>
            <w:vAlign w:val="center"/>
          </w:tcPr>
          <w:p w:rsidR="00D824E0" w:rsidRDefault="00D86191">
            <w:pPr>
              <w:jc w:val="center"/>
            </w:pPr>
            <w:r>
              <w:rPr>
                <w:color w:val="000000"/>
                <w:sz w:val="24"/>
                <w:szCs w:val="24"/>
              </w:rPr>
              <w:t>中公教育</w:t>
            </w:r>
          </w:p>
        </w:tc>
        <w:tc>
          <w:tcPr>
            <w:tcW w:w="1334" w:type="dxa"/>
            <w:vAlign w:val="center"/>
          </w:tcPr>
          <w:p w:rsidR="00D824E0" w:rsidRDefault="00D86191">
            <w:pPr>
              <w:jc w:val="right"/>
            </w:pPr>
            <w:r>
              <w:rPr>
                <w:color w:val="000000"/>
                <w:sz w:val="24"/>
                <w:szCs w:val="24"/>
              </w:rPr>
              <w:t>10,066,535</w:t>
            </w:r>
          </w:p>
        </w:tc>
        <w:tc>
          <w:tcPr>
            <w:tcW w:w="1924" w:type="dxa"/>
            <w:vAlign w:val="center"/>
          </w:tcPr>
          <w:p w:rsidR="00D824E0" w:rsidRDefault="00D86191">
            <w:pPr>
              <w:jc w:val="right"/>
            </w:pPr>
            <w:r>
              <w:rPr>
                <w:color w:val="000000"/>
                <w:sz w:val="24"/>
                <w:szCs w:val="24"/>
              </w:rPr>
              <w:t>163,782,524.45</w:t>
            </w:r>
          </w:p>
        </w:tc>
        <w:tc>
          <w:tcPr>
            <w:tcW w:w="1644" w:type="dxa"/>
            <w:vAlign w:val="center"/>
          </w:tcPr>
          <w:p w:rsidR="00D824E0" w:rsidRDefault="00D86191">
            <w:pPr>
              <w:jc w:val="right"/>
            </w:pPr>
            <w:r>
              <w:rPr>
                <w:color w:val="000000"/>
                <w:sz w:val="24"/>
                <w:szCs w:val="24"/>
              </w:rPr>
              <w:t>4.83</w:t>
            </w:r>
          </w:p>
        </w:tc>
      </w:tr>
      <w:tr w:rsidR="00D824E0">
        <w:trPr>
          <w:jc w:val="center"/>
        </w:trPr>
        <w:tc>
          <w:tcPr>
            <w:tcW w:w="855" w:type="dxa"/>
            <w:vAlign w:val="center"/>
          </w:tcPr>
          <w:p w:rsidR="00D824E0" w:rsidRDefault="00D86191">
            <w:pPr>
              <w:jc w:val="center"/>
            </w:pPr>
            <w:r>
              <w:rPr>
                <w:color w:val="000000"/>
                <w:sz w:val="24"/>
                <w:szCs w:val="24"/>
              </w:rPr>
              <w:t>6</w:t>
            </w:r>
          </w:p>
        </w:tc>
        <w:tc>
          <w:tcPr>
            <w:tcW w:w="1334" w:type="dxa"/>
            <w:vAlign w:val="center"/>
          </w:tcPr>
          <w:p w:rsidR="00D824E0" w:rsidRDefault="00D86191">
            <w:pPr>
              <w:jc w:val="center"/>
            </w:pPr>
            <w:r>
              <w:rPr>
                <w:color w:val="000000"/>
                <w:sz w:val="24"/>
                <w:szCs w:val="24"/>
              </w:rPr>
              <w:t>300012</w:t>
            </w:r>
          </w:p>
        </w:tc>
        <w:tc>
          <w:tcPr>
            <w:tcW w:w="1777" w:type="dxa"/>
            <w:vAlign w:val="center"/>
          </w:tcPr>
          <w:p w:rsidR="00D824E0" w:rsidRDefault="00D86191">
            <w:pPr>
              <w:jc w:val="center"/>
            </w:pPr>
            <w:r>
              <w:rPr>
                <w:color w:val="000000"/>
                <w:sz w:val="24"/>
                <w:szCs w:val="24"/>
              </w:rPr>
              <w:t>华测检测</w:t>
            </w:r>
          </w:p>
        </w:tc>
        <w:tc>
          <w:tcPr>
            <w:tcW w:w="1334" w:type="dxa"/>
            <w:vAlign w:val="center"/>
          </w:tcPr>
          <w:p w:rsidR="00D824E0" w:rsidRDefault="00D86191">
            <w:pPr>
              <w:jc w:val="right"/>
            </w:pPr>
            <w:r>
              <w:rPr>
                <w:color w:val="000000"/>
                <w:sz w:val="24"/>
                <w:szCs w:val="24"/>
              </w:rPr>
              <w:t>12,744,892</w:t>
            </w:r>
          </w:p>
        </w:tc>
        <w:tc>
          <w:tcPr>
            <w:tcW w:w="1924" w:type="dxa"/>
            <w:vAlign w:val="center"/>
          </w:tcPr>
          <w:p w:rsidR="00D824E0" w:rsidRDefault="00D86191">
            <w:pPr>
              <w:jc w:val="right"/>
            </w:pPr>
            <w:r>
              <w:rPr>
                <w:color w:val="000000"/>
                <w:sz w:val="24"/>
                <w:szCs w:val="24"/>
              </w:rPr>
              <w:t>160,840,537.04</w:t>
            </w:r>
          </w:p>
        </w:tc>
        <w:tc>
          <w:tcPr>
            <w:tcW w:w="1644" w:type="dxa"/>
            <w:vAlign w:val="center"/>
          </w:tcPr>
          <w:p w:rsidR="00D824E0" w:rsidRDefault="00D86191">
            <w:pPr>
              <w:jc w:val="right"/>
            </w:pPr>
            <w:r>
              <w:rPr>
                <w:color w:val="000000"/>
                <w:sz w:val="24"/>
                <w:szCs w:val="24"/>
              </w:rPr>
              <w:t>4.75</w:t>
            </w:r>
          </w:p>
        </w:tc>
      </w:tr>
      <w:tr w:rsidR="00D824E0">
        <w:trPr>
          <w:jc w:val="center"/>
        </w:trPr>
        <w:tc>
          <w:tcPr>
            <w:tcW w:w="855" w:type="dxa"/>
            <w:vAlign w:val="center"/>
          </w:tcPr>
          <w:p w:rsidR="00D824E0" w:rsidRDefault="00D86191">
            <w:pPr>
              <w:jc w:val="center"/>
            </w:pPr>
            <w:r>
              <w:rPr>
                <w:color w:val="000000"/>
                <w:sz w:val="24"/>
                <w:szCs w:val="24"/>
              </w:rPr>
              <w:t>7</w:t>
            </w:r>
          </w:p>
        </w:tc>
        <w:tc>
          <w:tcPr>
            <w:tcW w:w="1334" w:type="dxa"/>
            <w:vAlign w:val="center"/>
          </w:tcPr>
          <w:p w:rsidR="00D824E0" w:rsidRDefault="00D86191">
            <w:pPr>
              <w:jc w:val="center"/>
            </w:pPr>
            <w:r>
              <w:rPr>
                <w:color w:val="000000"/>
                <w:sz w:val="24"/>
                <w:szCs w:val="24"/>
              </w:rPr>
              <w:t>000002</w:t>
            </w:r>
          </w:p>
        </w:tc>
        <w:tc>
          <w:tcPr>
            <w:tcW w:w="1777" w:type="dxa"/>
            <w:vAlign w:val="center"/>
          </w:tcPr>
          <w:p w:rsidR="00D824E0" w:rsidRDefault="00D86191">
            <w:pPr>
              <w:jc w:val="center"/>
            </w:pPr>
            <w:r>
              <w:rPr>
                <w:color w:val="000000"/>
                <w:sz w:val="24"/>
                <w:szCs w:val="24"/>
              </w:rPr>
              <w:t>万科</w:t>
            </w:r>
            <w:r>
              <w:rPr>
                <w:color w:val="000000"/>
                <w:sz w:val="24"/>
                <w:szCs w:val="24"/>
              </w:rPr>
              <w:t>A</w:t>
            </w:r>
          </w:p>
        </w:tc>
        <w:tc>
          <w:tcPr>
            <w:tcW w:w="1334" w:type="dxa"/>
            <w:vAlign w:val="center"/>
          </w:tcPr>
          <w:p w:rsidR="00D824E0" w:rsidRDefault="00D86191">
            <w:pPr>
              <w:jc w:val="right"/>
            </w:pPr>
            <w:r>
              <w:rPr>
                <w:color w:val="000000"/>
                <w:sz w:val="24"/>
                <w:szCs w:val="24"/>
              </w:rPr>
              <w:t>5,176,300</w:t>
            </w:r>
          </w:p>
        </w:tc>
        <w:tc>
          <w:tcPr>
            <w:tcW w:w="1924" w:type="dxa"/>
            <w:vAlign w:val="center"/>
          </w:tcPr>
          <w:p w:rsidR="00D824E0" w:rsidRDefault="00D86191">
            <w:pPr>
              <w:jc w:val="right"/>
            </w:pPr>
            <w:r>
              <w:rPr>
                <w:color w:val="000000"/>
                <w:sz w:val="24"/>
                <w:szCs w:val="24"/>
              </w:rPr>
              <w:t>134,066,170.00</w:t>
            </w:r>
          </w:p>
        </w:tc>
        <w:tc>
          <w:tcPr>
            <w:tcW w:w="1644" w:type="dxa"/>
            <w:vAlign w:val="center"/>
          </w:tcPr>
          <w:p w:rsidR="00D824E0" w:rsidRDefault="00D86191">
            <w:pPr>
              <w:jc w:val="right"/>
            </w:pPr>
            <w:r>
              <w:rPr>
                <w:color w:val="000000"/>
                <w:sz w:val="24"/>
                <w:szCs w:val="24"/>
              </w:rPr>
              <w:t>3.96</w:t>
            </w:r>
          </w:p>
        </w:tc>
      </w:tr>
      <w:tr w:rsidR="00D824E0">
        <w:trPr>
          <w:jc w:val="center"/>
        </w:trPr>
        <w:tc>
          <w:tcPr>
            <w:tcW w:w="855" w:type="dxa"/>
            <w:vAlign w:val="center"/>
          </w:tcPr>
          <w:p w:rsidR="00D824E0" w:rsidRDefault="00D86191">
            <w:pPr>
              <w:jc w:val="center"/>
            </w:pPr>
            <w:r>
              <w:rPr>
                <w:color w:val="000000"/>
                <w:sz w:val="24"/>
                <w:szCs w:val="24"/>
              </w:rPr>
              <w:t>8</w:t>
            </w:r>
          </w:p>
        </w:tc>
        <w:tc>
          <w:tcPr>
            <w:tcW w:w="1334" w:type="dxa"/>
            <w:vAlign w:val="center"/>
          </w:tcPr>
          <w:p w:rsidR="00D824E0" w:rsidRDefault="00D86191">
            <w:pPr>
              <w:jc w:val="center"/>
            </w:pPr>
            <w:r>
              <w:rPr>
                <w:color w:val="000000"/>
                <w:sz w:val="24"/>
                <w:szCs w:val="24"/>
              </w:rPr>
              <w:t>600529</w:t>
            </w:r>
          </w:p>
        </w:tc>
        <w:tc>
          <w:tcPr>
            <w:tcW w:w="1777" w:type="dxa"/>
            <w:vAlign w:val="center"/>
          </w:tcPr>
          <w:p w:rsidR="00D824E0" w:rsidRDefault="00D86191">
            <w:pPr>
              <w:jc w:val="center"/>
            </w:pPr>
            <w:r>
              <w:rPr>
                <w:color w:val="000000"/>
                <w:sz w:val="24"/>
                <w:szCs w:val="24"/>
              </w:rPr>
              <w:t>山东药玻</w:t>
            </w:r>
          </w:p>
        </w:tc>
        <w:tc>
          <w:tcPr>
            <w:tcW w:w="1334" w:type="dxa"/>
            <w:vAlign w:val="center"/>
          </w:tcPr>
          <w:p w:rsidR="00D824E0" w:rsidRDefault="00D86191">
            <w:pPr>
              <w:jc w:val="right"/>
            </w:pPr>
            <w:r>
              <w:rPr>
                <w:color w:val="000000"/>
                <w:sz w:val="24"/>
                <w:szCs w:val="24"/>
              </w:rPr>
              <w:t>4,714,117</w:t>
            </w:r>
          </w:p>
        </w:tc>
        <w:tc>
          <w:tcPr>
            <w:tcW w:w="1924" w:type="dxa"/>
            <w:vAlign w:val="center"/>
          </w:tcPr>
          <w:p w:rsidR="00D824E0" w:rsidRDefault="00D86191">
            <w:pPr>
              <w:jc w:val="right"/>
            </w:pPr>
            <w:r>
              <w:rPr>
                <w:color w:val="000000"/>
                <w:sz w:val="24"/>
                <w:szCs w:val="24"/>
              </w:rPr>
              <w:t>109,933,208.44</w:t>
            </w:r>
          </w:p>
        </w:tc>
        <w:tc>
          <w:tcPr>
            <w:tcW w:w="1644" w:type="dxa"/>
            <w:vAlign w:val="center"/>
          </w:tcPr>
          <w:p w:rsidR="00D824E0" w:rsidRDefault="00D86191">
            <w:pPr>
              <w:jc w:val="right"/>
            </w:pPr>
            <w:r>
              <w:rPr>
                <w:color w:val="000000"/>
                <w:sz w:val="24"/>
                <w:szCs w:val="24"/>
              </w:rPr>
              <w:t>3.25</w:t>
            </w:r>
          </w:p>
        </w:tc>
      </w:tr>
      <w:tr w:rsidR="00D824E0">
        <w:trPr>
          <w:jc w:val="center"/>
        </w:trPr>
        <w:tc>
          <w:tcPr>
            <w:tcW w:w="855" w:type="dxa"/>
            <w:vAlign w:val="center"/>
          </w:tcPr>
          <w:p w:rsidR="00D824E0" w:rsidRDefault="00D86191">
            <w:pPr>
              <w:jc w:val="center"/>
            </w:pPr>
            <w:r>
              <w:rPr>
                <w:color w:val="000000"/>
                <w:sz w:val="24"/>
                <w:szCs w:val="24"/>
              </w:rPr>
              <w:t>9</w:t>
            </w:r>
          </w:p>
        </w:tc>
        <w:tc>
          <w:tcPr>
            <w:tcW w:w="1334" w:type="dxa"/>
            <w:vAlign w:val="center"/>
          </w:tcPr>
          <w:p w:rsidR="00D824E0" w:rsidRDefault="00D86191">
            <w:pPr>
              <w:jc w:val="center"/>
            </w:pPr>
            <w:r>
              <w:rPr>
                <w:color w:val="000000"/>
                <w:sz w:val="24"/>
                <w:szCs w:val="24"/>
              </w:rPr>
              <w:t>002475</w:t>
            </w:r>
          </w:p>
        </w:tc>
        <w:tc>
          <w:tcPr>
            <w:tcW w:w="1777" w:type="dxa"/>
            <w:vAlign w:val="center"/>
          </w:tcPr>
          <w:p w:rsidR="00D824E0" w:rsidRDefault="00D86191">
            <w:pPr>
              <w:jc w:val="center"/>
            </w:pPr>
            <w:r>
              <w:rPr>
                <w:color w:val="000000"/>
                <w:sz w:val="24"/>
                <w:szCs w:val="24"/>
              </w:rPr>
              <w:t>立讯精密</w:t>
            </w:r>
          </w:p>
        </w:tc>
        <w:tc>
          <w:tcPr>
            <w:tcW w:w="1334" w:type="dxa"/>
            <w:vAlign w:val="center"/>
          </w:tcPr>
          <w:p w:rsidR="00D824E0" w:rsidRDefault="00D86191">
            <w:pPr>
              <w:jc w:val="right"/>
            </w:pPr>
            <w:r>
              <w:rPr>
                <w:color w:val="000000"/>
                <w:sz w:val="24"/>
                <w:szCs w:val="24"/>
              </w:rPr>
              <w:t>3,742,084</w:t>
            </w:r>
          </w:p>
        </w:tc>
        <w:tc>
          <w:tcPr>
            <w:tcW w:w="1924" w:type="dxa"/>
            <w:vAlign w:val="center"/>
          </w:tcPr>
          <w:p w:rsidR="00D824E0" w:rsidRDefault="00D86191">
            <w:pPr>
              <w:jc w:val="right"/>
            </w:pPr>
            <w:r>
              <w:rPr>
                <w:color w:val="000000"/>
                <w:sz w:val="24"/>
                <w:szCs w:val="24"/>
              </w:rPr>
              <w:t>100,138,167.84</w:t>
            </w:r>
          </w:p>
        </w:tc>
        <w:tc>
          <w:tcPr>
            <w:tcW w:w="1644" w:type="dxa"/>
            <w:vAlign w:val="center"/>
          </w:tcPr>
          <w:p w:rsidR="00D824E0" w:rsidRDefault="00D86191">
            <w:pPr>
              <w:jc w:val="right"/>
            </w:pPr>
            <w:r>
              <w:rPr>
                <w:color w:val="000000"/>
                <w:sz w:val="24"/>
                <w:szCs w:val="24"/>
              </w:rPr>
              <w:t>2.96</w:t>
            </w:r>
          </w:p>
        </w:tc>
      </w:tr>
      <w:tr w:rsidR="00D824E0">
        <w:trPr>
          <w:jc w:val="center"/>
        </w:trPr>
        <w:tc>
          <w:tcPr>
            <w:tcW w:w="855" w:type="dxa"/>
            <w:vAlign w:val="center"/>
          </w:tcPr>
          <w:p w:rsidR="00D824E0" w:rsidRDefault="00D86191">
            <w:pPr>
              <w:jc w:val="center"/>
            </w:pPr>
            <w:r>
              <w:rPr>
                <w:color w:val="000000"/>
                <w:sz w:val="24"/>
                <w:szCs w:val="24"/>
              </w:rPr>
              <w:t>10</w:t>
            </w:r>
          </w:p>
        </w:tc>
        <w:tc>
          <w:tcPr>
            <w:tcW w:w="1334" w:type="dxa"/>
            <w:vAlign w:val="center"/>
          </w:tcPr>
          <w:p w:rsidR="00D824E0" w:rsidRDefault="00D86191">
            <w:pPr>
              <w:jc w:val="center"/>
            </w:pPr>
            <w:r>
              <w:rPr>
                <w:color w:val="000000"/>
                <w:sz w:val="24"/>
                <w:szCs w:val="24"/>
              </w:rPr>
              <w:t>601318</w:t>
            </w:r>
          </w:p>
        </w:tc>
        <w:tc>
          <w:tcPr>
            <w:tcW w:w="1777" w:type="dxa"/>
            <w:vAlign w:val="center"/>
          </w:tcPr>
          <w:p w:rsidR="00D824E0" w:rsidRDefault="00D86191">
            <w:pPr>
              <w:jc w:val="center"/>
            </w:pPr>
            <w:r>
              <w:rPr>
                <w:color w:val="000000"/>
                <w:sz w:val="24"/>
                <w:szCs w:val="24"/>
              </w:rPr>
              <w:t>中国平安</w:t>
            </w:r>
          </w:p>
        </w:tc>
        <w:tc>
          <w:tcPr>
            <w:tcW w:w="1334" w:type="dxa"/>
            <w:vAlign w:val="center"/>
          </w:tcPr>
          <w:p w:rsidR="00D824E0" w:rsidRDefault="00D86191">
            <w:pPr>
              <w:jc w:val="right"/>
            </w:pPr>
            <w:r>
              <w:rPr>
                <w:color w:val="000000"/>
                <w:sz w:val="24"/>
                <w:szCs w:val="24"/>
              </w:rPr>
              <w:t>1,124,266</w:t>
            </w:r>
          </w:p>
        </w:tc>
        <w:tc>
          <w:tcPr>
            <w:tcW w:w="1924" w:type="dxa"/>
            <w:vAlign w:val="center"/>
          </w:tcPr>
          <w:p w:rsidR="00D824E0" w:rsidRDefault="00D86191">
            <w:pPr>
              <w:jc w:val="right"/>
            </w:pPr>
            <w:r>
              <w:rPr>
                <w:color w:val="000000"/>
                <w:sz w:val="24"/>
                <w:szCs w:val="24"/>
              </w:rPr>
              <w:t>97,856,112.64</w:t>
            </w:r>
          </w:p>
        </w:tc>
        <w:tc>
          <w:tcPr>
            <w:tcW w:w="1644" w:type="dxa"/>
            <w:vAlign w:val="center"/>
          </w:tcPr>
          <w:p w:rsidR="00D824E0" w:rsidRDefault="00D86191">
            <w:pPr>
              <w:jc w:val="right"/>
            </w:pPr>
            <w:r>
              <w:rPr>
                <w:color w:val="000000"/>
                <w:sz w:val="24"/>
                <w:szCs w:val="24"/>
              </w:rPr>
              <w:t>2.89</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lastRenderedPageBreak/>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169,949,000.00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5.02</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169,949,000.00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5.02</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169,949,000.00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5.02</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D824E0">
        <w:trPr>
          <w:jc w:val="center"/>
        </w:trPr>
        <w:tc>
          <w:tcPr>
            <w:tcW w:w="850" w:type="dxa"/>
            <w:vAlign w:val="center"/>
          </w:tcPr>
          <w:p w:rsidR="00D824E0" w:rsidRDefault="00D86191">
            <w:pPr>
              <w:jc w:val="center"/>
            </w:pPr>
            <w:r>
              <w:rPr>
                <w:color w:val="000000"/>
                <w:sz w:val="24"/>
                <w:szCs w:val="24"/>
              </w:rPr>
              <w:t>1</w:t>
            </w:r>
          </w:p>
        </w:tc>
        <w:tc>
          <w:tcPr>
            <w:tcW w:w="1475" w:type="dxa"/>
            <w:vAlign w:val="center"/>
          </w:tcPr>
          <w:p w:rsidR="00D824E0" w:rsidRDefault="00D86191">
            <w:pPr>
              <w:jc w:val="center"/>
            </w:pPr>
            <w:r>
              <w:rPr>
                <w:color w:val="000000"/>
                <w:sz w:val="24"/>
                <w:szCs w:val="24"/>
              </w:rPr>
              <w:t>190206</w:t>
            </w:r>
          </w:p>
        </w:tc>
        <w:tc>
          <w:tcPr>
            <w:tcW w:w="1769" w:type="dxa"/>
            <w:vAlign w:val="center"/>
          </w:tcPr>
          <w:p w:rsidR="00D824E0" w:rsidRDefault="00D86191">
            <w:pPr>
              <w:jc w:val="center"/>
            </w:pPr>
            <w:r>
              <w:rPr>
                <w:color w:val="000000"/>
                <w:sz w:val="24"/>
                <w:szCs w:val="24"/>
              </w:rPr>
              <w:t>19</w:t>
            </w:r>
            <w:r>
              <w:rPr>
                <w:color w:val="000000"/>
                <w:sz w:val="24"/>
                <w:szCs w:val="24"/>
              </w:rPr>
              <w:t>国开</w:t>
            </w:r>
            <w:r>
              <w:rPr>
                <w:color w:val="000000"/>
                <w:sz w:val="24"/>
                <w:szCs w:val="24"/>
              </w:rPr>
              <w:t>06</w:t>
            </w:r>
          </w:p>
        </w:tc>
        <w:tc>
          <w:tcPr>
            <w:tcW w:w="1387" w:type="dxa"/>
            <w:vAlign w:val="center"/>
          </w:tcPr>
          <w:p w:rsidR="00D824E0" w:rsidRDefault="00D86191">
            <w:pPr>
              <w:jc w:val="right"/>
            </w:pPr>
            <w:r>
              <w:rPr>
                <w:color w:val="000000"/>
                <w:sz w:val="24"/>
                <w:szCs w:val="24"/>
              </w:rPr>
              <w:t>1,700,000</w:t>
            </w:r>
          </w:p>
        </w:tc>
        <w:tc>
          <w:tcPr>
            <w:tcW w:w="2150" w:type="dxa"/>
            <w:vAlign w:val="center"/>
          </w:tcPr>
          <w:p w:rsidR="00D824E0" w:rsidRDefault="00D86191">
            <w:pPr>
              <w:jc w:val="right"/>
            </w:pPr>
            <w:r>
              <w:rPr>
                <w:color w:val="000000"/>
                <w:sz w:val="24"/>
                <w:szCs w:val="24"/>
              </w:rPr>
              <w:t>169,949,000.00</w:t>
            </w:r>
          </w:p>
        </w:tc>
        <w:tc>
          <w:tcPr>
            <w:tcW w:w="1237" w:type="dxa"/>
            <w:vAlign w:val="center"/>
          </w:tcPr>
          <w:p w:rsidR="00D824E0" w:rsidRDefault="00D86191">
            <w:pPr>
              <w:jc w:val="right"/>
            </w:pPr>
            <w:r>
              <w:rPr>
                <w:color w:val="000000"/>
                <w:sz w:val="24"/>
                <w:szCs w:val="24"/>
              </w:rPr>
              <w:t>5.02</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1,003,761.89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260,733,336.80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2,060,341.28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22,172,015.04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285,969,455.01</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R="00066A97" w:rsidRPr="00414345" w:rsidRDefault="00066A97" w:rsidP="00066A97">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5F1F22"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5F1F22">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D824E0">
        <w:trPr>
          <w:jc w:val="center"/>
        </w:trPr>
        <w:tc>
          <w:tcPr>
            <w:tcW w:w="1129" w:type="dxa"/>
            <w:vAlign w:val="center"/>
          </w:tcPr>
          <w:p w:rsidR="00D824E0" w:rsidRDefault="00D86191">
            <w:pPr>
              <w:jc w:val="center"/>
            </w:pPr>
            <w:r>
              <w:rPr>
                <w:color w:val="000000"/>
                <w:sz w:val="24"/>
                <w:szCs w:val="24"/>
              </w:rPr>
              <w:t>1</w:t>
            </w:r>
          </w:p>
        </w:tc>
        <w:tc>
          <w:tcPr>
            <w:tcW w:w="1356" w:type="dxa"/>
            <w:vAlign w:val="center"/>
          </w:tcPr>
          <w:p w:rsidR="00D824E0" w:rsidRDefault="00D86191">
            <w:pPr>
              <w:jc w:val="center"/>
            </w:pPr>
            <w:r>
              <w:rPr>
                <w:color w:val="000000"/>
                <w:sz w:val="24"/>
                <w:szCs w:val="24"/>
              </w:rPr>
              <w:t>002044</w:t>
            </w:r>
          </w:p>
        </w:tc>
        <w:tc>
          <w:tcPr>
            <w:tcW w:w="1355" w:type="dxa"/>
            <w:vAlign w:val="center"/>
          </w:tcPr>
          <w:p w:rsidR="00D824E0" w:rsidRDefault="00D86191">
            <w:pPr>
              <w:jc w:val="center"/>
            </w:pPr>
            <w:r>
              <w:rPr>
                <w:color w:val="000000"/>
                <w:sz w:val="24"/>
                <w:szCs w:val="24"/>
              </w:rPr>
              <w:t>美年健康</w:t>
            </w:r>
          </w:p>
        </w:tc>
        <w:tc>
          <w:tcPr>
            <w:tcW w:w="1880" w:type="dxa"/>
            <w:vAlign w:val="center"/>
          </w:tcPr>
          <w:p w:rsidR="00D824E0" w:rsidRDefault="00D86191">
            <w:pPr>
              <w:jc w:val="right"/>
            </w:pPr>
            <w:r>
              <w:rPr>
                <w:color w:val="000000"/>
                <w:sz w:val="24"/>
                <w:szCs w:val="24"/>
              </w:rPr>
              <w:t>8,474,400.00</w:t>
            </w:r>
          </w:p>
        </w:tc>
        <w:tc>
          <w:tcPr>
            <w:tcW w:w="1724" w:type="dxa"/>
            <w:vAlign w:val="center"/>
          </w:tcPr>
          <w:p w:rsidR="00D824E0" w:rsidRDefault="00D86191">
            <w:pPr>
              <w:jc w:val="right"/>
            </w:pPr>
            <w:r>
              <w:rPr>
                <w:color w:val="000000"/>
                <w:sz w:val="24"/>
                <w:szCs w:val="24"/>
              </w:rPr>
              <w:t>0.25</w:t>
            </w:r>
          </w:p>
        </w:tc>
        <w:tc>
          <w:tcPr>
            <w:tcW w:w="1424" w:type="dxa"/>
            <w:vAlign w:val="center"/>
          </w:tcPr>
          <w:p w:rsidR="00D824E0" w:rsidRDefault="00D86191">
            <w:pPr>
              <w:jc w:val="right"/>
            </w:pPr>
            <w:r>
              <w:rPr>
                <w:color w:val="000000"/>
                <w:sz w:val="24"/>
                <w:szCs w:val="24"/>
              </w:rPr>
              <w:t>限售股</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lastRenderedPageBreak/>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1,485,551,033.25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389,302,019.68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442,928,829.74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1,431,924,223.19</w:t>
            </w:r>
          </w:p>
        </w:tc>
      </w:tr>
    </w:tbl>
    <w:p w:rsidR="00D824E0" w:rsidRDefault="00D86191">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D824E0" w:rsidRDefault="00D86191">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、中国证监会准予交银施罗德新成长股票型证券投资基金募集注册的文件；</w:t>
      </w:r>
    </w:p>
    <w:p w:rsidR="00D824E0" w:rsidRDefault="00D86191">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、《交银施罗德新成长混合型证券投资基金基金合同》；</w:t>
      </w:r>
      <w:r>
        <w:rPr>
          <w:color w:val="000000"/>
          <w:sz w:val="24"/>
          <w:szCs w:val="24"/>
        </w:rPr>
        <w:t xml:space="preserve"> </w:t>
      </w:r>
    </w:p>
    <w:p w:rsidR="00D824E0" w:rsidRDefault="00D86191">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、《交银施罗德新成长混合型证券投资基金招募说明书》；</w:t>
      </w:r>
      <w:r>
        <w:rPr>
          <w:color w:val="000000"/>
          <w:sz w:val="24"/>
          <w:szCs w:val="24"/>
        </w:rPr>
        <w:t xml:space="preserve"> </w:t>
      </w:r>
    </w:p>
    <w:p w:rsidR="00D824E0" w:rsidRDefault="00D86191">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、《交银施罗德新成长混合型证券投资基金托管协议》；</w:t>
      </w:r>
    </w:p>
    <w:p w:rsidR="00D824E0" w:rsidRDefault="00D86191">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、关于申请募集注册交银施罗德新成长股票型证券投资基金的法律意见书；</w:t>
      </w:r>
      <w:r>
        <w:rPr>
          <w:color w:val="000000"/>
          <w:sz w:val="24"/>
          <w:szCs w:val="24"/>
        </w:rPr>
        <w:t xml:space="preserve"> </w:t>
      </w:r>
    </w:p>
    <w:p w:rsidR="00D824E0" w:rsidRDefault="00D86191">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p>
    <w:p w:rsidR="00D824E0" w:rsidRDefault="00D86191">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、报告期内交银施罗德新成长混合型证券投资基金在指定报刊上各项公告的原稿。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lastRenderedPageBreak/>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D824E0" w:rsidRDefault="00D86191">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191" w:rsidRDefault="00D86191" w:rsidP="00876D65">
      <w:r>
        <w:separator/>
      </w:r>
    </w:p>
  </w:endnote>
  <w:endnote w:type="continuationSeparator" w:id="0">
    <w:p w:rsidR="00D86191" w:rsidRDefault="00D8619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D868B3">
      <w:rPr>
        <w:noProof/>
        <w:kern w:val="0"/>
        <w:szCs w:val="21"/>
      </w:rPr>
      <w:t>4</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D868B3">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191" w:rsidRDefault="00D86191" w:rsidP="00876D65">
      <w:r>
        <w:separator/>
      </w:r>
    </w:p>
  </w:footnote>
  <w:footnote w:type="continuationSeparator" w:id="0">
    <w:p w:rsidR="00D86191" w:rsidRDefault="00D86191"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交银施罗德新成长混合型证券投资基金</w:t>
    </w:r>
    <w:r w:rsidRPr="003E676C">
      <w:rPr>
        <w:sz w:val="24"/>
        <w:szCs w:val="24"/>
      </w:rPr>
      <w:t>2019</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24E0"/>
    <w:rsid w:val="00D86191"/>
    <w:rsid w:val="00D866A8"/>
    <w:rsid w:val="00D868B3"/>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E471F-A733-4E96-AED9-3F5CB42F6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1826</TotalTime>
  <Pages>12</Pages>
  <Words>1071</Words>
  <Characters>6108</Characters>
  <Application>Microsoft Office Word</Application>
  <DocSecurity>0</DocSecurity>
  <Lines>50</Lines>
  <Paragraphs>14</Paragraphs>
  <ScaleCrop>false</ScaleCrop>
  <Company/>
  <LinksUpToDate>false</LinksUpToDate>
  <CharactersWithSpaces>7165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598</cp:revision>
  <dcterms:created xsi:type="dcterms:W3CDTF">2012-10-16T06:07:00Z</dcterms:created>
  <dcterms:modified xsi:type="dcterms:W3CDTF">2019-10-18T03:24:00Z</dcterms:modified>
</cp:coreProperties>
</file>