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2014年12月15日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1,880,258,233.53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在严格控制风险的基础上,力求获得高于业绩基准的投资收益。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封闭期内业绩比较基准：两年期银行定期存款税后收益率+1.25%</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交银丰润收益债券A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交银丰润收益债券C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183C5B" w:rsidRPr="007F52FA">
            <w:pPr>
              <w:spacing w:before="29" w:line="288" w:lineRule="auto"/>
              <w:jc w:val="left"/>
              <w:rPr>
                <w:sz w:val="24"/>
              </w:rPr>
            </w:pPr>
            <w:r>
              <w:rPr>
                <w:sz w:val="24"/>
              </w:rPr>
              <w:t/>
            </w:r>
            <w:r>
              <w:rPr>
                <w:color w:themeColor="text1" w:val="000000"/>
                <w:sz w:val="24"/>
              </w:rPr>
              <w:t>519743</w:t>
            </w:r>
            <w:bookmarkStart w:id="0" w:name="_GoBack"/>
            <w:bookmarkEnd w:id="0"/>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519745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1,879,354,269.44</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903,964.09</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注：本基金自2016年12月16日起转为开放式运作。</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(2019年7月1日-2019年9月30日)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交银丰润收益债券A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交银丰润收益债券C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18,492,716.16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9,113.73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18,061,695.66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9,182.42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0.0105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1,963,234,895.32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967,813.64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1.0446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1.0706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交银丰润收益债券A</w:t>
      </w:r>
      <w:r w:rsidRPr="007F52FA">
        <w:rPr>
          <w:b/>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1.07%</w:t>
            </w:r>
          </w:p>
        </w:tc>
        <w:tc>
          <w:tcPr>
            <w:vAlign w:val="center"/>
          </w:tcPr>
          <w:p>
            <w:pPr>
              <w:jc w:val="center"/>
            </w:pPr>
            <w:r>
              <w:rPr>
                <w:color w:val="000000"/>
                <w:sz w:val="24"/>
              </w:rPr>
              <w:t>0.03%</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0.62%</w:t>
            </w:r>
          </w:p>
        </w:tc>
        <w:tc>
          <w:tcPr>
            <w:vAlign w:val="center"/>
          </w:tcPr>
          <w:p>
            <w:pPr>
              <w:jc w:val="center"/>
            </w:pPr>
            <w:r>
              <w:rPr>
                <w:color w:val="000000"/>
                <w:sz w:val="24"/>
              </w:rPr>
              <w:t>-0.01%</w:t>
            </w:r>
          </w:p>
        </w:tc>
      </w:tr>
    </w:tbl>
    <w:p w:rsidP="007C14DF" w:rsidR="009238DB" w:rsidRDefault="004425E8" w:rsidRPr="007F52FA">
      <w:pPr>
        <w:autoSpaceDE w:val="0"/>
        <w:autoSpaceDN w:val="0"/>
        <w:adjustRightInd w:val="0"/>
        <w:spacing w:before="29" w:line="288" w:lineRule="auto"/>
        <w:jc w:val="left"/>
        <w:rPr>
          <w:color w:val="000000"/>
          <w:sz w:val="24"/>
        </w:rPr>
      </w:pPr>
      <w:r w:rsidRPr="007F52FA">
        <w:rPr>
          <w:color w:val="000000"/>
          <w:sz w:val="24"/>
        </w:rPr>
        <w:t/>
      </w:r>
      <w:r w:rsidR="00243122" w:rsidRPr="007F52FA">
        <w:rPr>
          <w:color w:val="000000"/>
          <w:sz w:val="24"/>
        </w:rPr>
        <w:t/>
      </w:r>
      <w:r w:rsidR="0042785F" w:rsidRPr="007F52FA">
        <w:rPr>
          <w:color w:val="000000"/>
          <w:sz w:val="24"/>
        </w:rPr>
        <w:t/>
      </w:r>
      <w:r w:rsidR="00243122" w:rsidRPr="007F52FA">
        <w:rPr>
          <w:color w:val="000000"/>
          <w:sz w:val="24"/>
        </w:rPr>
        <w:t/>
      </w:r>
      <w:r w:rsidRPr="007F52FA">
        <w:rPr>
          <w:color w:val="000000"/>
          <w:sz w:val="24"/>
        </w:rPr>
        <w:t>注：本基金自2016年12月16日起转为开放式运作，本基金的业绩比较基准由“两年期银行定期存款税后收益率+1.25%”变更为“中债综合全价指数”，3.2.2同。</w:t>
      </w:r>
    </w:p>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交银丰润收益债券C</w:t>
      </w:r>
      <w:r w:rsidRPr="007F52FA">
        <w:rPr>
          <w:b/>
          <w:color w:val="000000"/>
          <w:kern w:val="0"/>
          <w:sz w:val="24"/>
        </w:rPr>
        <w:t>：</w:t>
      </w:r>
    </w:p>
    <w:tbl>
      <w:tblPr>
        <w:tblStyle w:val="af6"/>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0.97%</w:t>
            </w:r>
          </w:p>
        </w:tc>
        <w:tc>
          <w:tcPr>
            <w:vAlign w:val="center"/>
          </w:tcPr>
          <w:p>
            <w:pPr>
              <w:jc w:val="center"/>
            </w:pPr>
            <w:r>
              <w:rPr>
                <w:color w:val="000000"/>
                <w:sz w:val="24"/>
              </w:rPr>
              <w:t>0.03%</w:t>
            </w:r>
          </w:p>
        </w:tc>
        <w:tc>
          <w:tcPr>
            <w:vAlign w:val="center"/>
          </w:tcPr>
          <w:p>
            <w:pPr>
              <w:jc w:val="center"/>
            </w:pPr>
            <w:r>
              <w:rPr>
                <w:color w:val="000000"/>
                <w:sz w:val="24"/>
              </w:rPr>
              <w:t>0.45%</w:t>
            </w:r>
          </w:p>
        </w:tc>
        <w:tc>
          <w:tcPr>
            <w:vAlign w:val="center"/>
          </w:tcPr>
          <w:p>
            <w:pPr>
              <w:jc w:val="center"/>
            </w:pPr>
            <w:r>
              <w:rPr>
                <w:color w:val="000000"/>
                <w:sz w:val="24"/>
              </w:rPr>
              <w:t>0.04%</w:t>
            </w:r>
          </w:p>
        </w:tc>
        <w:tc>
          <w:tcPr>
            <w:vAlign w:val="center"/>
          </w:tcPr>
          <w:p>
            <w:pPr>
              <w:jc w:val="center"/>
            </w:pPr>
            <w:r>
              <w:rPr>
                <w:color w:val="000000"/>
                <w:sz w:val="24"/>
              </w:rPr>
              <w:t>0.52%</w:t>
            </w:r>
          </w:p>
        </w:tc>
        <w:tc>
          <w:tcPr>
            <w:vAlign w:val="center"/>
          </w:tcPr>
          <w:p>
            <w:pPr>
              <w:jc w:val="center"/>
            </w:pPr>
            <w:r>
              <w:rPr>
                <w:color w:val="000000"/>
                <w:sz w:val="24"/>
              </w:rPr>
              <w:t>-0.01%</w:t>
            </w:r>
          </w:p>
        </w:tc>
      </w:tr>
    </w:tbl>
    <w:p w:rsidP="007C14DF" w:rsidR="00E73221" w:rsidRDefault="00E73221" w:rsidRPr="007F52FA">
      <w:pPr>
        <w:autoSpaceDE w:val="0"/>
        <w:autoSpaceDN w:val="0"/>
        <w:adjustRightInd w:val="0"/>
        <w:spacing w:before="29" w:line="288" w:lineRule="auto"/>
        <w:jc w:val="left"/>
        <w:rPr>
          <w:color w:val="000000"/>
          <w:sz w:val="24"/>
        </w:rPr>
      </w:pPr>
      <w:r w:rsidRPr="007F52FA">
        <w:rPr>
          <w:color w:val="000000"/>
          <w:sz w:val="24"/>
        </w:rPr>
        <w:lastRenderedPageBreak/>
        <w:t/>
      </w:r>
      <w:r w:rsidR="004D614E" w:rsidRPr="007F52FA">
        <w:rPr>
          <w:color w:val="000000"/>
          <w:sz w:val="24"/>
        </w:rPr>
        <w:t/>
      </w:r>
      <w:r w:rsidR="00FE7FBD" w:rsidRPr="007F52FA">
        <w:rPr>
          <w:color w:val="000000"/>
          <w:sz w:val="24"/>
        </w:rPr>
        <w:t>注：本基金自2016年12月16日起转为开放式运作，本基金的业绩比较基准由“两年期银行定期存款税后收益率+1.25%”变更为“中债综合全价指数”，3.2.2同。</w:t>
      </w:r>
    </w:p>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交银施罗德丰润收益债券型证券投资基金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2014年12月15日</w:t>
      </w:r>
      <w:r w:rsidR="009A045B" w:rsidRPr="007F52FA">
        <w:rPr>
          <w:rFonts w:ascii="Times New Roman" w:hAnsi="Times New Roman"/>
          <w:sz w:val="24"/>
          <w:szCs w:val="24"/>
        </w:rPr>
        <w:t>至</w:t>
      </w:r>
      <w:r w:rsidRPr="007F52FA">
        <w:rPr>
          <w:rFonts w:ascii="Times New Roman" w:hAnsi="Times New Roman"/>
          <w:sz w:val="24"/>
          <w:szCs w:val="24"/>
        </w:rPr>
        <w:t>2019年9月30日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交银丰润收益债券C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交银增利债券、交银纯债债券发起、交银丰润收益债券、交银增利增强债券、交银丰晟收益债券、交银裕如纯债债券、交银中债1-3年农发债指数、交银可转债债券的基金经理</w:t>
            </w:r>
          </w:p>
        </w:tc>
        <w:tc>
          <w:tcPr>
            <w:vAlign w:val="center"/>
          </w:tcPr>
          <w:p>
            <w:pPr>
              <w:jc w:val="center"/>
            </w:pPr>
            <w:r>
              <w:rPr>
                <w:color w:val="000000"/>
                <w:sz w:val="24"/>
              </w:rPr>
              <w:t>2018-11-02</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三季度债券收益率呈现出七月下行，八月下行，九月上行的格局。整体来看，三季度债券市场的交易逻辑从二季度的“类滞涨”逐步转化为“类衰退”。七月初资金面宽松，隔夜回购利率一度下降到1%以下，整体市场多头气氛浓郁，十年长债下行7-8BP左右，随后央行对于利率处于黄金水平的表态和资金边际收紧，使得债市持续了三周的窄幅震荡。进入八月，中美贸易摩擦升级和人民币汇率破7，带动避险情绪升温，十年美债收益率从2%大幅下行至1.5%，美债收益率曲线倒挂，国内债市也明显回落16BP左右，十年国债最低录得3%。此后央行宣布LPR改革，市场在揣度央行态度的同时在低位盘整。九月之后，债市市场出现较为明显的回调，主要因素在于稳增长预期升温、权益市场风险偏好回升、央行MLF操作和LPR定价结果偏鹰派，以及猪肉价格超预期上涨引发对通胀的担忧。此后虽然央行降准，但市场资金始终保持平衡态势，收益率出现明显反弹。截止2019年9月27日，十年国债收益率上行至3.14%，十年国开收益率上行至3.53%。</w:t>
      </w:r>
    </w:p>
    <w:p>
      <w:pPr>
        <w:spacing w:before="29" w:line="288" w:lineRule="auto"/>
        <w:ind w:firstLine="480" w:firstLineChars="200"/>
        <w:rPr>
          <w:color w:val="000000"/>
          <w:sz w:val="24"/>
        </w:rPr>
      </w:pPr>
      <w:r>
        <w:rPr>
          <w:color w:val="000000"/>
          <w:sz w:val="24"/>
        </w:rPr>
        <w:t>报告期内，基于对经济基本面和政策的把握，并考虑组合收益稳定，组合主要配置了中短久期的利率债，同时根据市场情况适时进行了组合久期调整。随着三季度末资金分层的持续，组合利率债融资仍有优势，杠杆操作部分维持了平稳的资金成本，通过杠杆操作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四季度，债券市场投资或将面对“类滞涨”的格局：一方面经济短期内难以企稳，地产和基建发力始终受阻；另一方面市场对于年末通胀上行有较强预期，边际掣肘货币政策宽松。我们认为，需要重点关注专项债提前下发额度等稳增长政策对经济的托底效果、地产数据在结构性去杠杆的大方向下的持续性，以及通胀预期可能出现的反复。操作策略方面，组合将继续以利率债投资为主要策略，关注利率品种的骑乘收益，做好券种轮换和中短久期品种的精选配置，同时积极进行灵活的组合久期波段操作，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6"/>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2,524,312,000.00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97.75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2,524,312,000.00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97.75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8,189,619.25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0.32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49,913,289.11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2,582,414,908.36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2,524,312,000.00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128.52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2,524,312,000.00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128.52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2,524,312,000.00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128.52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6"/>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180409</w:t>
            </w:r>
          </w:p>
        </w:tc>
        <w:tc>
          <w:tcPr>
            <w:vAlign w:val="center"/>
          </w:tcPr>
          <w:p>
            <w:pPr>
              <w:jc w:val="center"/>
            </w:pPr>
            <w:r>
              <w:rPr>
                <w:color w:val="000000"/>
                <w:sz w:val="24"/>
              </w:rPr>
              <w:t>18农发09</w:t>
            </w:r>
          </w:p>
        </w:tc>
        <w:tc>
          <w:tcPr>
            <w:vAlign w:val="center"/>
          </w:tcPr>
          <w:p>
            <w:pPr>
              <w:jc w:val="right"/>
            </w:pPr>
            <w:r>
              <w:rPr>
                <w:color w:val="000000"/>
                <w:sz w:val="24"/>
              </w:rPr>
              <w:t>6,900,000</w:t>
            </w:r>
          </w:p>
        </w:tc>
        <w:tc>
          <w:tcPr>
            <w:vAlign w:val="center"/>
          </w:tcPr>
          <w:p>
            <w:pPr>
              <w:jc w:val="right"/>
            </w:pPr>
            <w:r>
              <w:rPr>
                <w:color w:val="000000"/>
                <w:sz w:val="24"/>
              </w:rPr>
              <w:t>704,628,000.00</w:t>
            </w:r>
          </w:p>
        </w:tc>
        <w:tc>
          <w:tcPr>
            <w:vAlign w:val="center"/>
          </w:tcPr>
          <w:p>
            <w:pPr>
              <w:jc w:val="right"/>
            </w:pPr>
            <w:r>
              <w:rPr>
                <w:color w:val="000000"/>
                <w:sz w:val="24"/>
              </w:rPr>
              <w:t>35.87</w:t>
            </w:r>
          </w:p>
        </w:tc>
      </w:tr>
      <w:tr>
        <w:tc>
          <w:tcPr>
            <w:vAlign w:val="center"/>
          </w:tcPr>
          <w:p>
            <w:pPr>
              <w:jc w:val="center"/>
            </w:pPr>
            <w:r>
              <w:rPr>
                <w:color w:val="000000"/>
                <w:sz w:val="24"/>
              </w:rPr>
              <w:t>2</w:t>
            </w:r>
          </w:p>
        </w:tc>
        <w:tc>
          <w:tcPr>
            <w:vAlign w:val="center"/>
          </w:tcPr>
          <w:p>
            <w:pPr>
              <w:jc w:val="center"/>
            </w:pPr>
            <w:r>
              <w:rPr>
                <w:color w:val="000000"/>
                <w:sz w:val="24"/>
              </w:rPr>
              <w:t>180208</w:t>
            </w:r>
          </w:p>
        </w:tc>
        <w:tc>
          <w:tcPr>
            <w:vAlign w:val="center"/>
          </w:tcPr>
          <w:p>
            <w:pPr>
              <w:jc w:val="center"/>
            </w:pPr>
            <w:r>
              <w:rPr>
                <w:color w:val="000000"/>
                <w:sz w:val="24"/>
              </w:rPr>
              <w:t>18国开08</w:t>
            </w:r>
          </w:p>
        </w:tc>
        <w:tc>
          <w:tcPr>
            <w:vAlign w:val="center"/>
          </w:tcPr>
          <w:p>
            <w:pPr>
              <w:jc w:val="right"/>
            </w:pPr>
            <w:r>
              <w:rPr>
                <w:color w:val="000000"/>
                <w:sz w:val="24"/>
              </w:rPr>
              <w:t>6,700,000</w:t>
            </w:r>
          </w:p>
        </w:tc>
        <w:tc>
          <w:tcPr>
            <w:vAlign w:val="center"/>
          </w:tcPr>
          <w:p>
            <w:pPr>
              <w:jc w:val="right"/>
            </w:pPr>
            <w:r>
              <w:rPr>
                <w:color w:val="000000"/>
                <w:sz w:val="24"/>
              </w:rPr>
              <w:t>681,591,000.00</w:t>
            </w:r>
          </w:p>
        </w:tc>
        <w:tc>
          <w:tcPr>
            <w:vAlign w:val="center"/>
          </w:tcPr>
          <w:p>
            <w:pPr>
              <w:jc w:val="right"/>
            </w:pPr>
            <w:r>
              <w:rPr>
                <w:color w:val="000000"/>
                <w:sz w:val="24"/>
              </w:rPr>
              <w:t>34.70</w:t>
            </w:r>
          </w:p>
        </w:tc>
      </w:tr>
      <w:tr>
        <w:tc>
          <w:tcPr>
            <w:vAlign w:val="center"/>
          </w:tcPr>
          <w:p>
            <w:pPr>
              <w:jc w:val="center"/>
            </w:pPr>
            <w:r>
              <w:rPr>
                <w:color w:val="000000"/>
                <w:sz w:val="24"/>
              </w:rPr>
              <w:t>3</w:t>
            </w:r>
          </w:p>
        </w:tc>
        <w:tc>
          <w:tcPr>
            <w:vAlign w:val="center"/>
          </w:tcPr>
          <w:p>
            <w:pPr>
              <w:jc w:val="center"/>
            </w:pPr>
            <w:r>
              <w:rPr>
                <w:color w:val="000000"/>
                <w:sz w:val="24"/>
              </w:rPr>
              <w:t>180203</w:t>
            </w:r>
          </w:p>
        </w:tc>
        <w:tc>
          <w:tcPr>
            <w:vAlign w:val="center"/>
          </w:tcPr>
          <w:p>
            <w:pPr>
              <w:jc w:val="center"/>
            </w:pPr>
            <w:r>
              <w:rPr>
                <w:color w:val="000000"/>
                <w:sz w:val="24"/>
              </w:rPr>
              <w:t>18国开03</w:t>
            </w:r>
          </w:p>
        </w:tc>
        <w:tc>
          <w:tcPr>
            <w:vAlign w:val="center"/>
          </w:tcPr>
          <w:p>
            <w:pPr>
              <w:jc w:val="right"/>
            </w:pPr>
            <w:r>
              <w:rPr>
                <w:color w:val="000000"/>
                <w:sz w:val="24"/>
              </w:rPr>
              <w:t>3,000,000</w:t>
            </w:r>
          </w:p>
        </w:tc>
        <w:tc>
          <w:tcPr>
            <w:vAlign w:val="center"/>
          </w:tcPr>
          <w:p>
            <w:pPr>
              <w:jc w:val="right"/>
            </w:pPr>
            <w:r>
              <w:rPr>
                <w:color w:val="000000"/>
                <w:sz w:val="24"/>
              </w:rPr>
              <w:t>307,320,000.00</w:t>
            </w:r>
          </w:p>
        </w:tc>
        <w:tc>
          <w:tcPr>
            <w:vAlign w:val="center"/>
          </w:tcPr>
          <w:p>
            <w:pPr>
              <w:jc w:val="right"/>
            </w:pPr>
            <w:r>
              <w:rPr>
                <w:color w:val="000000"/>
                <w:sz w:val="24"/>
              </w:rPr>
              <w:t>15.65</w:t>
            </w:r>
          </w:p>
        </w:tc>
      </w:tr>
      <w:tr>
        <w:tc>
          <w:tcPr>
            <w:vAlign w:val="center"/>
          </w:tcPr>
          <w:p>
            <w:pPr>
              <w:jc w:val="center"/>
            </w:pPr>
            <w:r>
              <w:rPr>
                <w:color w:val="000000"/>
                <w:sz w:val="24"/>
              </w:rPr>
              <w:t>4</w:t>
            </w:r>
          </w:p>
        </w:tc>
        <w:tc>
          <w:tcPr>
            <w:vAlign w:val="center"/>
          </w:tcPr>
          <w:p>
            <w:pPr>
              <w:jc w:val="center"/>
            </w:pPr>
            <w:r>
              <w:rPr>
                <w:color w:val="000000"/>
                <w:sz w:val="24"/>
              </w:rPr>
              <w:t>170212</w:t>
            </w:r>
          </w:p>
        </w:tc>
        <w:tc>
          <w:tcPr>
            <w:vAlign w:val="center"/>
          </w:tcPr>
          <w:p>
            <w:pPr>
              <w:jc w:val="center"/>
            </w:pPr>
            <w:r>
              <w:rPr>
                <w:color w:val="000000"/>
                <w:sz w:val="24"/>
              </w:rPr>
              <w:t>17国开12</w:t>
            </w:r>
          </w:p>
        </w:tc>
        <w:tc>
          <w:tcPr>
            <w:vAlign w:val="center"/>
          </w:tcPr>
          <w:p>
            <w:pPr>
              <w:jc w:val="right"/>
            </w:pPr>
            <w:r>
              <w:rPr>
                <w:color w:val="000000"/>
                <w:sz w:val="24"/>
              </w:rPr>
              <w:t>2,500,000</w:t>
            </w:r>
          </w:p>
        </w:tc>
        <w:tc>
          <w:tcPr>
            <w:vAlign w:val="center"/>
          </w:tcPr>
          <w:p>
            <w:pPr>
              <w:jc w:val="right"/>
            </w:pPr>
            <w:r>
              <w:rPr>
                <w:color w:val="000000"/>
                <w:sz w:val="24"/>
              </w:rPr>
              <w:t>259,425,000.00</w:t>
            </w:r>
          </w:p>
        </w:tc>
        <w:tc>
          <w:tcPr>
            <w:vAlign w:val="center"/>
          </w:tcPr>
          <w:p>
            <w:pPr>
              <w:jc w:val="right"/>
            </w:pPr>
            <w:r>
              <w:rPr>
                <w:color w:val="000000"/>
                <w:sz w:val="24"/>
              </w:rPr>
              <w:t>13.21</w:t>
            </w:r>
          </w:p>
        </w:tc>
      </w:tr>
      <w:tr>
        <w:tc>
          <w:tcPr>
            <w:vAlign w:val="center"/>
          </w:tcPr>
          <w:p>
            <w:pPr>
              <w:jc w:val="center"/>
            </w:pPr>
            <w:r>
              <w:rPr>
                <w:color w:val="000000"/>
                <w:sz w:val="24"/>
              </w:rPr>
              <w:t>5</w:t>
            </w:r>
          </w:p>
        </w:tc>
        <w:tc>
          <w:tcPr>
            <w:vAlign w:val="center"/>
          </w:tcPr>
          <w:p>
            <w:pPr>
              <w:jc w:val="center"/>
            </w:pPr>
            <w:r>
              <w:rPr>
                <w:color w:val="000000"/>
                <w:sz w:val="24"/>
              </w:rPr>
              <w:t>180408</w:t>
            </w:r>
          </w:p>
        </w:tc>
        <w:tc>
          <w:tcPr>
            <w:vAlign w:val="center"/>
          </w:tcPr>
          <w:p>
            <w:pPr>
              <w:jc w:val="center"/>
            </w:pPr>
            <w:r>
              <w:rPr>
                <w:color w:val="000000"/>
                <w:sz w:val="24"/>
              </w:rPr>
              <w:t>18农发08</w:t>
            </w:r>
          </w:p>
        </w:tc>
        <w:tc>
          <w:tcPr>
            <w:vAlign w:val="center"/>
          </w:tcPr>
          <w:p>
            <w:pPr>
              <w:jc w:val="right"/>
            </w:pPr>
            <w:r>
              <w:rPr>
                <w:color w:val="000000"/>
                <w:sz w:val="24"/>
              </w:rPr>
              <w:t>1,700,000</w:t>
            </w:r>
          </w:p>
        </w:tc>
        <w:tc>
          <w:tcPr>
            <w:vAlign w:val="center"/>
          </w:tcPr>
          <w:p>
            <w:pPr>
              <w:jc w:val="right"/>
            </w:pPr>
            <w:r>
              <w:rPr>
                <w:color w:val="000000"/>
                <w:sz w:val="24"/>
              </w:rPr>
              <w:t>176,171,000.00</w:t>
            </w:r>
          </w:p>
        </w:tc>
        <w:tc>
          <w:tcPr>
            <w:vAlign w:val="center"/>
          </w:tcPr>
          <w:p>
            <w:pPr>
              <w:jc w:val="right"/>
            </w:pPr>
            <w:r>
              <w:rPr>
                <w:color w:val="000000"/>
                <w:sz w:val="24"/>
              </w:rPr>
              <w:t>8.97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6"/>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3,884.97</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49,891,786.73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2,779.69</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14,837.72</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49,913,289.11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交银丰润收益债券A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交银丰润收益债券C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1,546,168,095.42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847,779.59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623,912,794.45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432,035.73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290,726,620.43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375,851.23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1,879,354,269.44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903,964.09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576,942,334.43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290,387,184.20</w:t>
            </w:r>
          </w:p>
        </w:tc>
        <w:tc>
          <w:tcPr>
            <w:vAlign w:val="center"/>
          </w:tcPr>
          <w:p>
            <w:pPr>
              <w:jc w:val="center"/>
            </w:pPr>
            <w:r>
              <w:rPr>
                <w:rFonts w:ascii="宋体" w:hAnsi="宋体" w:hint="eastAsia"/>
                <w:color w:val="000000"/>
                <w:kern w:val="0"/>
                <w:szCs w:val="21"/>
              </w:rPr>
              <w:t>286,555,150.23</w:t>
            </w:r>
          </w:p>
        </w:tc>
        <w:tc>
          <w:tcPr>
            <w:vAlign w:val="center"/>
          </w:tcPr>
          <w:p>
            <w:pPr>
              <w:jc w:val="center"/>
            </w:pPr>
            <w:r>
              <w:rPr>
                <w:rFonts w:ascii="宋体" w:hAnsi="宋体" w:hint="eastAsia"/>
                <w:color w:val="000000"/>
                <w:kern w:val="0"/>
                <w:szCs w:val="21"/>
              </w:rPr>
              <w:t>15.24%</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282,484,934.09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282,484,934.09</w:t>
            </w:r>
          </w:p>
        </w:tc>
        <w:tc>
          <w:tcPr>
            <w:vAlign w:val="center"/>
          </w:tcPr>
          <w:p>
            <w:pPr>
              <w:jc w:val="center"/>
            </w:pPr>
            <w:r>
              <w:rPr>
                <w:rFonts w:ascii="宋体" w:hAnsi="宋体" w:hint="eastAsia"/>
                <w:color w:val="000000"/>
                <w:kern w:val="0"/>
                <w:szCs w:val="21"/>
              </w:rPr>
              <w:t>15.02%</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290,387,184.20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290,387,184.20</w:t>
            </w:r>
          </w:p>
        </w:tc>
        <w:tc>
          <w:tcPr>
            <w:vAlign w:val="center"/>
          </w:tcPr>
          <w:p>
            <w:pPr>
              <w:jc w:val="center"/>
            </w:pPr>
            <w:r>
              <w:rPr>
                <w:rFonts w:ascii="宋体" w:hAnsi="宋体" w:hint="eastAsia"/>
                <w:color w:val="000000"/>
                <w:kern w:val="0"/>
                <w:szCs w:val="21"/>
              </w:rPr>
              <w:t>15.44%</w:t>
            </w:r>
          </w:p>
        </w:tc>
      </w:tr>
      <w:tr>
        <w:tc>
          <w:tcPr>
            <w:vMerge/>
          </w:tcPr>
          <w:p/>
        </w:tc>
        <w:tc>
          <w:tcPr>
            <w:vAlign w:val="center"/>
          </w:tcPr>
          <w:p>
            <w:pPr>
              <w:jc w:val="center"/>
            </w:pPr>
            <w:r>
              <w:rPr>
                <w:rFonts w:ascii="宋体" w:hAnsi="宋体" w:hint="eastAsia"/>
                <w:color w:val="000000"/>
                <w:kern w:val="0"/>
                <w:szCs w:val="21"/>
              </w:rPr>
              <w:t>4</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479,293,519.94</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479,293,519.94</w:t>
            </w:r>
          </w:p>
        </w:tc>
        <w:tc>
          <w:tcPr>
            <w:vAlign w:val="center"/>
          </w:tcPr>
          <w:p>
            <w:pPr>
              <w:jc w:val="center"/>
            </w:pPr>
            <w:r>
              <w:rPr>
                <w:rFonts w:ascii="宋体" w:hAnsi="宋体" w:hint="eastAsia"/>
                <w:color w:val="000000"/>
                <w:kern w:val="0"/>
                <w:szCs w:val="21"/>
              </w:rPr>
              <w:t>25.49%</w:t>
            </w:r>
          </w:p>
        </w:tc>
      </w:tr>
      <w:tr>
        <w:tc>
          <w:tcPr>
            <w:vMerge/>
          </w:tcPr>
          <w:p/>
        </w:tc>
        <w:tc>
          <w:tcPr>
            <w:vAlign w:val="center"/>
          </w:tcPr>
          <w:p>
            <w:pPr>
              <w:jc w:val="center"/>
            </w:pPr>
            <w:r>
              <w:rPr>
                <w:rFonts w:ascii="宋体" w:hAnsi="宋体" w:hint="eastAsia"/>
                <w:color w:val="000000"/>
                <w:kern w:val="0"/>
                <w:szCs w:val="21"/>
              </w:rPr>
              <w:t>5</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288,017,473.12</w:t>
            </w:r>
          </w:p>
        </w:tc>
        <w:tc>
          <w:tcPr>
            <w:vAlign w:val="center"/>
          </w:tcPr>
          <w:p>
            <w:pPr>
              <w:jc w:val="center"/>
            </w:pPr>
            <w:r>
              <w:rPr>
                <w:rFonts w:ascii="宋体" w:hAnsi="宋体" w:hint="eastAsia"/>
                <w:color w:val="000000"/>
                <w:kern w:val="0"/>
                <w:szCs w:val="21"/>
              </w:rPr>
              <w:t>144,521,630.21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432,539,103.33</w:t>
            </w:r>
          </w:p>
        </w:tc>
        <w:tc>
          <w:tcPr>
            <w:vAlign w:val="center"/>
          </w:tcPr>
          <w:p>
            <w:pPr>
              <w:jc w:val="center"/>
            </w:pPr>
            <w:r>
              <w:rPr>
                <w:rFonts w:ascii="宋体" w:hAnsi="宋体" w:hint="eastAsia"/>
                <w:color w:val="000000"/>
                <w:kern w:val="0"/>
                <w:szCs w:val="21"/>
              </w:rPr>
              <w:t>23.00%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1、中国证监会准予交银施罗德丰润收益债券型证券投资基金募集注册的文件；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2、《交银施罗德丰润收益债券型证券投资基金基金合同》；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3、《交银施罗德丰润收益债券型证券投资基金招募说明书》；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4、《交银施罗德丰润收益债券型证券投资基金托管协议》；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7、关于申请募集注册交银施罗德丰润收益债券型证券投资基金的法律意见书；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8、报告期内交银施罗德丰润收益债券型证券投资基金在指定报刊上各项公告的原稿。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F7094A" w:rsidR="007F50FB" w:rsidRDefault="007F50FB" w:rsidRPr="001D0DB0">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43E9C">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43E9C">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7"/>
    </w:pPr>
  </w:p>
</w:ftr>
</file>

<file path=word/footer4.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7F50FB" w:rsidRDefault="0042114A">
    <w:pPr>
      <w:pStyle w:val="a7"/>
      <w:framePr w:hAnchor="margin" w:vAnchor="text" w:wrap="around"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id="-1" w:type="separator">
    <w:p w:rsidR="000A2E22" w:rsidRDefault="000A2E22">
      <w:r>
        <w:separator/>
      </w:r>
    </w:p>
  </w:footnote>
  <w:footnote w:id="0" w:type="continuationSeparator">
    <w:p w:rsidR="000A2E22" w:rsidRDefault="000A2E22">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交银施罗德丰润收益债券型证券投资基金2019年第3季度报告</w:t>
    </w: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rsidR="00C51B4E" w:rsidRDefault="00C51B4E">
    <w:pPr>
      <w:pStyle w:val="aa"/>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cs="Times New Roman" w:eastAsia="宋体" w:hAnsi="Times New Roman"/>
        <w:lang w:bidi="ar-SA" w:eastAsia="zh-CN" w:val="en-US"/>
      </w:rPr>
    </w:rPrDefault>
    <w:pPrDefault/>
  </w:docDefaults>
  <w:latentStyles w:count="377"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0"/>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a6"/>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7" w:type="paragraph">
    <w:name w:val="footer"/>
    <w:basedOn w:val="a"/>
    <w:rsid w:val="006A4828"/>
    <w:pPr>
      <w:tabs>
        <w:tab w:pos="4153" w:val="center"/>
        <w:tab w:pos="8306" w:val="right"/>
      </w:tabs>
      <w:snapToGrid w:val="0"/>
      <w:jc w:val="left"/>
    </w:pPr>
    <w:rPr>
      <w:sz w:val="18"/>
      <w:szCs w:val="18"/>
    </w:rPr>
  </w:style>
  <w:style w:styleId="a8" w:type="character">
    <w:name w:val="page number"/>
    <w:basedOn w:val="a1"/>
    <w:rsid w:val="006A4828"/>
  </w:style>
  <w:style w:styleId="a9"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a" w:type="paragraph">
    <w:name w:val="header"/>
    <w:basedOn w:val="a"/>
    <w:link w:val="ab"/>
    <w:uiPriority w:val="99"/>
    <w:rsid w:val="006A4828"/>
    <w:pPr>
      <w:pBdr>
        <w:bottom w:color="auto" w:space="1" w:sz="6" w:val="single"/>
      </w:pBdr>
      <w:tabs>
        <w:tab w:pos="4153" w:val="center"/>
        <w:tab w:pos="8306" w:val="right"/>
      </w:tabs>
      <w:snapToGrid w:val="0"/>
      <w:jc w:val="center"/>
    </w:pPr>
    <w:rPr>
      <w:sz w:val="18"/>
      <w:szCs w:val="18"/>
    </w:rPr>
  </w:style>
  <w:style w:customStyle="1" w:styleId="11" w:type="character">
    <w:name w:val="已访问的超链接1"/>
    <w:basedOn w:val="a1"/>
    <w:rsid w:val="006A4828"/>
    <w:rPr>
      <w:color w:val="800080"/>
      <w:u w:val="single"/>
    </w:rPr>
  </w:style>
  <w:style w:styleId="ac" w:type="paragraph">
    <w:name w:val="List"/>
    <w:basedOn w:val="ad"/>
    <w:rsid w:val="006A4828"/>
    <w:pPr>
      <w:spacing w:after="220" w:line="220" w:lineRule="atLeast"/>
      <w:ind w:hanging="360" w:left="1440"/>
    </w:pPr>
    <w:rPr>
      <w:szCs w:val="20"/>
    </w:rPr>
  </w:style>
  <w:style w:styleId="ad" w:type="paragraph">
    <w:name w:val="Body Text"/>
    <w:basedOn w:val="a"/>
    <w:rsid w:val="006A4828"/>
    <w:pPr>
      <w:spacing w:after="120"/>
    </w:pPr>
  </w:style>
  <w:style w:styleId="ae" w:type="paragraph">
    <w:name w:val="Date"/>
    <w:basedOn w:val="a"/>
    <w:next w:val="a"/>
    <w:link w:val="af"/>
    <w:rsid w:val="006A4828"/>
    <w:rPr>
      <w:sz w:val="24"/>
      <w:szCs w:val="20"/>
    </w:rPr>
  </w:style>
  <w:style w:customStyle="1" w:styleId="c1" w:type="character">
    <w:name w:val="c1"/>
    <w:basedOn w:val="a1"/>
    <w:rsid w:val="006A4828"/>
    <w:rPr>
      <w:color w:val="000000"/>
      <w:sz w:val="18"/>
      <w:szCs w:val="18"/>
    </w:rPr>
  </w:style>
  <w:style w:styleId="12"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f0" w:type="paragraph">
    <w:name w:val="Balloon Text"/>
    <w:basedOn w:val="a"/>
    <w:semiHidden/>
    <w:rsid w:val="006A4828"/>
    <w:rPr>
      <w:sz w:val="18"/>
      <w:szCs w:val="18"/>
    </w:rPr>
  </w:style>
  <w:style w:styleId="af1" w:type="character">
    <w:name w:val="annotation reference"/>
    <w:basedOn w:val="a1"/>
    <w:uiPriority w:val="99"/>
    <w:semiHidden/>
    <w:rsid w:val="006A4828"/>
    <w:rPr>
      <w:sz w:val="21"/>
      <w:szCs w:val="21"/>
    </w:rPr>
  </w:style>
  <w:style w:styleId="af2" w:type="paragraph">
    <w:name w:val="annotation text"/>
    <w:basedOn w:val="a"/>
    <w:link w:val="af3"/>
    <w:uiPriority w:val="99"/>
    <w:semiHidden/>
    <w:rsid w:val="006A4828"/>
    <w:pPr>
      <w:jc w:val="left"/>
    </w:pPr>
  </w:style>
  <w:style w:styleId="af4" w:type="paragraph">
    <w:name w:val="annotation subject"/>
    <w:basedOn w:val="af2"/>
    <w:next w:val="af2"/>
    <w:semiHidden/>
    <w:rsid w:val="006A4828"/>
    <w:rPr>
      <w:b/>
      <w:bCs/>
    </w:rPr>
  </w:style>
  <w:style w:customStyle="1" w:styleId="Char" w:type="paragraph">
    <w:name w:val="Char"/>
    <w:basedOn w:val="a"/>
    <w:rsid w:val="006A4828"/>
  </w:style>
  <w:style w:styleId="af5" w:type="paragraph">
    <w:name w:val="Document Map"/>
    <w:basedOn w:val="a"/>
    <w:semiHidden/>
    <w:rsid w:val="000A549A"/>
    <w:pPr>
      <w:shd w:color="auto" w:fill="000080" w:val="clear"/>
    </w:pPr>
  </w:style>
  <w:style w:styleId="af6"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7" w:type="paragraph">
    <w:name w:val="footnote text"/>
    <w:basedOn w:val="a"/>
    <w:link w:val="af8"/>
    <w:rsid w:val="000B251E"/>
    <w:pPr>
      <w:snapToGrid w:val="0"/>
      <w:jc w:val="left"/>
    </w:pPr>
    <w:rPr>
      <w:sz w:val="18"/>
      <w:szCs w:val="18"/>
    </w:rPr>
  </w:style>
  <w:style w:styleId="af9" w:type="character">
    <w:name w:val="footnote reference"/>
    <w:basedOn w:val="a1"/>
    <w:rsid w:val="000B251E"/>
    <w:rPr>
      <w:vertAlign w:val="superscript"/>
    </w:rPr>
  </w:style>
  <w:style w:styleId="afa"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0"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a6" w:type="character">
    <w:name w:val="纯文本 字符"/>
    <w:basedOn w:val="a1"/>
    <w:link w:val="a5"/>
    <w:uiPriority w:val="99"/>
    <w:rsid w:val="009A045B"/>
    <w:rPr>
      <w:rFonts w:ascii="宋体" w:hAnsi="Courier New"/>
      <w:kern w:val="2"/>
      <w:sz w:val="21"/>
      <w:szCs w:val="21"/>
    </w:rPr>
  </w:style>
  <w:style w:customStyle="1" w:styleId="af8" w:type="character">
    <w:name w:val="脚注文本 字符"/>
    <w:basedOn w:val="a1"/>
    <w:link w:val="af7"/>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ab" w:type="character">
    <w:name w:val="页眉 字符"/>
    <w:basedOn w:val="a1"/>
    <w:link w:val="aa"/>
    <w:uiPriority w:val="99"/>
    <w:rsid w:val="001207F2"/>
    <w:rPr>
      <w:kern w:val="2"/>
      <w:sz w:val="18"/>
      <w:szCs w:val="18"/>
    </w:rPr>
  </w:style>
  <w:style w:customStyle="1" w:styleId="10" w:type="character">
    <w:name w:val="标题 1 字符"/>
    <w:basedOn w:val="a1"/>
    <w:link w:val="1"/>
    <w:uiPriority w:val="99"/>
    <w:rsid w:val="00180952"/>
    <w:rPr>
      <w:b/>
      <w:bCs/>
      <w:kern w:val="44"/>
      <w:sz w:val="44"/>
      <w:szCs w:val="44"/>
    </w:rPr>
  </w:style>
  <w:style w:customStyle="1" w:styleId="af" w:type="character">
    <w:name w:val="日期 字符"/>
    <w:basedOn w:val="a1"/>
    <w:link w:val="ae"/>
    <w:rsid w:val="00D66685"/>
    <w:rPr>
      <w:kern w:val="2"/>
      <w:sz w:val="24"/>
    </w:rPr>
  </w:style>
  <w:style w:styleId="afb" w:type="character">
    <w:name w:val="Strong"/>
    <w:basedOn w:val="a1"/>
    <w:uiPriority w:val="22"/>
    <w:qFormat/>
    <w:rsid w:val="00C02900"/>
    <w:rPr>
      <w:b/>
      <w:bCs/>
    </w:rPr>
  </w:style>
  <w:style w:customStyle="1" w:styleId="af3" w:type="character">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3D1C4-DF97-4403-82EB-0D35503E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27</Pages>
  <Words>4287</Words>
  <Characters>24442</Characters>
  <Application>Microsoft Office Word</Application>
  <DocSecurity>0</DocSecurity>
  <Lines>203</Lines>
  <Paragraphs>57</Paragraphs>
  <ScaleCrop>false</ScaleCrop>
  <Company>TRT. Ltd. Co.</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857040381@qq.com</cp:lastModifiedBy>
  <cp:lastPrinted>2007-07-19T00:46:00Z</cp:lastPrinted>
  <dcterms:modified xsi:type="dcterms:W3CDTF">2019-09-18T07:08:00Z</dcterms:modified>
  <cp:revision>402</cp:revision>
</cp:coreProperties>
</file>