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交银施罗德稳鑫短债债券型证券投资基金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2019年第3季度报告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2019年9月30日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招商银行股份有限公司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二〇一九年十月二十二日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基金托管人招商银行股份有限公司根据本基金合同规定，于2019年10月21日复核了本报告中的财务指标、净值表现和投资组合报告等内容，保证复核内容不存在虚假记载、误导性陈述或者重大遗漏。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本报告期自2019年7月1日起至9月30日止。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交银稳鑫短债债券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006793</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2019年1月24日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1,116,097,312.72</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在严格控制风险和保持较高流动性的前提下,力求获得高于业绩比较基准的投资收益。</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中债综合财富（1年以下）指数收益率</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本基金是一只债券型基金，其预期风险与预期收益高于货币市场基金，低于混合型基金和股票型基金。</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招商银行股份有限公司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交银稳鑫短债债券A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交银稳鑫短债债券C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006793</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006794</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1,095,391,845.19</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20,705,467.53</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(2019年7月1日-2019年9月30日)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交银稳鑫短债债券A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交银稳鑫短债债券C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8,803,977.73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183,742.96</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10,586,338.39</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235,664.33</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0.0102</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0.0091</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1,120,415,755.38</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21,120,983.97</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1.0228</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1.0201</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注：1、上述基金业绩指标不包括持有人认购或交易基金的各项费用，计入费用后的实际收益水平要低于所列数字；</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交银稳鑫短债债券A</w:t>
      </w:r>
      <w:r w:rsidRPr="007F52FA">
        <w:rPr>
          <w:b/>
          <w:sz w:val="24"/>
        </w:rPr>
        <w:t>：</w:t>
      </w:r>
    </w:p>
    <w:tbl>
      <w:tblPr>
        <w:tblStyle w:val="af6"/>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1.00%</w:t>
            </w:r>
          </w:p>
        </w:tc>
        <w:tc>
          <w:tcPr>
            <w:vAlign w:val="center"/>
          </w:tcPr>
          <w:p>
            <w:pPr>
              <w:jc w:val="center"/>
            </w:pPr>
            <w:r>
              <w:rPr>
                <w:color w:val="000000"/>
                <w:sz w:val="24"/>
              </w:rPr>
              <w:t>0.01%</w:t>
            </w:r>
          </w:p>
        </w:tc>
        <w:tc>
          <w:tcPr>
            <w:vAlign w:val="center"/>
          </w:tcPr>
          <w:p>
            <w:pPr>
              <w:jc w:val="center"/>
            </w:pPr>
            <w:r>
              <w:rPr>
                <w:color w:val="000000"/>
                <w:sz w:val="24"/>
              </w:rPr>
              <w:t>0.78%</w:t>
            </w:r>
          </w:p>
        </w:tc>
        <w:tc>
          <w:tcPr>
            <w:vAlign w:val="center"/>
          </w:tcPr>
          <w:p>
            <w:pPr>
              <w:jc w:val="center"/>
            </w:pPr>
            <w:r>
              <w:rPr>
                <w:color w:val="000000"/>
                <w:sz w:val="24"/>
              </w:rPr>
              <w:t>0.01%</w:t>
            </w:r>
          </w:p>
        </w:tc>
        <w:tc>
          <w:tcPr>
            <w:vAlign w:val="center"/>
          </w:tcPr>
          <w:p>
            <w:pPr>
              <w:jc w:val="center"/>
            </w:pPr>
            <w:r>
              <w:rPr>
                <w:color w:val="000000"/>
                <w:sz w:val="24"/>
              </w:rPr>
              <w:t>0.22%</w:t>
            </w:r>
          </w:p>
        </w:tc>
        <w:tc>
          <w:tcPr>
            <w:vAlign w:val="center"/>
          </w:tcPr>
          <w:p>
            <w:pPr>
              <w:jc w:val="center"/>
            </w:pPr>
            <w:r>
              <w:rPr>
                <w:color w:val="000000"/>
                <w:sz w:val="24"/>
              </w:rPr>
              <w:t>0.00%</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交银稳鑫短债债券C</w:t>
      </w:r>
      <w:r w:rsidRPr="007F52FA">
        <w:rPr>
          <w:b/>
          <w:color w:val="000000"/>
          <w:kern w:val="0"/>
          <w:sz w:val="24"/>
        </w:rPr>
        <w:t>：</w:t>
      </w:r>
    </w:p>
    <w:tbl>
      <w:tblPr>
        <w:tblStyle w:val="af6"/>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0.91%</w:t>
            </w:r>
          </w:p>
        </w:tc>
        <w:tc>
          <w:tcPr>
            <w:vAlign w:val="center"/>
          </w:tcPr>
          <w:p>
            <w:pPr>
              <w:jc w:val="center"/>
            </w:pPr>
            <w:r>
              <w:rPr>
                <w:color w:val="000000"/>
                <w:sz w:val="24"/>
              </w:rPr>
              <w:t>0.01%</w:t>
            </w:r>
          </w:p>
        </w:tc>
        <w:tc>
          <w:tcPr>
            <w:vAlign w:val="center"/>
          </w:tcPr>
          <w:p>
            <w:pPr>
              <w:jc w:val="center"/>
            </w:pPr>
            <w:r>
              <w:rPr>
                <w:color w:val="000000"/>
                <w:sz w:val="24"/>
              </w:rPr>
              <w:t>0.78%</w:t>
            </w:r>
          </w:p>
        </w:tc>
        <w:tc>
          <w:tcPr>
            <w:vAlign w:val="center"/>
          </w:tcPr>
          <w:p>
            <w:pPr>
              <w:jc w:val="center"/>
            </w:pPr>
            <w:r>
              <w:rPr>
                <w:color w:val="000000"/>
                <w:sz w:val="24"/>
              </w:rPr>
              <w:t>0.01%</w:t>
            </w:r>
          </w:p>
        </w:tc>
        <w:tc>
          <w:tcPr>
            <w:vAlign w:val="center"/>
          </w:tcPr>
          <w:p>
            <w:pPr>
              <w:jc w:val="center"/>
            </w:pPr>
            <w:r>
              <w:rPr>
                <w:color w:val="000000"/>
                <w:sz w:val="24"/>
              </w:rPr>
              <w:t>0.13%</w:t>
            </w:r>
          </w:p>
        </w:tc>
        <w:tc>
          <w:tcPr>
            <w:vAlign w:val="center"/>
          </w:tcPr>
          <w:p>
            <w:pPr>
              <w:jc w:val="center"/>
            </w:pPr>
            <w:r>
              <w:rPr>
                <w:color w:val="000000"/>
                <w:sz w:val="24"/>
              </w:rPr>
              <w:t>0.00%</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交银施罗德稳鑫短债债券型证券投资基金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2019年1月24日</w:t>
      </w:r>
      <w:r w:rsidR="009A045B" w:rsidRPr="007F52FA">
        <w:rPr>
          <w:rFonts w:ascii="Times New Roman" w:hAnsi="Times New Roman"/>
          <w:sz w:val="24"/>
          <w:szCs w:val="24"/>
        </w:rPr>
        <w:t>至</w:t>
      </w:r>
      <w:r w:rsidRPr="007F52FA">
        <w:rPr>
          <w:rFonts w:ascii="Times New Roman" w:hAnsi="Times New Roman"/>
          <w:sz w:val="24"/>
          <w:szCs w:val="24"/>
        </w:rPr>
        <w:t>2019年9月30日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交银稳鑫短债债券A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基金合同生效日为2019年1月24日，基金合同生效日至报告期期末，本基金运作时间未满一年。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交银稳鑫短债债券C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基金合同生效日为2019年1月24日，基金合同生效日至报告期期末，本基金运作时间未满一年。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交银理财21天债券、交银丰享收益债券、交银裕通纯债债券、交银活期通货币、交银天利宝货币、交银裕隆纯债债券、交银天益宝货币、交银境尚收益债券、交银稳鑫短债债券的基金经理</w:t>
            </w:r>
          </w:p>
        </w:tc>
        <w:tc>
          <w:tcPr>
            <w:vAlign w:val="center"/>
          </w:tcPr>
          <w:p>
            <w:pPr>
              <w:jc w:val="center"/>
            </w:pPr>
            <w:r>
              <w:rPr>
                <w:color w:val="000000"/>
                <w:sz w:val="24"/>
              </w:rPr>
              <w:t>2019-01-24</w:t>
            </w:r>
          </w:p>
        </w:tc>
        <w:tc>
          <w:tcPr>
            <w:vAlign w:val="center"/>
          </w:tcPr>
          <w:p>
            <w:pPr>
              <w:jc w:val="center"/>
            </w:pPr>
            <w:r>
              <w:rPr>
                <w:color w:val="000000"/>
                <w:sz w:val="24"/>
              </w:rPr>
              <w:t>-</w:t>
            </w:r>
          </w:p>
        </w:tc>
        <w:tc>
          <w:tcPr>
            <w:vAlign w:val="center"/>
          </w:tcPr>
          <w:p>
            <w:pPr>
              <w:jc w:val="center"/>
            </w:pPr>
            <w:r>
              <w:rPr>
                <w:color w:val="000000"/>
                <w:sz w:val="24"/>
              </w:rPr>
              <w:t>11年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2015年5月27日至2019年8月2日担任交银施罗德货币市场证券投资基金、交银施罗德现金宝货币市场基金的基金经理。2016年12月7日至2019年8月2日担任交银施罗德天鑫宝货币市场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债券市场呈现先涨后跌的走势。个别银行信用风险事件叠加政策对地产融资的限制，使得债市交易逻辑再度回到“宽货币紧信用”环境，此间中美贸易摩擦升级和人民币汇率贬值成为助推器，十年国债最低下行到3%，十年国开最低下行到3.39%。九月之后通胀预期不断升温，专项债提前下发等稳增长政策也陆续出台，在类滞胀格局下货币宽松不及预期，债市也随之小幅调整。截止2019年9月24日，十年国债收益率最高上行至3.12%，十年国开收益率上行至3.51%。</w:t>
      </w:r>
    </w:p>
    <w:p>
      <w:pPr>
        <w:spacing w:before="29" w:line="288" w:lineRule="auto"/>
        <w:ind w:firstLine="480" w:firstLineChars="200"/>
        <w:rPr>
          <w:color w:val="000000"/>
          <w:sz w:val="24"/>
        </w:rPr>
      </w:pPr>
      <w:r>
        <w:rPr>
          <w:color w:val="000000"/>
          <w:sz w:val="24"/>
        </w:rPr>
        <w:t xml:space="preserve">基金操作方面， 本基金以配置397天内的短久期信用债为主，适当增配部份1-2年的资产增厚组合收益，同时辅以合理杠杆水平来提高收益。 </w:t>
      </w:r>
    </w:p>
    <w:p>
      <w:pPr>
        <w:spacing w:before="29" w:line="288" w:lineRule="auto"/>
        <w:ind w:firstLine="480" w:firstLineChars="200"/>
        <w:rPr>
          <w:color w:val="000000"/>
          <w:sz w:val="24"/>
        </w:rPr>
      </w:pPr>
      <w:r>
        <w:rPr>
          <w:color w:val="000000"/>
          <w:sz w:val="24"/>
        </w:rPr>
        <w:t>展望2019年四季度，我们认为经济下行的斜率和通胀上行的预期是影响债市的因素。在地产和出口约束下，后续稳增长发力仅可依赖专项债，年内经济企稳概率不高。猪价超预期上涨和地缘政治因素对油价的推动，导致年末通胀上行压力较大，四季度名义增速或有小幅抬升。货币政策在九月降准之后短期内将保持定力，稳定宏观杠杆率的思路下信用难以明显扩张。债券收益率短期或维持震荡格局，信用债票息策略更占优。</w:t>
      </w:r>
    </w:p>
    <w:p w:rsidP="007C14DF" w:rsidR="00952A72" w:rsidRDefault="00323F25" w:rsidRPr="007F52FA">
      <w:pPr>
        <w:spacing w:before="29" w:line="288" w:lineRule="auto"/>
        <w:ind w:firstLine="480" w:firstLineChars="200"/>
        <w:rPr>
          <w:color w:val="000000"/>
          <w:sz w:val="24"/>
        </w:rPr>
      </w:pPr>
      <w:r w:rsidRPr="007F52FA">
        <w:rPr>
          <w:color w:val="000000"/>
          <w:sz w:val="24"/>
        </w:rPr>
        <w:t>组合操作方面，我们通过控制组合久期，将利率风险控制在合理范围内，努力使组合净值平稳增长，保持组合较好流动性的同时将会密切关注信用风险。</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6"/>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1,503,677,986.00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98.36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1,503,677,986.00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98.36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645,420.22</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0.04</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24,485,579.23</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1.60</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1,528,808,985.45</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60,123,000.00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5.27</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60,123,000.00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5.27</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24,199,986.00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2.12</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732,286,000.00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64.15</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550,793,000.00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48.25</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136,276,000.00</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11.94</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1,503,677,986.00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131.72</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6"/>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011900671</w:t>
            </w:r>
          </w:p>
        </w:tc>
        <w:tc>
          <w:tcPr>
            <w:vAlign w:val="center"/>
          </w:tcPr>
          <w:p>
            <w:pPr>
              <w:jc w:val="center"/>
            </w:pPr>
            <w:r>
              <w:rPr>
                <w:color w:val="000000"/>
                <w:sz w:val="24"/>
              </w:rPr>
              <w:t>19云能投SCP004</w:t>
            </w:r>
          </w:p>
        </w:tc>
        <w:tc>
          <w:tcPr>
            <w:vAlign w:val="center"/>
          </w:tcPr>
          <w:p>
            <w:pPr>
              <w:jc w:val="right"/>
            </w:pPr>
            <w:r>
              <w:rPr>
                <w:color w:val="000000"/>
                <w:sz w:val="24"/>
              </w:rPr>
              <w:t>800,000</w:t>
            </w:r>
          </w:p>
        </w:tc>
        <w:tc>
          <w:tcPr>
            <w:vAlign w:val="center"/>
          </w:tcPr>
          <w:p>
            <w:pPr>
              <w:jc w:val="right"/>
            </w:pPr>
            <w:r>
              <w:rPr>
                <w:color w:val="000000"/>
                <w:sz w:val="24"/>
              </w:rPr>
              <w:t>80,320,000.00</w:t>
            </w:r>
          </w:p>
        </w:tc>
        <w:tc>
          <w:tcPr>
            <w:vAlign w:val="center"/>
          </w:tcPr>
          <w:p>
            <w:pPr>
              <w:jc w:val="right"/>
            </w:pPr>
            <w:r>
              <w:rPr>
                <w:color w:val="000000"/>
                <w:sz w:val="24"/>
              </w:rPr>
              <w:t>7.04</w:t>
            </w:r>
          </w:p>
        </w:tc>
      </w:tr>
      <w:tr>
        <w:tc>
          <w:tcPr>
            <w:vAlign w:val="center"/>
          </w:tcPr>
          <w:p>
            <w:pPr>
              <w:jc w:val="center"/>
            </w:pPr>
            <w:r>
              <w:rPr>
                <w:color w:val="000000"/>
                <w:sz w:val="24"/>
              </w:rPr>
              <w:t>2</w:t>
            </w:r>
          </w:p>
        </w:tc>
        <w:tc>
          <w:tcPr>
            <w:vAlign w:val="center"/>
          </w:tcPr>
          <w:p>
            <w:pPr>
              <w:jc w:val="center"/>
            </w:pPr>
            <w:r>
              <w:rPr>
                <w:color w:val="000000"/>
                <w:sz w:val="24"/>
              </w:rPr>
              <w:t>101764041</w:t>
            </w:r>
          </w:p>
        </w:tc>
        <w:tc>
          <w:tcPr>
            <w:vAlign w:val="center"/>
          </w:tcPr>
          <w:p>
            <w:pPr>
              <w:jc w:val="center"/>
            </w:pPr>
            <w:r>
              <w:rPr>
                <w:color w:val="000000"/>
                <w:sz w:val="24"/>
              </w:rPr>
              <w:t>17浦口城乡MTN001</w:t>
            </w:r>
          </w:p>
        </w:tc>
        <w:tc>
          <w:tcPr>
            <w:vAlign w:val="center"/>
          </w:tcPr>
          <w:p>
            <w:pPr>
              <w:jc w:val="right"/>
            </w:pPr>
            <w:r>
              <w:rPr>
                <w:color w:val="000000"/>
                <w:sz w:val="24"/>
              </w:rPr>
              <w:t>600,000</w:t>
            </w:r>
          </w:p>
        </w:tc>
        <w:tc>
          <w:tcPr>
            <w:vAlign w:val="center"/>
          </w:tcPr>
          <w:p>
            <w:pPr>
              <w:jc w:val="right"/>
            </w:pPr>
            <w:r>
              <w:rPr>
                <w:color w:val="000000"/>
                <w:sz w:val="24"/>
              </w:rPr>
              <w:t>60,744,000.00</w:t>
            </w:r>
          </w:p>
        </w:tc>
        <w:tc>
          <w:tcPr>
            <w:vAlign w:val="center"/>
          </w:tcPr>
          <w:p>
            <w:pPr>
              <w:jc w:val="right"/>
            </w:pPr>
            <w:r>
              <w:rPr>
                <w:color w:val="000000"/>
                <w:sz w:val="24"/>
              </w:rPr>
              <w:t>5.32</w:t>
            </w:r>
          </w:p>
        </w:tc>
      </w:tr>
      <w:tr>
        <w:tc>
          <w:tcPr>
            <w:vAlign w:val="center"/>
          </w:tcPr>
          <w:p>
            <w:pPr>
              <w:jc w:val="center"/>
            </w:pPr>
            <w:r>
              <w:rPr>
                <w:color w:val="000000"/>
                <w:sz w:val="24"/>
              </w:rPr>
              <w:t>3</w:t>
            </w:r>
          </w:p>
        </w:tc>
        <w:tc>
          <w:tcPr>
            <w:vAlign w:val="center"/>
          </w:tcPr>
          <w:p>
            <w:pPr>
              <w:jc w:val="center"/>
            </w:pPr>
            <w:r>
              <w:rPr>
                <w:color w:val="000000"/>
                <w:sz w:val="24"/>
              </w:rPr>
              <w:t>101800145</w:t>
            </w:r>
          </w:p>
        </w:tc>
        <w:tc>
          <w:tcPr>
            <w:vAlign w:val="center"/>
          </w:tcPr>
          <w:p>
            <w:pPr>
              <w:jc w:val="center"/>
            </w:pPr>
            <w:r>
              <w:rPr>
                <w:color w:val="000000"/>
                <w:sz w:val="24"/>
              </w:rPr>
              <w:t>18张保实业MTN001</w:t>
            </w:r>
          </w:p>
        </w:tc>
        <w:tc>
          <w:tcPr>
            <w:vAlign w:val="center"/>
          </w:tcPr>
          <w:p>
            <w:pPr>
              <w:jc w:val="right"/>
            </w:pPr>
            <w:r>
              <w:rPr>
                <w:color w:val="000000"/>
                <w:sz w:val="24"/>
              </w:rPr>
              <w:t>500,000</w:t>
            </w:r>
          </w:p>
        </w:tc>
        <w:tc>
          <w:tcPr>
            <w:vAlign w:val="center"/>
          </w:tcPr>
          <w:p>
            <w:pPr>
              <w:jc w:val="right"/>
            </w:pPr>
            <w:r>
              <w:rPr>
                <w:color w:val="000000"/>
                <w:sz w:val="24"/>
              </w:rPr>
              <w:t>51,925,000.00</w:t>
            </w:r>
          </w:p>
        </w:tc>
        <w:tc>
          <w:tcPr>
            <w:vAlign w:val="center"/>
          </w:tcPr>
          <w:p>
            <w:pPr>
              <w:jc w:val="right"/>
            </w:pPr>
            <w:r>
              <w:rPr>
                <w:color w:val="000000"/>
                <w:sz w:val="24"/>
              </w:rPr>
              <w:t>4.55</w:t>
            </w:r>
          </w:p>
        </w:tc>
      </w:tr>
      <w:tr>
        <w:tc>
          <w:tcPr>
            <w:vAlign w:val="center"/>
          </w:tcPr>
          <w:p>
            <w:pPr>
              <w:jc w:val="center"/>
            </w:pPr>
            <w:r>
              <w:rPr>
                <w:color w:val="000000"/>
                <w:sz w:val="24"/>
              </w:rPr>
              <w:t>4</w:t>
            </w:r>
          </w:p>
        </w:tc>
        <w:tc>
          <w:tcPr>
            <w:vAlign w:val="center"/>
          </w:tcPr>
          <w:p>
            <w:pPr>
              <w:jc w:val="center"/>
            </w:pPr>
            <w:r>
              <w:rPr>
                <w:color w:val="000000"/>
                <w:sz w:val="24"/>
              </w:rPr>
              <w:t>101564046</w:t>
            </w:r>
          </w:p>
        </w:tc>
        <w:tc>
          <w:tcPr>
            <w:vAlign w:val="center"/>
          </w:tcPr>
          <w:p>
            <w:pPr>
              <w:jc w:val="center"/>
            </w:pPr>
            <w:r>
              <w:rPr>
                <w:color w:val="000000"/>
                <w:sz w:val="24"/>
              </w:rPr>
              <w:t>15银川通联MTN001</w:t>
            </w:r>
          </w:p>
        </w:tc>
        <w:tc>
          <w:tcPr>
            <w:vAlign w:val="center"/>
          </w:tcPr>
          <w:p>
            <w:pPr>
              <w:jc w:val="right"/>
            </w:pPr>
            <w:r>
              <w:rPr>
                <w:color w:val="000000"/>
                <w:sz w:val="24"/>
              </w:rPr>
              <w:t>500,000</w:t>
            </w:r>
          </w:p>
        </w:tc>
        <w:tc>
          <w:tcPr>
            <w:vAlign w:val="center"/>
          </w:tcPr>
          <w:p>
            <w:pPr>
              <w:jc w:val="right"/>
            </w:pPr>
            <w:r>
              <w:rPr>
                <w:color w:val="000000"/>
                <w:sz w:val="24"/>
              </w:rPr>
              <w:t>51,265,000.00</w:t>
            </w:r>
          </w:p>
        </w:tc>
        <w:tc>
          <w:tcPr>
            <w:vAlign w:val="center"/>
          </w:tcPr>
          <w:p>
            <w:pPr>
              <w:jc w:val="right"/>
            </w:pPr>
            <w:r>
              <w:rPr>
                <w:color w:val="000000"/>
                <w:sz w:val="24"/>
              </w:rPr>
              <w:t>4.49</w:t>
            </w:r>
          </w:p>
        </w:tc>
      </w:tr>
      <w:tr>
        <w:tc>
          <w:tcPr>
            <w:vAlign w:val="center"/>
          </w:tcPr>
          <w:p>
            <w:pPr>
              <w:jc w:val="center"/>
            </w:pPr>
            <w:r>
              <w:rPr>
                <w:color w:val="000000"/>
                <w:sz w:val="24"/>
              </w:rPr>
              <w:t>5</w:t>
            </w:r>
          </w:p>
        </w:tc>
        <w:tc>
          <w:tcPr>
            <w:vAlign w:val="center"/>
          </w:tcPr>
          <w:p>
            <w:pPr>
              <w:jc w:val="center"/>
            </w:pPr>
            <w:r>
              <w:rPr>
                <w:color w:val="000000"/>
                <w:sz w:val="24"/>
              </w:rPr>
              <w:t>011900609</w:t>
            </w:r>
          </w:p>
        </w:tc>
        <w:tc>
          <w:tcPr>
            <w:vAlign w:val="center"/>
          </w:tcPr>
          <w:p>
            <w:pPr>
              <w:jc w:val="center"/>
            </w:pPr>
            <w:r>
              <w:rPr>
                <w:color w:val="000000"/>
                <w:sz w:val="24"/>
              </w:rPr>
              <w:t>19联发集SCP002</w:t>
            </w:r>
          </w:p>
        </w:tc>
        <w:tc>
          <w:tcPr>
            <w:vAlign w:val="center"/>
          </w:tcPr>
          <w:p>
            <w:pPr>
              <w:jc w:val="right"/>
            </w:pPr>
            <w:r>
              <w:rPr>
                <w:color w:val="000000"/>
                <w:sz w:val="24"/>
              </w:rPr>
              <w:t>500,000</w:t>
            </w:r>
          </w:p>
        </w:tc>
        <w:tc>
          <w:tcPr>
            <w:vAlign w:val="center"/>
          </w:tcPr>
          <w:p>
            <w:pPr>
              <w:jc w:val="right"/>
            </w:pPr>
            <w:r>
              <w:rPr>
                <w:color w:val="000000"/>
                <w:sz w:val="24"/>
              </w:rPr>
              <w:t>50,210,000.00</w:t>
            </w:r>
          </w:p>
        </w:tc>
        <w:tc>
          <w:tcPr>
            <w:vAlign w:val="center"/>
          </w:tcPr>
          <w:p>
            <w:pPr>
              <w:jc w:val="right"/>
            </w:pPr>
            <w:r>
              <w:rPr>
                <w:color w:val="000000"/>
                <w:sz w:val="24"/>
              </w:rPr>
              <w:t>4.40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5.11.1报告期内本基金投资的前十名证券的发行主体未被监管部门立案调查，在本报告编制日前一年内本基金投资的前十名证券的发行主体未受到公开谴责和处罚。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5.11.2本基金投资的前十名股票中，没有超出基金合同规定的备选股票库之外的股票。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6"/>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200,000.00</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23,886,406.56</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399,172.67</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24,485,579.23</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交银稳鑫短债债券A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交银稳鑫短债债券C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1,028,924,435.20</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35,253,395.44</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346,062,821.01</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209,886.80</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279,595,411.02</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14,757,814.71</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1,095,391,845.19</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20,705,467.53</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注：1、如果本报告期间发生转换入、红利再投业务，则总申购份额中包含该业务；</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2019/7/1-2019/9/30</w:t>
            </w:r>
          </w:p>
        </w:tc>
        <w:tc>
          <w:tcPr>
            <w:vAlign w:val="center"/>
          </w:tcPr>
          <w:p>
            <w:pPr>
              <w:jc w:val="center"/>
            </w:pPr>
            <w:r>
              <w:rPr>
                <w:rFonts w:ascii="宋体" w:hAnsi="宋体" w:hint="eastAsia"/>
                <w:color w:val="000000"/>
                <w:kern w:val="0"/>
                <w:szCs w:val="21"/>
              </w:rPr>
              <w:t>199,361,044.66</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199,361,044.66</w:t>
            </w:r>
          </w:p>
        </w:tc>
        <w:tc>
          <w:tcPr>
            <w:vAlign w:val="center"/>
          </w:tcPr>
          <w:p>
            <w:pPr>
              <w:jc w:val="center"/>
            </w:pPr>
            <w:r>
              <w:rPr>
                <w:rFonts w:ascii="宋体" w:hAnsi="宋体" w:hint="eastAsia"/>
                <w:color w:val="000000"/>
                <w:kern w:val="0"/>
                <w:szCs w:val="21"/>
              </w:rPr>
              <w:t>17.86%</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1、中国证监会准予交银施罗德稳鑫短债债券型证券投资基金募集注册的文件；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2、《交银施罗德稳鑫短债债券型证券投资基金基金合同》；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3、《交银施罗德稳鑫短债债券型证券投资基金招募说明书》；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4、《交银施罗德稳鑫短债债券型证券投资基金托管协议》；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5、关于申请募集注册交银施罗德稳鑫短债债券型证券投资基金的法律意见书；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8、报告期内交银施罗德稳鑫短债债券型证券投资基金在指定报刊上各项公告的原稿。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E22" w:rsidRDefault="000A2E22">
      <w:r>
        <w:separator/>
      </w:r>
    </w:p>
  </w:endnote>
  <w:endnote w:type="continuationSeparator" w:id="0">
    <w:p w:rsidR="000A2E22" w:rsidRDefault="000A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C51B4E" w:rsidRDefault="00C51B4E">
    <w:pPr>
      <w:pStyle w:val="a7"/>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P="00F7094A" w:rsidR="007F50FB" w:rsidRDefault="007F50FB" w:rsidRPr="001D0DB0">
    <w:pPr>
      <w:pStyle w:val="a7"/>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143E9C">
      <w:rPr>
        <w:noProof/>
        <w:kern w:val="0"/>
        <w:szCs w:val="21"/>
      </w:rPr>
      <w:t>26</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143E9C">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C51B4E" w:rsidRDefault="00C51B4E">
    <w:pPr>
      <w:pStyle w:val="a7"/>
    </w:pPr>
  </w:p>
</w:ftr>
</file>

<file path=word/footer4.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7F50FB" w:rsidRDefault="0042114A">
    <w:pPr>
      <w:pStyle w:val="a7"/>
      <w:framePr w:hAnchor="margin" w:vAnchor="text" w:wrap="around" w:xAlign="center" w:y="1"/>
      <w:rPr>
        <w:rStyle w:val="a8"/>
      </w:rPr>
    </w:pPr>
    <w:r>
      <w:rPr>
        <w:rStyle w:val="a8"/>
      </w:rPr>
      <w:fldChar w:fldCharType="begin"/>
    </w:r>
    <w:r w:rsidR="007F50FB">
      <w:rPr>
        <w:rStyle w:val="a8"/>
      </w:rPr>
      <w:instrText xml:space="preserve">PAGE  </w:instrText>
    </w:r>
    <w:r>
      <w:rPr>
        <w:rStyle w:val="a8"/>
      </w:rPr>
      <w:fldChar w:fldCharType="end"/>
    </w:r>
  </w:p>
  <w:p w:rsidR="007F50FB" w:rsidRDefault="007F50FB">
    <w:pPr>
      <w:pStyle w:val="a7"/>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footnote w:id="-1" w:type="separator">
    <w:p w:rsidR="000A2E22" w:rsidRDefault="000A2E22">
      <w:r>
        <w:separator/>
      </w:r>
    </w:p>
  </w:footnote>
  <w:footnote w:id="0" w:type="continuationSeparator">
    <w:p w:rsidR="000A2E22" w:rsidRDefault="000A2E22">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C51B4E" w:rsidRDefault="00C51B4E">
    <w:pPr>
      <w:pStyle w:val="aa"/>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交银施罗德稳鑫短债债券型证券投资基金2019年第3季度报告</w:t>
    </w: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C51B4E" w:rsidRDefault="00C51B4E">
    <w:pPr>
      <w:pStyle w:val="aa"/>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mc:Ignorable="w14 w15 w16se w16cid">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cs="Times New Roman" w:eastAsia="宋体" w:hAnsi="Times New Roman"/>
        <w:lang w:bidi="ar-SA" w:eastAsia="zh-CN" w:val="en-US"/>
      </w:rPr>
    </w:rPrDefault>
    <w:pPrDefault/>
  </w:docDefaults>
  <w:latentStyles w:count="377"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0"/>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a6"/>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7" w:type="paragraph">
    <w:name w:val="footer"/>
    <w:basedOn w:val="a"/>
    <w:rsid w:val="006A4828"/>
    <w:pPr>
      <w:tabs>
        <w:tab w:pos="4153" w:val="center"/>
        <w:tab w:pos="8306" w:val="right"/>
      </w:tabs>
      <w:snapToGrid w:val="0"/>
      <w:jc w:val="left"/>
    </w:pPr>
    <w:rPr>
      <w:sz w:val="18"/>
      <w:szCs w:val="18"/>
    </w:rPr>
  </w:style>
  <w:style w:styleId="a8" w:type="character">
    <w:name w:val="page number"/>
    <w:basedOn w:val="a1"/>
    <w:rsid w:val="006A4828"/>
  </w:style>
  <w:style w:styleId="a9"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a" w:type="paragraph">
    <w:name w:val="header"/>
    <w:basedOn w:val="a"/>
    <w:link w:val="ab"/>
    <w:uiPriority w:val="99"/>
    <w:rsid w:val="006A4828"/>
    <w:pPr>
      <w:pBdr>
        <w:bottom w:color="auto" w:space="1" w:sz="6" w:val="single"/>
      </w:pBdr>
      <w:tabs>
        <w:tab w:pos="4153" w:val="center"/>
        <w:tab w:pos="8306" w:val="right"/>
      </w:tabs>
      <w:snapToGrid w:val="0"/>
      <w:jc w:val="center"/>
    </w:pPr>
    <w:rPr>
      <w:sz w:val="18"/>
      <w:szCs w:val="18"/>
    </w:rPr>
  </w:style>
  <w:style w:customStyle="1" w:styleId="11" w:type="character">
    <w:name w:val="已访问的超链接1"/>
    <w:basedOn w:val="a1"/>
    <w:rsid w:val="006A4828"/>
    <w:rPr>
      <w:color w:val="800080"/>
      <w:u w:val="single"/>
    </w:rPr>
  </w:style>
  <w:style w:styleId="ac" w:type="paragraph">
    <w:name w:val="List"/>
    <w:basedOn w:val="ad"/>
    <w:rsid w:val="006A4828"/>
    <w:pPr>
      <w:spacing w:after="220" w:line="220" w:lineRule="atLeast"/>
      <w:ind w:hanging="360" w:left="1440"/>
    </w:pPr>
    <w:rPr>
      <w:szCs w:val="20"/>
    </w:rPr>
  </w:style>
  <w:style w:styleId="ad" w:type="paragraph">
    <w:name w:val="Body Text"/>
    <w:basedOn w:val="a"/>
    <w:rsid w:val="006A4828"/>
    <w:pPr>
      <w:spacing w:after="120"/>
    </w:pPr>
  </w:style>
  <w:style w:styleId="ae" w:type="paragraph">
    <w:name w:val="Date"/>
    <w:basedOn w:val="a"/>
    <w:next w:val="a"/>
    <w:link w:val="af"/>
    <w:rsid w:val="006A4828"/>
    <w:rPr>
      <w:sz w:val="24"/>
      <w:szCs w:val="20"/>
    </w:rPr>
  </w:style>
  <w:style w:customStyle="1" w:styleId="c1" w:type="character">
    <w:name w:val="c1"/>
    <w:basedOn w:val="a1"/>
    <w:rsid w:val="006A4828"/>
    <w:rPr>
      <w:color w:val="000000"/>
      <w:sz w:val="18"/>
      <w:szCs w:val="18"/>
    </w:rPr>
  </w:style>
  <w:style w:styleId="12"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f0" w:type="paragraph">
    <w:name w:val="Balloon Text"/>
    <w:basedOn w:val="a"/>
    <w:semiHidden/>
    <w:rsid w:val="006A4828"/>
    <w:rPr>
      <w:sz w:val="18"/>
      <w:szCs w:val="18"/>
    </w:rPr>
  </w:style>
  <w:style w:styleId="af1" w:type="character">
    <w:name w:val="annotation reference"/>
    <w:basedOn w:val="a1"/>
    <w:uiPriority w:val="99"/>
    <w:semiHidden/>
    <w:rsid w:val="006A4828"/>
    <w:rPr>
      <w:sz w:val="21"/>
      <w:szCs w:val="21"/>
    </w:rPr>
  </w:style>
  <w:style w:styleId="af2" w:type="paragraph">
    <w:name w:val="annotation text"/>
    <w:basedOn w:val="a"/>
    <w:link w:val="af3"/>
    <w:uiPriority w:val="99"/>
    <w:semiHidden/>
    <w:rsid w:val="006A4828"/>
    <w:pPr>
      <w:jc w:val="left"/>
    </w:pPr>
  </w:style>
  <w:style w:styleId="af4" w:type="paragraph">
    <w:name w:val="annotation subject"/>
    <w:basedOn w:val="af2"/>
    <w:next w:val="af2"/>
    <w:semiHidden/>
    <w:rsid w:val="006A4828"/>
    <w:rPr>
      <w:b/>
      <w:bCs/>
    </w:rPr>
  </w:style>
  <w:style w:customStyle="1" w:styleId="Char" w:type="paragraph">
    <w:name w:val="Char"/>
    <w:basedOn w:val="a"/>
    <w:rsid w:val="006A4828"/>
  </w:style>
  <w:style w:styleId="af5" w:type="paragraph">
    <w:name w:val="Document Map"/>
    <w:basedOn w:val="a"/>
    <w:semiHidden/>
    <w:rsid w:val="000A549A"/>
    <w:pPr>
      <w:shd w:color="auto" w:fill="000080" w:val="clear"/>
    </w:pPr>
  </w:style>
  <w:style w:styleId="af6"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7" w:type="paragraph">
    <w:name w:val="footnote text"/>
    <w:basedOn w:val="a"/>
    <w:link w:val="af8"/>
    <w:rsid w:val="000B251E"/>
    <w:pPr>
      <w:snapToGrid w:val="0"/>
      <w:jc w:val="left"/>
    </w:pPr>
    <w:rPr>
      <w:sz w:val="18"/>
      <w:szCs w:val="18"/>
    </w:rPr>
  </w:style>
  <w:style w:styleId="af9" w:type="character">
    <w:name w:val="footnote reference"/>
    <w:basedOn w:val="a1"/>
    <w:rsid w:val="000B251E"/>
    <w:rPr>
      <w:vertAlign w:val="superscript"/>
    </w:rPr>
  </w:style>
  <w:style w:styleId="afa"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0"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a6" w:type="character">
    <w:name w:val="纯文本 字符"/>
    <w:basedOn w:val="a1"/>
    <w:link w:val="a5"/>
    <w:uiPriority w:val="99"/>
    <w:rsid w:val="009A045B"/>
    <w:rPr>
      <w:rFonts w:ascii="宋体" w:hAnsi="Courier New"/>
      <w:kern w:val="2"/>
      <w:sz w:val="21"/>
      <w:szCs w:val="21"/>
    </w:rPr>
  </w:style>
  <w:style w:customStyle="1" w:styleId="af8" w:type="character">
    <w:name w:val="脚注文本 字符"/>
    <w:basedOn w:val="a1"/>
    <w:link w:val="af7"/>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ab" w:type="character">
    <w:name w:val="页眉 字符"/>
    <w:basedOn w:val="a1"/>
    <w:link w:val="aa"/>
    <w:uiPriority w:val="99"/>
    <w:rsid w:val="001207F2"/>
    <w:rPr>
      <w:kern w:val="2"/>
      <w:sz w:val="18"/>
      <w:szCs w:val="18"/>
    </w:rPr>
  </w:style>
  <w:style w:customStyle="1" w:styleId="10" w:type="character">
    <w:name w:val="标题 1 字符"/>
    <w:basedOn w:val="a1"/>
    <w:link w:val="1"/>
    <w:uiPriority w:val="99"/>
    <w:rsid w:val="00180952"/>
    <w:rPr>
      <w:b/>
      <w:bCs/>
      <w:kern w:val="44"/>
      <w:sz w:val="44"/>
      <w:szCs w:val="44"/>
    </w:rPr>
  </w:style>
  <w:style w:customStyle="1" w:styleId="af" w:type="character">
    <w:name w:val="日期 字符"/>
    <w:basedOn w:val="a1"/>
    <w:link w:val="ae"/>
    <w:rsid w:val="00D66685"/>
    <w:rPr>
      <w:kern w:val="2"/>
      <w:sz w:val="24"/>
    </w:rPr>
  </w:style>
  <w:style w:styleId="afb" w:type="character">
    <w:name w:val="Strong"/>
    <w:basedOn w:val="a1"/>
    <w:uiPriority w:val="22"/>
    <w:qFormat/>
    <w:rsid w:val="00C02900"/>
    <w:rPr>
      <w:b/>
      <w:bCs/>
    </w:rPr>
  </w:style>
  <w:style w:customStyle="1" w:styleId="af3" w:type="character">
    <w:name w:val="批注文字 字符"/>
    <w:basedOn w:val="a1"/>
    <w:link w:val="af2"/>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3D1C4-DF97-4403-82EB-0D35503E4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242</TotalTime>
  <Pages>27</Pages>
  <Words>4287</Words>
  <Characters>24442</Characters>
  <Application>Microsoft Office Word</Application>
  <DocSecurity>0</DocSecurity>
  <Lines>203</Lines>
  <Paragraphs>57</Paragraphs>
  <ScaleCrop>false</ScaleCrop>
  <Company>TRT. Ltd. Co.</Company>
  <LinksUpToDate>false</LinksUpToDate>
  <CharactersWithSpaces>28672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857040381@qq.com</cp:lastModifiedBy>
  <cp:lastPrinted>2007-07-19T00:46:00Z</cp:lastPrinted>
  <dcterms:modified xsi:type="dcterms:W3CDTF">2019-09-18T07:08:00Z</dcterms:modified>
  <cp:revision>402</cp:revision>
</cp:coreProperties>
</file>