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交银施罗德先进制造混合型证券投资基金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2011年6月22日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795,947,674.13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本基金通过重点投资于与先进制造主题相关的优质企业，把握中国产业结构升级的投资机会，在控制风险并保持基金资产良好的流动性的前提下，力争实现基金资产的长期稳定增值。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2018年3月21日起，由“75%×申银万国装备制造指数收益率+25%×中证综合债券指数收益率”变更为“60%×沪深300指数收益率+40%×中证综合债券指数收益率”，详情见本基金管理人于2018年3月21日发布的《交银施罗德基金管理有限公司关于交银施罗德先进制造混合型证券投资基金基金份额持有人大会表决结果暨决议生效的公告》。</w:t>
      </w:r>
    </w:p>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162,256,874.44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206,471,881.22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0.2192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1,628,762,408.15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2.046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11.62%</w:t>
            </w:r>
          </w:p>
        </w:tc>
        <w:tc>
          <w:tcPr>
            <w:vAlign w:val="center"/>
          </w:tcPr>
          <w:p>
            <w:pPr>
              <w:jc w:val="center"/>
            </w:pPr>
            <w:r>
              <w:rPr>
                <w:color w:val="000000"/>
                <w:sz w:val="24"/>
                <w:szCs w:val="24"/>
              </w:rPr>
              <w:t>1.08%</w:t>
            </w:r>
          </w:p>
        </w:tc>
        <w:tc>
          <w:tcPr>
            <w:vAlign w:val="center"/>
          </w:tcPr>
          <w:p>
            <w:pPr>
              <w:jc w:val="center"/>
            </w:pPr>
            <w:r>
              <w:rPr>
                <w:color w:val="000000"/>
                <w:sz w:val="24"/>
                <w:szCs w:val="24"/>
              </w:rPr>
              <w:t>0.45%</w:t>
            </w:r>
          </w:p>
        </w:tc>
        <w:tc>
          <w:tcPr>
            <w:vAlign w:val="center"/>
          </w:tcPr>
          <w:p>
            <w:pPr>
              <w:jc w:val="center"/>
            </w:pPr>
            <w:r>
              <w:rPr>
                <w:color w:val="000000"/>
                <w:sz w:val="24"/>
                <w:szCs w:val="24"/>
              </w:rPr>
              <w:t>0.57%</w:t>
            </w:r>
          </w:p>
        </w:tc>
        <w:tc>
          <w:tcPr>
            <w:vAlign w:val="center"/>
          </w:tcPr>
          <w:p>
            <w:pPr>
              <w:jc w:val="center"/>
            </w:pPr>
            <w:r>
              <w:rPr>
                <w:color w:val="000000"/>
                <w:sz w:val="24"/>
                <w:szCs w:val="24"/>
              </w:rPr>
              <w:t>11.17%</w:t>
            </w:r>
          </w:p>
        </w:tc>
        <w:tc>
          <w:tcPr>
            <w:vAlign w:val="center"/>
          </w:tcPr>
          <w:p>
            <w:pPr>
              <w:jc w:val="center"/>
            </w:pPr>
            <w:r>
              <w:rPr>
                <w:color w:val="000000"/>
                <w:sz w:val="24"/>
                <w:szCs w:val="24"/>
              </w:rPr>
              <w:t>0.51%</w:t>
            </w:r>
          </w:p>
        </w:tc>
      </w:tr>
    </w:tbl>
    <w:p>
      <w:pPr>
        <w:autoSpaceDE w:val="0"/>
        <w:autoSpaceDN w:val="0"/>
        <w:adjustRightInd w:val="0"/>
        <w:spacing w:before="29" w:line="288" w:lineRule="auto"/>
        <w:jc w:val="left"/>
        <w:rPr>
          <w:color w:val="000000"/>
          <w:sz w:val="24"/>
          <w:szCs w:val="24"/>
        </w:rPr>
      </w:pPr>
      <w:r>
        <w:rPr>
          <w:color w:val="000000"/>
          <w:sz w:val="24"/>
          <w:szCs w:val="24"/>
        </w:rPr>
        <w:t>注：1、本基金业绩比较基准自2015年10月1日起，由“75%×申银万国装备制造指数收益率+25%×中信标普全债指数收益率”变更为“75%×申银万国装备制造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基金业绩比较基准自2018年3月21日起，由“75%×申银万国装备制造指数收益率+25%×中证综合债券指数收益率”变更为“60%×沪深300指数收益率+40%×中证综合债券指数收益率”，3.2.2同。详情见本基金管理人于2018年3月21日发布的《交银施罗德基金管理有限公司关于交银施罗德先进制造混合型证券投资基金基金份额持有人大会表决结果暨决议生效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交银施罗德先进制造混合型证券投资基金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2011年6月22日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刘鹏</w:t>
            </w:r>
          </w:p>
        </w:tc>
        <w:tc>
          <w:tcPr>
            <w:vAlign w:val="center"/>
          </w:tcPr>
          <w:p>
            <w:pPr>
              <w:jc w:val="center"/>
            </w:pPr>
            <w:r>
              <w:rPr>
                <w:color w:val="000000"/>
                <w:sz w:val="24"/>
                <w:szCs w:val="24"/>
              </w:rPr>
              <w:t>交银先进制造混合的基金经理</w:t>
            </w:r>
          </w:p>
        </w:tc>
        <w:tc>
          <w:tcPr>
            <w:vAlign w:val="center"/>
          </w:tcPr>
          <w:p>
            <w:pPr>
              <w:jc w:val="center"/>
            </w:pPr>
            <w:r>
              <w:rPr>
                <w:color w:val="000000"/>
                <w:sz w:val="24"/>
                <w:szCs w:val="24"/>
              </w:rPr>
              <w:t>2018-05-29</w:t>
            </w:r>
          </w:p>
        </w:tc>
        <w:tc>
          <w:tcPr>
            <w:vAlign w:val="center"/>
          </w:tcPr>
          <w:p>
            <w:pPr>
              <w:jc w:val="center"/>
            </w:pPr>
            <w:r>
              <w:rPr>
                <w:color w:val="000000"/>
                <w:sz w:val="24"/>
                <w:szCs w:val="24"/>
              </w:rPr>
              <w:t>-</w:t>
            </w:r>
          </w:p>
        </w:tc>
        <w:tc>
          <w:tcPr>
            <w:vAlign w:val="center"/>
          </w:tcPr>
          <w:p>
            <w:pPr>
              <w:jc w:val="center"/>
            </w:pPr>
            <w:r>
              <w:rPr>
                <w:color w:val="000000"/>
                <w:sz w:val="24"/>
                <w:szCs w:val="24"/>
              </w:rPr>
              <w:t>5年</w:t>
            </w:r>
          </w:p>
        </w:tc>
        <w:tc>
          <w:tcPr>
            <w:vAlign w:val="center"/>
          </w:tcPr>
          <w:p>
            <w:pPr>
              <w:jc w:val="both"/>
            </w:pPr>
            <w:r>
              <w:rPr>
                <w:color w:val="000000"/>
                <w:sz w:val="24"/>
                <w:szCs w:val="24"/>
              </w:rPr>
              <w:t>刘鹏先生，中国人民大学金融学硕士，北京理工大学经济学学士。2014年6月加入交银施罗德基金管理有限公司，历任行业分析师。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2019年三季度市场回暖，在贸易战影响钝化和科技国产化大背景下，以通信、电子为代表的TMT行业快速完成了估值修复。</w:t>
      </w:r>
    </w:p>
    <w:p>
      <w:pPr>
        <w:spacing w:before="29" w:line="288" w:lineRule="auto"/>
        <w:ind w:firstLine="480" w:firstLineChars="200"/>
        <w:rPr>
          <w:color w:val="000000"/>
          <w:sz w:val="24"/>
          <w:szCs w:val="24"/>
        </w:rPr>
      </w:pPr>
      <w:r>
        <w:rPr>
          <w:color w:val="000000"/>
          <w:sz w:val="24"/>
          <w:szCs w:val="24"/>
        </w:rPr>
        <w:t>经济基本面还没有到最差的时候，地产投资尽管边际趋弱，但是仍然维持高基数下的正增长，基建、制造业没有起色，逆周期政策调节受到地方政府杠杆制约，只能起托底作用。资金维持宽松，但非大水漫灌，信贷传导依然不畅。食品价格已经推动CPI在八月上涨到2.8%，价格传导大概率会进行，通胀（甚至滞涨）压力很可能制约货币政策进一步宽松。</w:t>
      </w:r>
    </w:p>
    <w:p>
      <w:pPr>
        <w:spacing w:before="29" w:line="288" w:lineRule="auto"/>
        <w:ind w:firstLine="480" w:firstLineChars="200"/>
        <w:rPr>
          <w:color w:val="000000"/>
          <w:sz w:val="24"/>
          <w:szCs w:val="24"/>
        </w:rPr>
      </w:pPr>
      <w:r>
        <w:rPr>
          <w:color w:val="000000"/>
          <w:sz w:val="24"/>
          <w:szCs w:val="24"/>
        </w:rPr>
        <w:t>从市场估值看，“核心资产”的估值水平处于高位，科技股的价格在急速修复以后也不再具有优势，进入基本面趋势投资阶段，股价波动随预期的波动而加剧。本基金将在预期较低的成长型行业中，寻找更高回报的投资机会。</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从周期位置看，由于政府的主动调控和地产行业的库存去化，很多地产企业在销售走弱的情况下加快开工和销售周转，从而拉长了周期。很多中游制造在享受了三年高增长以后依然被市场追捧，导致迟迟没有合适的买点。但我们认为资本品和消费品还是有很大区别的，前者在历史上展现出来更强的波动性。本基金将以更大的耐心等待中游制造配置时机，力求控制好业绩回撤，通过在合适的价格配置创造社会价值和经济价值的公司，努力为持有人创造稳健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1,452,289,094.87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81.43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1,452,289,094.87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81.43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89,976,000.00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89,976,000.00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223,162,022.81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12.51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18,023,228.41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1,783,450,346.09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806,749,063.62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49.53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117,922,062.89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7.24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79,249,040.78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74,133,528.41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174,144,359.69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10.69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67,089,292.24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14,027,962.92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28,248,000.00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90,725,784.32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1,452,289,094.87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89.17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2,005,157</w:t>
            </w:r>
          </w:p>
        </w:tc>
        <w:tc>
          <w:tcPr>
            <w:vAlign w:val="center"/>
          </w:tcPr>
          <w:p>
            <w:pPr>
              <w:jc w:val="right"/>
            </w:pPr>
            <w:r>
              <w:rPr>
                <w:color w:val="000000"/>
                <w:sz w:val="24"/>
                <w:szCs w:val="24"/>
              </w:rPr>
              <w:t>90,725,784.32</w:t>
            </w:r>
          </w:p>
        </w:tc>
        <w:tc>
          <w:tcPr>
            <w:vAlign w:val="center"/>
          </w:tcPr>
          <w:p>
            <w:pPr>
              <w:jc w:val="right"/>
            </w:pPr>
            <w:r>
              <w:rPr>
                <w:color w:val="000000"/>
                <w:sz w:val="24"/>
                <w:szCs w:val="24"/>
              </w:rPr>
              <w:t>5.57</w:t>
            </w:r>
          </w:p>
        </w:tc>
      </w:tr>
      <w:tr>
        <w:tc>
          <w:tcPr>
            <w:vAlign w:val="center"/>
          </w:tcPr>
          <w:p>
            <w:pPr>
              <w:jc w:val="center"/>
            </w:pPr>
            <w:r>
              <w:rPr>
                <w:color w:val="000000"/>
                <w:sz w:val="24"/>
                <w:szCs w:val="24"/>
              </w:rPr>
              <w:t>2</w:t>
            </w:r>
          </w:p>
        </w:tc>
        <w:tc>
          <w:tcPr>
            <w:vAlign w:val="center"/>
          </w:tcPr>
          <w:p>
            <w:pPr>
              <w:jc w:val="center"/>
            </w:pPr>
            <w:r>
              <w:rPr>
                <w:color w:val="000000"/>
                <w:sz w:val="24"/>
                <w:szCs w:val="24"/>
              </w:rPr>
              <w:t>600546</w:t>
            </w:r>
          </w:p>
        </w:tc>
        <w:tc>
          <w:tcPr>
            <w:vAlign w:val="center"/>
          </w:tcPr>
          <w:p>
            <w:pPr>
              <w:jc w:val="center"/>
            </w:pPr>
            <w:r>
              <w:rPr>
                <w:color w:val="000000"/>
                <w:sz w:val="24"/>
                <w:szCs w:val="24"/>
              </w:rPr>
              <w:t>山煤国际</w:t>
            </w:r>
          </w:p>
        </w:tc>
        <w:tc>
          <w:tcPr>
            <w:vAlign w:val="center"/>
          </w:tcPr>
          <w:p>
            <w:pPr>
              <w:jc w:val="right"/>
            </w:pPr>
            <w:r>
              <w:rPr>
                <w:color w:val="000000"/>
                <w:sz w:val="24"/>
                <w:szCs w:val="24"/>
              </w:rPr>
              <w:t>14,745,453</w:t>
            </w:r>
          </w:p>
        </w:tc>
        <w:tc>
          <w:tcPr>
            <w:vAlign w:val="center"/>
          </w:tcPr>
          <w:p>
            <w:pPr>
              <w:jc w:val="right"/>
            </w:pPr>
            <w:r>
              <w:rPr>
                <w:color w:val="000000"/>
                <w:sz w:val="24"/>
                <w:szCs w:val="24"/>
              </w:rPr>
              <w:t>90,389,626.89</w:t>
            </w:r>
          </w:p>
        </w:tc>
        <w:tc>
          <w:tcPr>
            <w:vAlign w:val="center"/>
          </w:tcPr>
          <w:p>
            <w:pPr>
              <w:jc w:val="right"/>
            </w:pPr>
            <w:r>
              <w:rPr>
                <w:color w:val="000000"/>
                <w:sz w:val="24"/>
                <w:szCs w:val="24"/>
              </w:rPr>
              <w:t>5.55</w:t>
            </w:r>
          </w:p>
        </w:tc>
      </w:tr>
      <w:tr>
        <w:tc>
          <w:tcPr>
            <w:vAlign w:val="center"/>
          </w:tcPr>
          <w:p>
            <w:pPr>
              <w:jc w:val="center"/>
            </w:pPr>
            <w:r>
              <w:rPr>
                <w:color w:val="000000"/>
                <w:sz w:val="24"/>
                <w:szCs w:val="24"/>
              </w:rPr>
              <w:t>3</w:t>
            </w:r>
          </w:p>
        </w:tc>
        <w:tc>
          <w:tcPr>
            <w:vAlign w:val="center"/>
          </w:tcPr>
          <w:p>
            <w:pPr>
              <w:jc w:val="center"/>
            </w:pPr>
            <w:r>
              <w:rPr>
                <w:color w:val="000000"/>
                <w:sz w:val="24"/>
                <w:szCs w:val="24"/>
              </w:rPr>
              <w:t>300724</w:t>
            </w:r>
          </w:p>
        </w:tc>
        <w:tc>
          <w:tcPr>
            <w:vAlign w:val="center"/>
          </w:tcPr>
          <w:p>
            <w:pPr>
              <w:jc w:val="center"/>
            </w:pPr>
            <w:r>
              <w:rPr>
                <w:color w:val="000000"/>
                <w:sz w:val="24"/>
                <w:szCs w:val="24"/>
              </w:rPr>
              <w:t>捷佳伟创</w:t>
            </w:r>
          </w:p>
        </w:tc>
        <w:tc>
          <w:tcPr>
            <w:vAlign w:val="center"/>
          </w:tcPr>
          <w:p>
            <w:pPr>
              <w:jc w:val="right"/>
            </w:pPr>
            <w:r>
              <w:rPr>
                <w:color w:val="000000"/>
                <w:sz w:val="24"/>
                <w:szCs w:val="24"/>
              </w:rPr>
              <w:t>2,657,132</w:t>
            </w:r>
          </w:p>
        </w:tc>
        <w:tc>
          <w:tcPr>
            <w:vAlign w:val="center"/>
          </w:tcPr>
          <w:p>
            <w:pPr>
              <w:jc w:val="right"/>
            </w:pPr>
            <w:r>
              <w:rPr>
                <w:color w:val="000000"/>
                <w:sz w:val="24"/>
                <w:szCs w:val="24"/>
              </w:rPr>
              <w:t>86,091,076.80</w:t>
            </w:r>
          </w:p>
        </w:tc>
        <w:tc>
          <w:tcPr>
            <w:vAlign w:val="center"/>
          </w:tcPr>
          <w:p>
            <w:pPr>
              <w:jc w:val="right"/>
            </w:pPr>
            <w:r>
              <w:rPr>
                <w:color w:val="000000"/>
                <w:sz w:val="24"/>
                <w:szCs w:val="24"/>
              </w:rPr>
              <w:t>5.29</w:t>
            </w:r>
          </w:p>
        </w:tc>
      </w:tr>
      <w:tr>
        <w:tc>
          <w:tcPr>
            <w:vAlign w:val="center"/>
          </w:tcPr>
          <w:p>
            <w:pPr>
              <w:jc w:val="center"/>
            </w:pPr>
            <w:r>
              <w:rPr>
                <w:color w:val="000000"/>
                <w:sz w:val="24"/>
                <w:szCs w:val="24"/>
              </w:rPr>
              <w:t>4</w:t>
            </w:r>
          </w:p>
        </w:tc>
        <w:tc>
          <w:tcPr>
            <w:vAlign w:val="center"/>
          </w:tcPr>
          <w:p>
            <w:pPr>
              <w:jc w:val="center"/>
            </w:pPr>
            <w:r>
              <w:rPr>
                <w:color w:val="000000"/>
                <w:sz w:val="24"/>
                <w:szCs w:val="24"/>
              </w:rPr>
              <w:t>300118</w:t>
            </w:r>
          </w:p>
        </w:tc>
        <w:tc>
          <w:tcPr>
            <w:vAlign w:val="center"/>
          </w:tcPr>
          <w:p>
            <w:pPr>
              <w:jc w:val="center"/>
            </w:pPr>
            <w:r>
              <w:rPr>
                <w:color w:val="000000"/>
                <w:sz w:val="24"/>
                <w:szCs w:val="24"/>
              </w:rPr>
              <w:t>东方日升</w:t>
            </w:r>
          </w:p>
        </w:tc>
        <w:tc>
          <w:tcPr>
            <w:vAlign w:val="center"/>
          </w:tcPr>
          <w:p>
            <w:pPr>
              <w:jc w:val="right"/>
            </w:pPr>
            <w:r>
              <w:rPr>
                <w:color w:val="000000"/>
                <w:sz w:val="24"/>
                <w:szCs w:val="24"/>
              </w:rPr>
              <w:t>6,986,332</w:t>
            </w:r>
          </w:p>
        </w:tc>
        <w:tc>
          <w:tcPr>
            <w:vAlign w:val="center"/>
          </w:tcPr>
          <w:p>
            <w:pPr>
              <w:jc w:val="right"/>
            </w:pPr>
            <w:r>
              <w:rPr>
                <w:color w:val="000000"/>
                <w:sz w:val="24"/>
                <w:szCs w:val="24"/>
              </w:rPr>
              <w:t>84,744,207.16</w:t>
            </w:r>
          </w:p>
        </w:tc>
        <w:tc>
          <w:tcPr>
            <w:vAlign w:val="center"/>
          </w:tcPr>
          <w:p>
            <w:pPr>
              <w:jc w:val="right"/>
            </w:pPr>
            <w:r>
              <w:rPr>
                <w:color w:val="000000"/>
                <w:sz w:val="24"/>
                <w:szCs w:val="24"/>
              </w:rPr>
              <w:t>5.20</w:t>
            </w:r>
          </w:p>
        </w:tc>
      </w:tr>
      <w:tr>
        <w:tc>
          <w:tcPr>
            <w:vAlign w:val="center"/>
          </w:tcPr>
          <w:p>
            <w:pPr>
              <w:jc w:val="center"/>
            </w:pPr>
            <w:r>
              <w:rPr>
                <w:color w:val="000000"/>
                <w:sz w:val="24"/>
                <w:szCs w:val="24"/>
              </w:rPr>
              <w:t>5</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3,806,619</w:t>
            </w:r>
          </w:p>
        </w:tc>
        <w:tc>
          <w:tcPr>
            <w:vAlign w:val="center"/>
          </w:tcPr>
          <w:p>
            <w:pPr>
              <w:jc w:val="right"/>
            </w:pPr>
            <w:r>
              <w:rPr>
                <w:color w:val="000000"/>
                <w:sz w:val="24"/>
                <w:szCs w:val="24"/>
              </w:rPr>
              <w:t>57,670,277.85</w:t>
            </w:r>
          </w:p>
        </w:tc>
        <w:tc>
          <w:tcPr>
            <w:vAlign w:val="center"/>
          </w:tcPr>
          <w:p>
            <w:pPr>
              <w:jc w:val="right"/>
            </w:pPr>
            <w:r>
              <w:rPr>
                <w:color w:val="000000"/>
                <w:sz w:val="24"/>
                <w:szCs w:val="24"/>
              </w:rPr>
              <w:t>3.54</w:t>
            </w:r>
          </w:p>
        </w:tc>
      </w:tr>
      <w:tr>
        <w:tc>
          <w:tcPr>
            <w:vAlign w:val="center"/>
          </w:tcPr>
          <w:p>
            <w:pPr>
              <w:jc w:val="center"/>
            </w:pPr>
            <w:r>
              <w:rPr>
                <w:color w:val="000000"/>
                <w:sz w:val="24"/>
                <w:szCs w:val="24"/>
              </w:rPr>
              <w:t>6</w:t>
            </w:r>
          </w:p>
        </w:tc>
        <w:tc>
          <w:tcPr>
            <w:vAlign w:val="center"/>
          </w:tcPr>
          <w:p>
            <w:pPr>
              <w:jc w:val="center"/>
            </w:pPr>
            <w:r>
              <w:rPr>
                <w:color w:val="000000"/>
                <w:sz w:val="24"/>
                <w:szCs w:val="24"/>
              </w:rPr>
              <w:t>600967</w:t>
            </w:r>
          </w:p>
        </w:tc>
        <w:tc>
          <w:tcPr>
            <w:vAlign w:val="center"/>
          </w:tcPr>
          <w:p>
            <w:pPr>
              <w:jc w:val="center"/>
            </w:pPr>
            <w:r>
              <w:rPr>
                <w:color w:val="000000"/>
                <w:sz w:val="24"/>
                <w:szCs w:val="24"/>
              </w:rPr>
              <w:t>内蒙一机</w:t>
            </w:r>
          </w:p>
        </w:tc>
        <w:tc>
          <w:tcPr>
            <w:vAlign w:val="center"/>
          </w:tcPr>
          <w:p>
            <w:pPr>
              <w:jc w:val="right"/>
            </w:pPr>
            <w:r>
              <w:rPr>
                <w:color w:val="000000"/>
                <w:sz w:val="24"/>
                <w:szCs w:val="24"/>
              </w:rPr>
              <w:t>5,170,412</w:t>
            </w:r>
          </w:p>
        </w:tc>
        <w:tc>
          <w:tcPr>
            <w:vAlign w:val="center"/>
          </w:tcPr>
          <w:p>
            <w:pPr>
              <w:jc w:val="right"/>
            </w:pPr>
            <w:r>
              <w:rPr>
                <w:color w:val="000000"/>
                <w:sz w:val="24"/>
                <w:szCs w:val="24"/>
              </w:rPr>
              <w:t>54,444,438.36</w:t>
            </w:r>
          </w:p>
        </w:tc>
        <w:tc>
          <w:tcPr>
            <w:vAlign w:val="center"/>
          </w:tcPr>
          <w:p>
            <w:pPr>
              <w:jc w:val="right"/>
            </w:pPr>
            <w:r>
              <w:rPr>
                <w:color w:val="000000"/>
                <w:sz w:val="24"/>
                <w:szCs w:val="24"/>
              </w:rPr>
              <w:t>3.34</w:t>
            </w:r>
          </w:p>
        </w:tc>
      </w:tr>
      <w:tr>
        <w:tc>
          <w:tcPr>
            <w:vAlign w:val="center"/>
          </w:tcPr>
          <w:p>
            <w:pPr>
              <w:jc w:val="center"/>
            </w:pPr>
            <w:r>
              <w:rPr>
                <w:color w:val="000000"/>
                <w:sz w:val="24"/>
                <w:szCs w:val="24"/>
              </w:rPr>
              <w:t>7</w:t>
            </w:r>
          </w:p>
        </w:tc>
        <w:tc>
          <w:tcPr>
            <w:vAlign w:val="center"/>
          </w:tcPr>
          <w:p>
            <w:pPr>
              <w:jc w:val="center"/>
            </w:pPr>
            <w:r>
              <w:rPr>
                <w:color w:val="000000"/>
                <w:sz w:val="24"/>
                <w:szCs w:val="24"/>
              </w:rPr>
              <w:t>601877</w:t>
            </w:r>
          </w:p>
        </w:tc>
        <w:tc>
          <w:tcPr>
            <w:vAlign w:val="center"/>
          </w:tcPr>
          <w:p>
            <w:pPr>
              <w:jc w:val="center"/>
            </w:pPr>
            <w:r>
              <w:rPr>
                <w:color w:val="000000"/>
                <w:sz w:val="24"/>
                <w:szCs w:val="24"/>
              </w:rPr>
              <w:t>正泰电器</w:t>
            </w:r>
          </w:p>
        </w:tc>
        <w:tc>
          <w:tcPr>
            <w:vAlign w:val="center"/>
          </w:tcPr>
          <w:p>
            <w:pPr>
              <w:jc w:val="right"/>
            </w:pPr>
            <w:r>
              <w:rPr>
                <w:color w:val="000000"/>
                <w:sz w:val="24"/>
                <w:szCs w:val="24"/>
              </w:rPr>
              <w:t>2,409,645</w:t>
            </w:r>
          </w:p>
        </w:tc>
        <w:tc>
          <w:tcPr>
            <w:vAlign w:val="center"/>
          </w:tcPr>
          <w:p>
            <w:pPr>
              <w:jc w:val="right"/>
            </w:pPr>
            <w:r>
              <w:rPr>
                <w:color w:val="000000"/>
                <w:sz w:val="24"/>
                <w:szCs w:val="24"/>
              </w:rPr>
              <w:t>52,602,550.35</w:t>
            </w:r>
          </w:p>
        </w:tc>
        <w:tc>
          <w:tcPr>
            <w:vAlign w:val="center"/>
          </w:tcPr>
          <w:p>
            <w:pPr>
              <w:jc w:val="right"/>
            </w:pPr>
            <w:r>
              <w:rPr>
                <w:color w:val="000000"/>
                <w:sz w:val="24"/>
                <w:szCs w:val="24"/>
              </w:rPr>
              <w:t>3.23</w:t>
            </w:r>
          </w:p>
        </w:tc>
      </w:tr>
      <w:tr>
        <w:tc>
          <w:tcPr>
            <w:vAlign w:val="center"/>
          </w:tcPr>
          <w:p>
            <w:pPr>
              <w:jc w:val="center"/>
            </w:pPr>
            <w:r>
              <w:rPr>
                <w:color w:val="000000"/>
                <w:sz w:val="24"/>
                <w:szCs w:val="24"/>
              </w:rPr>
              <w:t>8</w:t>
            </w:r>
          </w:p>
        </w:tc>
        <w:tc>
          <w:tcPr>
            <w:vAlign w:val="center"/>
          </w:tcPr>
          <w:p>
            <w:pPr>
              <w:jc w:val="center"/>
            </w:pPr>
            <w:r>
              <w:rPr>
                <w:color w:val="000000"/>
                <w:sz w:val="24"/>
                <w:szCs w:val="24"/>
              </w:rPr>
              <w:t>002698</w:t>
            </w:r>
          </w:p>
        </w:tc>
        <w:tc>
          <w:tcPr>
            <w:vAlign w:val="center"/>
          </w:tcPr>
          <w:p>
            <w:pPr>
              <w:jc w:val="center"/>
            </w:pPr>
            <w:r>
              <w:rPr>
                <w:color w:val="000000"/>
                <w:sz w:val="24"/>
                <w:szCs w:val="24"/>
              </w:rPr>
              <w:t>博实股份</w:t>
            </w:r>
          </w:p>
        </w:tc>
        <w:tc>
          <w:tcPr>
            <w:vAlign w:val="center"/>
          </w:tcPr>
          <w:p>
            <w:pPr>
              <w:jc w:val="right"/>
            </w:pPr>
            <w:r>
              <w:rPr>
                <w:color w:val="000000"/>
                <w:sz w:val="24"/>
                <w:szCs w:val="24"/>
              </w:rPr>
              <w:t>5,201,173</w:t>
            </w:r>
          </w:p>
        </w:tc>
        <w:tc>
          <w:tcPr>
            <w:vAlign w:val="center"/>
          </w:tcPr>
          <w:p>
            <w:pPr>
              <w:jc w:val="right"/>
            </w:pPr>
            <w:r>
              <w:rPr>
                <w:color w:val="000000"/>
                <w:sz w:val="24"/>
                <w:szCs w:val="24"/>
              </w:rPr>
              <w:t>51,127,530.59</w:t>
            </w:r>
          </w:p>
        </w:tc>
        <w:tc>
          <w:tcPr>
            <w:vAlign w:val="center"/>
          </w:tcPr>
          <w:p>
            <w:pPr>
              <w:jc w:val="right"/>
            </w:pPr>
            <w:r>
              <w:rPr>
                <w:color w:val="000000"/>
                <w:sz w:val="24"/>
                <w:szCs w:val="24"/>
              </w:rPr>
              <w:t>3.14</w:t>
            </w:r>
          </w:p>
        </w:tc>
      </w:tr>
      <w:tr>
        <w:tc>
          <w:tcPr>
            <w:vAlign w:val="center"/>
          </w:tcPr>
          <w:p>
            <w:pPr>
              <w:jc w:val="center"/>
            </w:pPr>
            <w:r>
              <w:rPr>
                <w:color w:val="000000"/>
                <w:sz w:val="24"/>
                <w:szCs w:val="24"/>
              </w:rPr>
              <w:t>9</w:t>
            </w:r>
          </w:p>
        </w:tc>
        <w:tc>
          <w:tcPr>
            <w:vAlign w:val="center"/>
          </w:tcPr>
          <w:p>
            <w:pPr>
              <w:jc w:val="center"/>
            </w:pPr>
            <w:r>
              <w:rPr>
                <w:color w:val="000000"/>
                <w:sz w:val="24"/>
                <w:szCs w:val="24"/>
              </w:rPr>
              <w:t>600038</w:t>
            </w:r>
          </w:p>
        </w:tc>
        <w:tc>
          <w:tcPr>
            <w:vAlign w:val="center"/>
          </w:tcPr>
          <w:p>
            <w:pPr>
              <w:jc w:val="center"/>
            </w:pPr>
            <w:r>
              <w:rPr>
                <w:color w:val="000000"/>
                <w:sz w:val="24"/>
                <w:szCs w:val="24"/>
              </w:rPr>
              <w:t>中直股份</w:t>
            </w:r>
          </w:p>
        </w:tc>
        <w:tc>
          <w:tcPr>
            <w:vAlign w:val="center"/>
          </w:tcPr>
          <w:p>
            <w:pPr>
              <w:jc w:val="right"/>
            </w:pPr>
            <w:r>
              <w:rPr>
                <w:color w:val="000000"/>
                <w:sz w:val="24"/>
                <w:szCs w:val="24"/>
              </w:rPr>
              <w:t>1,043,808</w:t>
            </w:r>
          </w:p>
        </w:tc>
        <w:tc>
          <w:tcPr>
            <w:vAlign w:val="center"/>
          </w:tcPr>
          <w:p>
            <w:pPr>
              <w:jc w:val="right"/>
            </w:pPr>
            <w:r>
              <w:rPr>
                <w:color w:val="000000"/>
                <w:sz w:val="24"/>
                <w:szCs w:val="24"/>
              </w:rPr>
              <w:t>46,887,855.36</w:t>
            </w:r>
          </w:p>
        </w:tc>
        <w:tc>
          <w:tcPr>
            <w:vAlign w:val="center"/>
          </w:tcPr>
          <w:p>
            <w:pPr>
              <w:jc w:val="right"/>
            </w:pPr>
            <w:r>
              <w:rPr>
                <w:color w:val="000000"/>
                <w:sz w:val="24"/>
                <w:szCs w:val="24"/>
              </w:rPr>
              <w:t>2.88</w:t>
            </w:r>
          </w:p>
        </w:tc>
      </w:tr>
      <w:tr>
        <w:tc>
          <w:tcPr>
            <w:vAlign w:val="center"/>
          </w:tcPr>
          <w:p>
            <w:pPr>
              <w:jc w:val="center"/>
            </w:pPr>
            <w:r>
              <w:rPr>
                <w:color w:val="000000"/>
                <w:sz w:val="24"/>
                <w:szCs w:val="24"/>
              </w:rPr>
              <w:t>10</w:t>
            </w:r>
          </w:p>
        </w:tc>
        <w:tc>
          <w:tcPr>
            <w:vAlign w:val="center"/>
          </w:tcPr>
          <w:p>
            <w:pPr>
              <w:jc w:val="center"/>
            </w:pPr>
            <w:r>
              <w:rPr>
                <w:color w:val="000000"/>
                <w:sz w:val="24"/>
                <w:szCs w:val="24"/>
              </w:rPr>
              <w:t>603160</w:t>
            </w:r>
          </w:p>
        </w:tc>
        <w:tc>
          <w:tcPr>
            <w:vAlign w:val="center"/>
          </w:tcPr>
          <w:p>
            <w:pPr>
              <w:jc w:val="center"/>
            </w:pPr>
            <w:r>
              <w:rPr>
                <w:color w:val="000000"/>
                <w:sz w:val="24"/>
                <w:szCs w:val="24"/>
              </w:rPr>
              <w:t>汇顶科技</w:t>
            </w:r>
          </w:p>
        </w:tc>
        <w:tc>
          <w:tcPr>
            <w:vAlign w:val="center"/>
          </w:tcPr>
          <w:p>
            <w:pPr>
              <w:jc w:val="right"/>
            </w:pPr>
            <w:r>
              <w:rPr>
                <w:color w:val="000000"/>
                <w:sz w:val="24"/>
                <w:szCs w:val="24"/>
              </w:rPr>
              <w:t>185,660</w:t>
            </w:r>
          </w:p>
        </w:tc>
        <w:tc>
          <w:tcPr>
            <w:vAlign w:val="center"/>
          </w:tcPr>
          <w:p>
            <w:pPr>
              <w:jc w:val="right"/>
            </w:pPr>
            <w:r>
              <w:rPr>
                <w:color w:val="000000"/>
                <w:sz w:val="24"/>
                <w:szCs w:val="24"/>
              </w:rPr>
              <w:t>37,763,244.00</w:t>
            </w:r>
          </w:p>
        </w:tc>
        <w:tc>
          <w:tcPr>
            <w:vAlign w:val="center"/>
          </w:tcPr>
          <w:p>
            <w:pPr>
              <w:jc w:val="right"/>
            </w:pPr>
            <w:r>
              <w:rPr>
                <w:color w:val="000000"/>
                <w:sz w:val="24"/>
                <w:szCs w:val="24"/>
              </w:rPr>
              <w:t>2.32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89,976,000.00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5.52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89,976,000.00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5.52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89,976,000.00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5.52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600,000</w:t>
            </w:r>
          </w:p>
        </w:tc>
        <w:tc>
          <w:tcPr>
            <w:vAlign w:val="center"/>
          </w:tcPr>
          <w:p>
            <w:pPr>
              <w:jc w:val="right"/>
            </w:pPr>
            <w:r>
              <w:rPr>
                <w:color w:val="000000"/>
                <w:sz w:val="24"/>
                <w:szCs w:val="24"/>
              </w:rPr>
              <w:t>59,982,000.00</w:t>
            </w:r>
          </w:p>
        </w:tc>
        <w:tc>
          <w:tcPr>
            <w:vAlign w:val="center"/>
          </w:tcPr>
          <w:p>
            <w:pPr>
              <w:jc w:val="right"/>
            </w:pPr>
            <w:r>
              <w:rPr>
                <w:color w:val="000000"/>
                <w:sz w:val="24"/>
                <w:szCs w:val="24"/>
              </w:rPr>
              <w:t>3.68</w:t>
            </w:r>
          </w:p>
        </w:tc>
      </w:tr>
      <w:tr>
        <w:tc>
          <w:tcPr>
            <w:vAlign w:val="center"/>
          </w:tcPr>
          <w:p>
            <w:pPr>
              <w:jc w:val="center"/>
            </w:pPr>
            <w:r>
              <w:rPr>
                <w:color w:val="000000"/>
                <w:sz w:val="24"/>
                <w:szCs w:val="24"/>
              </w:rPr>
              <w:t>2</w:t>
            </w:r>
          </w:p>
        </w:tc>
        <w:tc>
          <w:tcPr>
            <w:vAlign w:val="center"/>
          </w:tcPr>
          <w:p>
            <w:pPr>
              <w:jc w:val="center"/>
            </w:pPr>
            <w:r>
              <w:rPr>
                <w:color w:val="000000"/>
                <w:sz w:val="24"/>
                <w:szCs w:val="24"/>
              </w:rPr>
              <w:t>190304</w:t>
            </w:r>
          </w:p>
        </w:tc>
        <w:tc>
          <w:tcPr>
            <w:vAlign w:val="center"/>
          </w:tcPr>
          <w:p>
            <w:pPr>
              <w:jc w:val="center"/>
            </w:pPr>
            <w:r>
              <w:rPr>
                <w:color w:val="000000"/>
                <w:sz w:val="24"/>
                <w:szCs w:val="24"/>
              </w:rPr>
              <w:t>19进出04</w:t>
            </w:r>
          </w:p>
        </w:tc>
        <w:tc>
          <w:tcPr>
            <w:vAlign w:val="center"/>
          </w:tcPr>
          <w:p>
            <w:pPr>
              <w:jc w:val="right"/>
            </w:pPr>
            <w:r>
              <w:rPr>
                <w:color w:val="000000"/>
                <w:sz w:val="24"/>
                <w:szCs w:val="24"/>
              </w:rPr>
              <w:t>300,000</w:t>
            </w:r>
          </w:p>
        </w:tc>
        <w:tc>
          <w:tcPr>
            <w:vAlign w:val="center"/>
          </w:tcPr>
          <w:p>
            <w:pPr>
              <w:jc w:val="right"/>
            </w:pPr>
            <w:r>
              <w:rPr>
                <w:color w:val="000000"/>
                <w:sz w:val="24"/>
                <w:szCs w:val="24"/>
              </w:rPr>
              <w:t>29,994,000.00</w:t>
            </w:r>
          </w:p>
        </w:tc>
        <w:tc>
          <w:tcPr>
            <w:vAlign w:val="center"/>
          </w:tcPr>
          <w:p>
            <w:pPr>
              <w:jc w:val="right"/>
            </w:pPr>
            <w:r>
              <w:rPr>
                <w:color w:val="000000"/>
                <w:sz w:val="24"/>
                <w:szCs w:val="24"/>
              </w:rPr>
              <w:t>1.84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1,507,393.36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14,131,349.61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1,039,865.91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1,344,619.53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18,023,228.41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22,307,400.00</w:t>
            </w:r>
          </w:p>
        </w:tc>
        <w:tc>
          <w:tcPr>
            <w:vAlign w:val="center"/>
          </w:tcPr>
          <w:p>
            <w:pPr>
              <w:jc w:val="right"/>
            </w:pPr>
            <w:r>
              <w:rPr>
                <w:color w:val="000000"/>
                <w:sz w:val="24"/>
                <w:szCs w:val="24"/>
              </w:rPr>
              <w:t>1.37</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1,012,265,769.69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55,592,028.92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271,910,124.48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795,947,674.13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1、中国证监会核准交银施罗德先进制造股票证券投资基金募集的文件；</w:t>
      </w:r>
    </w:p>
    <w:p>
      <w:pPr>
        <w:spacing w:before="29" w:line="288" w:lineRule="auto"/>
        <w:ind w:firstLine="480" w:firstLineChars="200"/>
        <w:rPr>
          <w:color w:val="000000"/>
          <w:sz w:val="24"/>
          <w:szCs w:val="24"/>
        </w:rPr>
      </w:pPr>
      <w:r>
        <w:rPr>
          <w:color w:val="000000"/>
          <w:sz w:val="24"/>
          <w:szCs w:val="24"/>
        </w:rPr>
        <w:t>2、中国证监会准予交银施罗德先进制造混合型证券投资基金变更注册的文件；</w:t>
      </w:r>
    </w:p>
    <w:p>
      <w:pPr>
        <w:spacing w:before="29" w:line="288" w:lineRule="auto"/>
        <w:ind w:firstLine="480" w:firstLineChars="200"/>
        <w:rPr>
          <w:color w:val="000000"/>
          <w:sz w:val="24"/>
          <w:szCs w:val="24"/>
        </w:rPr>
      </w:pPr>
      <w:r>
        <w:rPr>
          <w:color w:val="000000"/>
          <w:sz w:val="24"/>
          <w:szCs w:val="24"/>
        </w:rPr>
        <w:t xml:space="preserve">3、《交银施罗德先进制造混合型证券投资基金基金合同》； </w:t>
      </w:r>
    </w:p>
    <w:p>
      <w:pPr>
        <w:spacing w:before="29" w:line="288" w:lineRule="auto"/>
        <w:ind w:firstLine="480" w:firstLineChars="200"/>
        <w:rPr>
          <w:color w:val="000000"/>
          <w:sz w:val="24"/>
          <w:szCs w:val="24"/>
        </w:rPr>
      </w:pPr>
      <w:r>
        <w:rPr>
          <w:color w:val="000000"/>
          <w:sz w:val="24"/>
          <w:szCs w:val="24"/>
        </w:rPr>
        <w:t>4、《交银施罗德先进制造混合型证券投资基金招募说明书》；</w:t>
      </w:r>
    </w:p>
    <w:p>
      <w:pPr>
        <w:spacing w:before="29" w:line="288" w:lineRule="auto"/>
        <w:ind w:firstLine="480" w:firstLineChars="200"/>
        <w:rPr>
          <w:color w:val="000000"/>
          <w:sz w:val="24"/>
          <w:szCs w:val="24"/>
        </w:rPr>
      </w:pPr>
      <w:r>
        <w:rPr>
          <w:color w:val="000000"/>
          <w:sz w:val="24"/>
          <w:szCs w:val="24"/>
        </w:rPr>
        <w:t xml:space="preserve">5、《交银施罗德先进制造混合型证券投资基金托管协议》； </w:t>
      </w:r>
    </w:p>
    <w:p>
      <w:pPr>
        <w:spacing w:before="29" w:line="288" w:lineRule="auto"/>
        <w:ind w:firstLine="480" w:firstLineChars="200"/>
        <w:rPr>
          <w:color w:val="000000"/>
          <w:sz w:val="24"/>
          <w:szCs w:val="24"/>
        </w:rPr>
      </w:pPr>
      <w:r>
        <w:rPr>
          <w:color w:val="000000"/>
          <w:sz w:val="24"/>
          <w:szCs w:val="24"/>
        </w:rPr>
        <w:t>6、关于申请募集交银施罗德先进制造股票证券投资基金之法律意见书；</w:t>
      </w:r>
    </w:p>
    <w:p>
      <w:pPr>
        <w:spacing w:before="29" w:line="288" w:lineRule="auto"/>
        <w:ind w:firstLine="480" w:firstLineChars="200"/>
        <w:rPr>
          <w:color w:val="000000"/>
          <w:sz w:val="24"/>
          <w:szCs w:val="24"/>
        </w:rPr>
      </w:pPr>
      <w:r>
        <w:rPr>
          <w:color w:val="000000"/>
          <w:sz w:val="24"/>
          <w:szCs w:val="24"/>
        </w:rPr>
        <w:t>7、关于申请变更注册交银施罗德先进制造混合型证券投资基金的法律意见书；</w:t>
      </w:r>
    </w:p>
    <w:p>
      <w:pPr>
        <w:spacing w:before="29" w:line="288" w:lineRule="auto"/>
        <w:ind w:firstLine="480" w:firstLineChars="200"/>
        <w:rPr>
          <w:color w:val="000000"/>
          <w:sz w:val="24"/>
          <w:szCs w:val="24"/>
        </w:rPr>
      </w:pPr>
      <w:r>
        <w:rPr>
          <w:color w:val="000000"/>
          <w:sz w:val="24"/>
          <w:szCs w:val="24"/>
        </w:rPr>
        <w:t>8、基金管理人业务资格批件、营业执照；</w:t>
      </w:r>
    </w:p>
    <w:p>
      <w:pPr>
        <w:spacing w:before="29" w:line="288" w:lineRule="auto"/>
        <w:ind w:firstLine="480" w:firstLineChars="200"/>
        <w:rPr>
          <w:color w:val="000000"/>
          <w:sz w:val="24"/>
          <w:szCs w:val="24"/>
        </w:rPr>
      </w:pPr>
      <w:r>
        <w:rPr>
          <w:color w:val="000000"/>
          <w:sz w:val="24"/>
          <w:szCs w:val="24"/>
        </w:rPr>
        <w:t>9、基金托管人业务资格批件、营业执照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10、报告期内交银施罗德先进制造混合型证券投资基金在指定报刊上各项公告的原稿。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交银施罗德先进制造混合型证券投资基金2019年第3季度报告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