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281564" w:rsidR="00902E3F" w:rsidRDefault="00902E3F" w:rsidRPr="000E4C40">
      <w:pPr>
        <w:autoSpaceDE w:val="0"/>
        <w:autoSpaceDN w:val="0"/>
        <w:adjustRightInd w:val="0"/>
        <w:spacing w:before="29" w:line="288" w:lineRule="auto"/>
        <w:jc w:val="left"/>
        <w:rPr>
          <w:color w:val="000000"/>
          <w:kern w:val="0"/>
          <w:sz w:val="24"/>
        </w:rPr>
      </w:pPr>
    </w:p>
    <w:p w:rsidP="00281564" w:rsidR="002B45A4" w:rsidRDefault="002B45A4" w:rsidRPr="000E4C40">
      <w:pPr>
        <w:autoSpaceDE w:val="0"/>
        <w:autoSpaceDN w:val="0"/>
        <w:adjustRightInd w:val="0"/>
        <w:spacing w:before="29" w:line="288" w:lineRule="auto"/>
        <w:jc w:val="left"/>
        <w:rPr>
          <w:color w:val="000000"/>
          <w:kern w:val="0"/>
          <w:sz w:val="24"/>
        </w:rPr>
      </w:pPr>
    </w:p>
    <w:p w:rsidP="00281564" w:rsidR="00575970" w:rsidRDefault="00575970" w:rsidRPr="000E4C40">
      <w:pPr>
        <w:autoSpaceDE w:val="0"/>
        <w:autoSpaceDN w:val="0"/>
        <w:adjustRightInd w:val="0"/>
        <w:spacing w:before="29" w:line="288" w:lineRule="auto"/>
        <w:jc w:val="left"/>
        <w:rPr>
          <w:color w:val="000000"/>
          <w:kern w:val="0"/>
          <w:sz w:val="24"/>
        </w:rPr>
      </w:pPr>
    </w:p>
    <w:p w:rsidP="00281564" w:rsidR="00B60E27" w:rsidRDefault="00B60E27" w:rsidRPr="000E4C40">
      <w:pPr>
        <w:autoSpaceDE w:val="0"/>
        <w:autoSpaceDN w:val="0"/>
        <w:adjustRightInd w:val="0"/>
        <w:spacing w:before="29" w:line="288" w:lineRule="auto"/>
        <w:jc w:val="left"/>
        <w:rPr>
          <w:color w:val="000000"/>
          <w:kern w:val="0"/>
          <w:sz w:val="24"/>
        </w:rPr>
      </w:pPr>
    </w:p>
    <w:p w:rsidP="00281564" w:rsidR="00B60E27" w:rsidRDefault="00B60E27" w:rsidRPr="001E1B20">
      <w:pPr>
        <w:spacing w:before="29" w:line="288" w:lineRule="auto"/>
        <w:jc w:val="center"/>
        <w:rPr>
          <w:b/>
          <w:sz w:val="36"/>
          <w:szCs w:val="36"/>
        </w:rPr>
      </w:pPr>
      <w:r w:rsidRPr="001E1B20">
        <w:rPr>
          <w:b/>
          <w:sz w:val="36"/>
          <w:szCs w:val="36"/>
        </w:rPr>
        <w:t>交银施罗德天鑫宝货币市场基金</w:t>
      </w:r>
    </w:p>
    <w:p w:rsidP="00281564" w:rsidR="00B60E27" w:rsidRDefault="00B60E27" w:rsidRPr="001E1B20">
      <w:pPr>
        <w:spacing w:before="29" w:line="288" w:lineRule="auto"/>
        <w:jc w:val="center"/>
        <w:rPr>
          <w:b/>
          <w:sz w:val="36"/>
          <w:szCs w:val="36"/>
        </w:rPr>
      </w:pPr>
      <w:r w:rsidRPr="001E1B20">
        <w:rPr>
          <w:b/>
          <w:sz w:val="36"/>
          <w:szCs w:val="36"/>
        </w:rPr>
        <w:t>2019年第3季度报告</w:t>
      </w:r>
    </w:p>
    <w:p w:rsidP="00281564" w:rsidR="002B45A4" w:rsidRDefault="00D87D00" w:rsidRPr="001E1B20">
      <w:pPr>
        <w:spacing w:before="29" w:line="288" w:lineRule="auto"/>
        <w:jc w:val="center"/>
        <w:rPr>
          <w:b/>
          <w:sz w:val="36"/>
          <w:szCs w:val="36"/>
        </w:rPr>
      </w:pPr>
      <w:r w:rsidRPr="001E1B20">
        <w:rPr>
          <w:b/>
          <w:sz w:val="36"/>
          <w:szCs w:val="36"/>
        </w:rPr>
        <w:t>2019年9月30日</w:t>
      </w: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rPr>
          <w:color w:val="000000"/>
          <w:sz w:val="24"/>
        </w:rPr>
      </w:pP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基金管理人：</w:t>
      </w:r>
      <w:r w:rsidRPr="001E1B20">
        <w:rPr>
          <w:b/>
          <w:color w:val="000000"/>
          <w:sz w:val="24"/>
        </w:rPr>
        <w:t>交银施罗德基金管理有限公司</w:t>
      </w: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基金托管人：</w:t>
      </w:r>
      <w:r w:rsidRPr="001E1B20">
        <w:rPr>
          <w:b/>
          <w:color w:val="000000"/>
          <w:sz w:val="24"/>
        </w:rPr>
        <w:t>兴业银行股份有限公司</w:t>
      </w:r>
    </w:p>
    <w:p w:rsidP="00281564" w:rsidR="00902E3F" w:rsidRDefault="00F77131" w:rsidRPr="001E1B20">
      <w:pPr>
        <w:spacing w:before="29" w:line="288" w:lineRule="auto"/>
        <w:ind w:firstLine="2168" w:firstLineChars="900"/>
        <w:rPr>
          <w:b/>
          <w:color w:val="000000"/>
          <w:sz w:val="24"/>
        </w:rPr>
        <w:sectPr w:rsidR="00902E3F" w:rsidRPr="001E1B20" w:rsidSect="00841EB4">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18" w:right="1418" w:top="1418"/>
          <w:cols w:space="720"/>
          <w:noEndnote/>
          <w:titlePg/>
          <w:docGrid w:linePitch="286"/>
        </w:sectPr>
      </w:pPr>
      <w:r w:rsidRPr="001E1B20">
        <w:rPr>
          <w:rFonts w:hAnsi="宋体"/>
          <w:b/>
          <w:color w:val="000000"/>
          <w:sz w:val="24"/>
        </w:rPr>
        <w:t>报告送出日期：</w:t>
      </w:r>
      <w:r w:rsidR="00EF56FA" w:rsidRPr="001E1B20">
        <w:rPr>
          <w:b/>
          <w:color w:val="000000"/>
          <w:sz w:val="24"/>
        </w:rPr>
        <w:t/>
      </w:r>
      <w:r w:rsidR="00D87D00" w:rsidRPr="001E1B20">
        <w:rPr>
          <w:b/>
          <w:color w:val="000000"/>
          <w:sz w:val="24"/>
        </w:rPr>
        <w:t/>
      </w:r>
      <w:r w:rsidR="00EF56FA" w:rsidRPr="001E1B20">
        <w:rPr>
          <w:b/>
          <w:color w:val="000000"/>
          <w:sz w:val="24"/>
        </w:rPr>
        <w:t>二〇一九年十月二十二日</w:t>
      </w:r>
    </w:p>
    <w:p w:rsidP="00841EB4" w:rsidR="00902E3F" w:rsidRDefault="00902E3F" w:rsidRPr="000E4C40">
      <w:pPr>
        <w:pStyle w:val="1"/>
        <w:spacing w:after="312" w:afterLines="100" w:before="312" w:beforeLines="100" w:line="288" w:lineRule="auto"/>
        <w:jc w:val="center"/>
        <w:rPr>
          <w:b w:val="0"/>
          <w:color w:val="000000"/>
          <w:kern w:val="0"/>
          <w:sz w:val="24"/>
          <w:szCs w:val="24"/>
        </w:rPr>
      </w:pPr>
      <w:r w:rsidRPr="000E4C40">
        <w:rPr>
          <w:color w:val="000000"/>
          <w:kern w:val="0"/>
          <w:sz w:val="24"/>
          <w:szCs w:val="24"/>
        </w:rPr>
        <w:lastRenderedPageBreak/>
        <w:t xml:space="preserve">§1  </w:t>
      </w:r>
      <w:r w:rsidRPr="000E4C40">
        <w:rPr>
          <w:rFonts w:hAnsi="宋体"/>
          <w:color w:val="000000"/>
          <w:kern w:val="0"/>
          <w:sz w:val="24"/>
          <w:szCs w:val="24"/>
        </w:rPr>
        <w:t>重要提示</w:t>
      </w:r>
    </w:p>
    <w:p>
      <w:pPr>
        <w:adjustRightInd w:val="0"/>
        <w:spacing w:before="29" w:line="288" w:lineRule="auto"/>
        <w:ind w:firstLine="480" w:firstLineChars="200"/>
        <w:rPr>
          <w:color w:val="000000"/>
          <w:sz w:val="24"/>
        </w:rPr>
      </w:pPr>
      <w:r>
        <w:rPr>
          <w:color w:val="000000"/>
          <w:sz w:val="24"/>
        </w:rPr>
        <w:t xml:space="preserve">基金管理人的董事会及董事保证本报告所载资料不存在虚假记载、误导性陈述或重大遗漏，并对其内容的真实性、准确性和完整性承担个别及连带责任。 </w:t>
      </w:r>
    </w:p>
    <w:p>
      <w:pPr>
        <w:adjustRightInd w:val="0"/>
        <w:spacing w:before="29" w:line="288" w:lineRule="auto"/>
        <w:ind w:firstLine="480" w:firstLineChars="200"/>
        <w:rPr>
          <w:color w:val="000000"/>
          <w:sz w:val="24"/>
        </w:rPr>
      </w:pPr>
      <w:r>
        <w:rPr>
          <w:color w:val="000000"/>
          <w:sz w:val="24"/>
        </w:rPr>
        <w:t xml:space="preserve">基金托管人兴业银行股份有限公司根据本基金合同规定，于2019年10月21日复核了本报告中的财务指标、净值表现和投资组合报告等内容，保证复核内容不存在虚假记载、误导性陈述或者重大遗漏。 </w:t>
      </w:r>
    </w:p>
    <w:p>
      <w:pPr>
        <w:adjustRightInd w:val="0"/>
        <w:spacing w:before="29" w:line="288" w:lineRule="auto"/>
        <w:ind w:firstLine="480" w:firstLineChars="200"/>
        <w:rPr>
          <w:color w:val="000000"/>
          <w:sz w:val="24"/>
        </w:rPr>
      </w:pPr>
      <w:r>
        <w:rPr>
          <w:color w:val="000000"/>
          <w:sz w:val="24"/>
        </w:rPr>
        <w:t xml:space="preserve">基金管理人承诺以诚实信用、勤勉尽责的原则管理和运用基金资产，但不保证基金一定盈利。 </w:t>
      </w:r>
    </w:p>
    <w:p>
      <w:pPr>
        <w:adjustRightInd w:val="0"/>
        <w:spacing w:before="29" w:line="288" w:lineRule="auto"/>
        <w:ind w:firstLine="480" w:firstLineChars="200"/>
        <w:rPr>
          <w:color w:val="000000"/>
          <w:sz w:val="24"/>
        </w:rPr>
      </w:pPr>
      <w:r>
        <w:rPr>
          <w:color w:val="000000"/>
          <w:sz w:val="24"/>
        </w:rPr>
        <w:t xml:space="preserve">基金的过往业绩并不代表其未来表现。投资有风险，投资者在作出投资决策前应仔细阅读本基金的招募说明书。 </w:t>
      </w:r>
    </w:p>
    <w:p>
      <w:pPr>
        <w:adjustRightInd w:val="0"/>
        <w:spacing w:before="29" w:line="288" w:lineRule="auto"/>
        <w:ind w:firstLine="480" w:firstLineChars="200"/>
        <w:rPr>
          <w:color w:val="000000"/>
          <w:sz w:val="24"/>
        </w:rPr>
      </w:pPr>
      <w:r>
        <w:rPr>
          <w:color w:val="000000"/>
          <w:sz w:val="24"/>
        </w:rPr>
        <w:t>本报告中财务资料未经审计。</w:t>
      </w:r>
    </w:p>
    <w:p w:rsidP="00281564" w:rsidR="00186667" w:rsidRDefault="00A805BC" w:rsidRPr="000E4C40">
      <w:pPr>
        <w:adjustRightInd w:val="0"/>
        <w:spacing w:before="29" w:line="288" w:lineRule="auto"/>
        <w:ind w:firstLine="480" w:firstLineChars="200"/>
        <w:rPr>
          <w:color w:val="000000"/>
          <w:sz w:val="24"/>
        </w:rPr>
      </w:pPr>
      <w:r w:rsidRPr="000E4C40">
        <w:rPr>
          <w:color w:val="000000"/>
          <w:sz w:val="24"/>
        </w:rPr>
        <w:t>本报告期自2019年7月1日起至9月30日止。</w:t>
      </w:r>
    </w:p>
    <w:p w:rsidP="00281564" w:rsidR="00DF2D90" w:rsidRDefault="00DF2D90" w:rsidRPr="000E4C40">
      <w:pPr>
        <w:adjustRightInd w:val="0"/>
        <w:spacing w:before="29" w:line="288" w:lineRule="auto"/>
        <w:ind w:firstLine="480" w:firstLineChars="200"/>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§2  </w:t>
      </w:r>
      <w:r w:rsidRPr="000E4C40">
        <w:rPr>
          <w:rFonts w:hAnsi="宋体"/>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kern w:val="0"/>
                <w:sz w:val="24"/>
              </w:rPr>
              <w:t>基金简称</w:t>
            </w:r>
          </w:p>
        </w:tc>
        <w:tc>
          <w:tcPr>
            <w:tcW w:type="dxa" w:w="5845"/>
            <w:gridSpan w:val="2"/>
            <w:vAlign w:val="center"/>
          </w:tcPr>
          <w:p w:rsidP="00281564" w:rsidR="00A805BC" w:rsidRDefault="00A805BC" w:rsidRPr="000E4C40">
            <w:pPr>
              <w:adjustRightInd w:val="0"/>
              <w:spacing w:before="29" w:line="288" w:lineRule="auto"/>
              <w:ind w:left="17"/>
              <w:jc w:val="left"/>
              <w:rPr>
                <w:color w:val="000000"/>
                <w:kern w:val="0"/>
                <w:sz w:val="24"/>
              </w:rPr>
            </w:pPr>
            <w:r w:rsidRPr="000E4C40">
              <w:rPr>
                <w:color w:val="000000"/>
                <w:kern w:val="0"/>
                <w:sz w:val="24"/>
              </w:rPr>
              <w:t>交银天鑫宝货币</w:t>
            </w:r>
          </w:p>
        </w:tc>
      </w:tr>
      <w:tr w:rsidR="00D06255" w:rsidRPr="000E4C40" w:rsidTr="00EA4C82">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kern w:val="0"/>
                <w:sz w:val="24"/>
              </w:rPr>
            </w:pPr>
            <w:r w:rsidRPr="000E4C40">
              <w:rPr>
                <w:rFonts w:hAnsi="宋体"/>
                <w:kern w:val="0"/>
                <w:sz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color w:val="000000"/>
                <w:kern w:val="0"/>
                <w:sz w:val="24"/>
              </w:rPr>
            </w:pPr>
            <w:r w:rsidRPr="000E4C40">
              <w:rPr>
                <w:color w:val="000000"/>
                <w:kern w:val="0"/>
                <w:sz w:val="24"/>
              </w:rPr>
              <w:t>003482</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基金运作方式</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契约型开放式</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基金合同生效日</w:t>
            </w:r>
          </w:p>
        </w:tc>
        <w:tc>
          <w:tcPr>
            <w:tcW w:type="dxa" w:w="5845"/>
            <w:gridSpan w:val="2"/>
            <w:vAlign w:val="center"/>
          </w:tcPr>
          <w:p w:rsidP="00281564" w:rsidR="00A805BC" w:rsidRDefault="002507FE" w:rsidRPr="000E4C40">
            <w:pPr>
              <w:adjustRightInd w:val="0"/>
              <w:spacing w:before="29" w:line="288" w:lineRule="auto"/>
              <w:ind w:left="17"/>
              <w:jc w:val="left"/>
              <w:rPr>
                <w:color w:val="000000"/>
                <w:sz w:val="24"/>
              </w:rPr>
            </w:pPr>
            <w:r w:rsidRPr="000E4C40">
              <w:rPr>
                <w:color w:val="000000"/>
                <w:kern w:val="0"/>
                <w:sz w:val="24"/>
              </w:rPr>
              <w:t>2016年12月7日</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报告期末基金份额总额</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7,647,420,656.28</w:t>
            </w:r>
            <w:r w:rsidR="00C2005E" w:rsidRPr="000E4C40">
              <w:rPr>
                <w:rFonts w:hAnsi="宋体"/>
                <w:color w:val="000000"/>
                <w:kern w:val="0"/>
                <w:sz w:val="24"/>
              </w:rPr>
              <w:t>份</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投资目标</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在力求本金安全性和资产充分流动性的前提下，追求超过业绩比较基准的投资收益。</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投资策略</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业绩比较基准</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活期存款利率（税后）</w:t>
            </w:r>
          </w:p>
        </w:tc>
      </w:tr>
      <w:tr w:rsidR="00A01505" w:rsidRPr="000E4C40" w:rsidTr="00EA4C82">
        <w:trPr>
          <w:jc w:val="center"/>
        </w:trPr>
        <w:tc>
          <w:tcPr>
            <w:tcW w:type="dxa" w:w="3023"/>
            <w:vAlign w:val="center"/>
          </w:tcPr>
          <w:p w:rsidP="00281564" w:rsidR="00A01505" w:rsidRDefault="00A01505" w:rsidRPr="000E4C40">
            <w:pPr>
              <w:adjustRightInd w:val="0"/>
              <w:spacing w:before="29" w:line="288" w:lineRule="auto"/>
              <w:ind w:left="17"/>
              <w:jc w:val="left"/>
              <w:rPr>
                <w:kern w:val="0"/>
                <w:sz w:val="24"/>
              </w:rPr>
            </w:pPr>
            <w:r w:rsidRPr="000E4C40">
              <w:rPr>
                <w:rFonts w:hAnsi="宋体"/>
                <w:kern w:val="0"/>
                <w:sz w:val="24"/>
              </w:rPr>
              <w:t>风险收益特征</w:t>
            </w:r>
          </w:p>
        </w:tc>
        <w:tc>
          <w:tcPr>
            <w:tcW w:type="dxa" w:w="5845"/>
            <w:gridSpan w:val="2"/>
            <w:vAlign w:val="center"/>
          </w:tcPr>
          <w:p w:rsidP="00281564" w:rsidR="00A01505" w:rsidRDefault="00A01505" w:rsidRPr="000E4C40">
            <w:pPr>
              <w:adjustRightInd w:val="0"/>
              <w:spacing w:before="29" w:line="288" w:lineRule="auto"/>
              <w:ind w:left="17"/>
              <w:jc w:val="left"/>
              <w:rPr>
                <w:color w:val="000000"/>
                <w:kern w:val="0"/>
                <w:sz w:val="24"/>
              </w:rPr>
            </w:pPr>
            <w:r w:rsidRPr="000E4C40">
              <w:rPr>
                <w:color w:val="000000"/>
                <w:kern w:val="0"/>
                <w:sz w:val="24"/>
              </w:rPr>
              <w:t>本基金属于货币市场基金，是证券投资基金中的低风险品种，长期风险收益水平低于股票型基金、混合型基金和债券型基金。</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基金管理人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交银施罗德基金管理有限公司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基金托管人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兴业银行股份有限公司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color w:val="000000"/>
                <w:sz w:val="24"/>
              </w:rPr>
              <w:t>下属两级基金的基金简称</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Pr="000E4C40">
              <w:rPr>
                <w:sz w:val="24"/>
              </w:rPr>
              <w:t>交银天鑫宝货币A</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交银天鑫宝货币E</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下属两级基金的交易代码</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Pr="000E4C40">
              <w:rPr>
                <w:sz w:val="24"/>
              </w:rPr>
              <w:t>003482</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003483</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报告期末下属两级基金的份额总额</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r w:rsidR="004702DF" w:rsidRPr="000E4C40">
              <w:rPr>
                <w:color w:val="000000"/>
                <w:kern w:val="0"/>
                <w:sz w:val="24"/>
              </w:rPr>
              <w:t/>
            </w:r>
            <w:r w:rsidRPr="000E4C40">
              <w:rPr>
                <w:sz w:val="24"/>
              </w:rPr>
              <w:t/>
            </w:r>
            <w:r w:rsidR="007B082A" w:rsidRPr="000E4C40">
              <w:rPr>
                <w:sz w:val="24"/>
              </w:rPr>
              <w:t/>
            </w:r>
            <w:r w:rsidRPr="000E4C40">
              <w:rPr>
                <w:sz w:val="24"/>
              </w:rPr>
              <w:t>16,809,299.89</w:t>
            </w:r>
            <w:r w:rsidR="00764CF7" w:rsidRPr="000E4C40">
              <w:rPr>
                <w:rFonts w:hAnsi="宋体"/>
                <w:sz w:val="24"/>
              </w:rPr>
              <w:t>份</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004702DF" w:rsidRPr="000E4C40">
              <w:rPr>
                <w:color w:val="000000"/>
                <w:kern w:val="0"/>
                <w:sz w:val="24"/>
              </w:rPr>
              <w:t/>
            </w:r>
            <w:r w:rsidR="007B082A" w:rsidRPr="000E4C40">
              <w:rPr>
                <w:sz w:val="24"/>
              </w:rPr>
              <w:t/>
            </w:r>
            <w:r w:rsidR="000F78F3">
              <w:rPr>
                <w:sz w:val="24"/>
              </w:rPr>
              <w:t/>
            </w:r>
            <w:r w:rsidR="000F78F3">
              <w:rPr>
                <w:rFonts w:hint="eastAsia"/>
                <w:sz w:val="24"/>
              </w:rPr>
              <w:t/>
            </w:r>
            <w:r w:rsidRPr="000E4C40">
              <w:rPr>
                <w:sz w:val="24"/>
              </w:rPr>
              <w:t>7,630,611,356.39</w:t>
            </w:r>
            <w:r w:rsidR="004A6E66" w:rsidRPr="000E4C40">
              <w:rPr>
                <w:rFonts w:hAnsi="宋体"/>
                <w:sz w:val="24"/>
              </w:rPr>
              <w:t>份</w:t>
            </w:r>
          </w:p>
        </w:tc>
      </w:tr>
    </w:tbl>
    <w:p w:rsidP="00281564" w:rsidR="00DF2D90" w:rsidRDefault="00DF2D90" w:rsidRPr="000E4C40">
      <w:pPr>
        <w:autoSpaceDE w:val="0"/>
        <w:autoSpaceDN w:val="0"/>
        <w:adjustRightInd w:val="0"/>
        <w:spacing w:before="29" w:line="288" w:lineRule="auto"/>
        <w:jc w:val="left"/>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§3  </w:t>
      </w:r>
      <w:r w:rsidRPr="000E4C40">
        <w:rPr>
          <w:rFonts w:hAnsi="宋体"/>
          <w:color w:val="000000"/>
          <w:kern w:val="0"/>
          <w:sz w:val="24"/>
          <w:szCs w:val="24"/>
        </w:rPr>
        <w:t>主要财务指标和基金净值表现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3.1 </w:t>
      </w:r>
      <w:r w:rsidRPr="000E4C40">
        <w:rPr>
          <w:rFonts w:hAnsi="宋体"/>
          <w:b/>
          <w:color w:val="000000"/>
          <w:kern w:val="0"/>
          <w:sz w:val="24"/>
        </w:rPr>
        <w:t>主要财务指标</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6"/>
        <w:gridCol w:w="2631"/>
        <w:gridCol w:w="2631"/>
      </w:tblGrid>
      <w:tr w:rsidR="00F31380" w:rsidRPr="000E4C40" w:rsidTr="00AD2F16">
        <w:trPr>
          <w:jc w:val="center"/>
        </w:trPr>
        <w:tc>
          <w:tcPr>
            <w:tcW w:type="dxa" w:w="3402"/>
            <w:vMerge w:val="restart"/>
            <w:vAlign w:val="center"/>
          </w:tcPr>
          <w:p w:rsidP="00281564" w:rsidR="00F31380" w:rsidRDefault="00F31380" w:rsidRPr="000E4C40">
            <w:pPr>
              <w:adjustRightInd w:val="0"/>
              <w:spacing w:before="29" w:line="288" w:lineRule="auto"/>
              <w:ind w:left="17"/>
              <w:jc w:val="center"/>
              <w:rPr>
                <w:kern w:val="0"/>
                <w:sz w:val="24"/>
              </w:rPr>
            </w:pPr>
            <w:r w:rsidRPr="000E4C40">
              <w:rPr>
                <w:rFonts w:hAnsi="宋体"/>
                <w:kern w:val="0"/>
                <w:sz w:val="24"/>
              </w:rPr>
              <w:t>主要财务指标</w:t>
            </w:r>
          </w:p>
        </w:tc>
        <w:tc>
          <w:tcPr>
            <w:tcW w:type="dxa" w:w="4962"/>
            <w:gridSpan w:val="2"/>
            <w:vAlign w:val="center"/>
          </w:tcPr>
          <w:p w:rsidP="00281564" w:rsidR="00F31380" w:rsidRDefault="00F31380" w:rsidRPr="000E4C40">
            <w:pPr>
              <w:adjustRightInd w:val="0"/>
              <w:spacing w:before="29" w:line="288" w:lineRule="auto"/>
              <w:ind w:left="17"/>
              <w:jc w:val="center"/>
              <w:rPr>
                <w:color w:val="000000"/>
                <w:sz w:val="24"/>
              </w:rPr>
            </w:pPr>
            <w:r w:rsidRPr="000E4C40">
              <w:rPr>
                <w:rFonts w:hAnsi="宋体"/>
                <w:color w:val="000000"/>
                <w:sz w:val="24"/>
              </w:rPr>
              <w:t>报告期</w:t>
            </w:r>
            <w:r w:rsidRPr="000E4C40">
              <w:rPr>
                <w:color w:val="000000"/>
                <w:sz w:val="24"/>
              </w:rPr>
              <w:t>(2019年7月1日-2019年9月30日)</w:t>
            </w:r>
          </w:p>
        </w:tc>
      </w:tr>
      <w:tr w:rsidR="00F31380" w:rsidRPr="000E4C40" w:rsidTr="00AD2F16">
        <w:trPr>
          <w:jc w:val="center"/>
        </w:trPr>
        <w:tc>
          <w:tcPr>
            <w:tcW w:type="dxa" w:w="3402"/>
            <w:vMerge/>
            <w:vAlign w:val="center"/>
          </w:tcPr>
          <w:p w:rsidP="00281564" w:rsidR="00F31380" w:rsidRDefault="00F31380" w:rsidRPr="000E4C40">
            <w:pPr>
              <w:adjustRightInd w:val="0"/>
              <w:spacing w:before="29" w:line="288" w:lineRule="auto"/>
              <w:ind w:left="17"/>
              <w:jc w:val="center"/>
              <w:rPr>
                <w:kern w:val="0"/>
                <w:sz w:val="24"/>
              </w:rPr>
            </w:pP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r w:rsidRPr="000E4C40">
              <w:rPr>
                <w:sz w:val="24"/>
              </w:rPr>
              <w:t>交银天鑫宝货币A</w:t>
            </w: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r w:rsidR="000F78F3">
              <w:rPr>
                <w:sz w:val="24"/>
              </w:rPr>
              <w:t/>
            </w:r>
            <w:r w:rsidR="000F78F3">
              <w:rPr>
                <w:rFonts w:hint="eastAsia"/>
                <w:sz w:val="24"/>
              </w:rPr>
              <w:t/>
            </w:r>
            <w:r w:rsidRPr="000E4C40">
              <w:rPr>
                <w:sz w:val="24"/>
              </w:rPr>
              <w:t>交银天鑫宝货币E</w:t>
            </w:r>
          </w:p>
        </w:tc>
      </w:tr>
      <w:tr w:rsidR="00E8309D" w:rsidRPr="000E4C40" w:rsidTr="00AD2F16">
        <w:trPr>
          <w:trHeight w:val="840"/>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1</w:t>
            </w:r>
            <w:r w:rsidRPr="000E4C40">
              <w:rPr>
                <w:rFonts w:hAnsi="宋体"/>
                <w:kern w:val="0"/>
                <w:sz w:val="24"/>
              </w:rPr>
              <w:t>．</w:t>
            </w:r>
            <w:r w:rsidR="00E8309D" w:rsidRPr="000E4C40">
              <w:rPr>
                <w:rFonts w:hAnsi="宋体"/>
                <w:kern w:val="0"/>
                <w:sz w:val="24"/>
              </w:rPr>
              <w:t>本期已实现收益</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110,133.90</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56,346,464.46</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2</w:t>
            </w:r>
            <w:r w:rsidRPr="000E4C40">
              <w:rPr>
                <w:rFonts w:hAnsi="宋体"/>
                <w:kern w:val="0"/>
                <w:sz w:val="24"/>
              </w:rPr>
              <w:t>．</w:t>
            </w:r>
            <w:r w:rsidR="00E8309D" w:rsidRPr="000E4C40">
              <w:rPr>
                <w:rFonts w:hAnsi="宋体"/>
                <w:kern w:val="0"/>
                <w:sz w:val="24"/>
              </w:rPr>
              <w:t>本期利润</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110,133.90</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56,346,464.46</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3</w:t>
            </w:r>
            <w:r w:rsidRPr="000E4C40">
              <w:rPr>
                <w:rFonts w:hAnsi="宋体"/>
                <w:kern w:val="0"/>
                <w:sz w:val="24"/>
              </w:rPr>
              <w:t>．</w:t>
            </w:r>
            <w:r w:rsidR="00E8309D" w:rsidRPr="000E4C40">
              <w:rPr>
                <w:rFonts w:hAnsi="宋体"/>
                <w:kern w:val="0"/>
                <w:sz w:val="24"/>
              </w:rPr>
              <w:t>期末基金资产净值</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16,809,299.89</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7,630,611,356.39</w:t>
            </w:r>
          </w:p>
        </w:tc>
      </w:tr>
    </w:tbl>
    <w:p>
      <w:pPr>
        <w:autoSpaceDE w:val="0"/>
        <w:autoSpaceDN w:val="0"/>
        <w:adjustRightInd w:val="0"/>
        <w:spacing w:before="29" w:line="288" w:lineRule="auto"/>
        <w:jc w:val="left"/>
        <w:rPr>
          <w:color w:val="000000"/>
          <w:sz w:val="24"/>
        </w:rPr>
      </w:pPr>
      <w:r>
        <w:rPr>
          <w:color w:val="000000"/>
          <w:sz w:val="24"/>
        </w:rPr>
        <w:t>注：1、本基金实行销售服务费分类收费方式，分设两类基金份额：A类基金份额和E类基金份额。A类基金份额与E类基金份额的管理费、托管费相同，A类基金份额按照0.25%的年费率计提销售服务费，E类基金份额按照0.01%的年费率计提销售服务费。</w:t>
      </w:r>
    </w:p>
    <w:p w:rsidP="00281564" w:rsidR="00893021" w:rsidRDefault="00893021" w:rsidRPr="000E4C40">
      <w:pPr>
        <w:autoSpaceDE w:val="0"/>
        <w:autoSpaceDN w:val="0"/>
        <w:adjustRightInd w:val="0"/>
        <w:spacing w:before="29" w:line="288" w:lineRule="auto"/>
        <w:jc w:val="left"/>
        <w:rPr>
          <w:color w:val="000000"/>
          <w:sz w:val="24"/>
        </w:rPr>
      </w:pPr>
      <w:r w:rsidRPr="000E4C40">
        <w:rPr>
          <w:color w:val="000000"/>
          <w:sz w:val="24"/>
        </w:rPr>
        <w:t/>
      </w:r>
      <w:r w:rsidR="002507FE" w:rsidRPr="000E4C40">
        <w:rPr>
          <w:color w:val="000000"/>
          <w:sz w:val="24"/>
        </w:rPr>
        <w:t/>
      </w:r>
      <w:r w:rsidRPr="000E4C40">
        <w:rPr>
          <w:color w:val="000000"/>
          <w:sz w:val="24"/>
        </w:rPr>
        <w:t xml:space="preserve">   2、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3.2 </w:t>
      </w:r>
      <w:r w:rsidRPr="000E4C40">
        <w:rPr>
          <w:rFonts w:hAnsi="宋体"/>
          <w:b/>
          <w:color w:val="000000"/>
          <w:kern w:val="0"/>
          <w:sz w:val="24"/>
        </w:rPr>
        <w:t>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lastRenderedPageBreak/>
        <w:t xml:space="preserve">3.2.1 </w:t>
      </w:r>
      <w:r w:rsidRPr="000E4C40">
        <w:rPr>
          <w:rFonts w:hAnsi="宋体"/>
          <w:b/>
          <w:color w:val="000000"/>
          <w:kern w:val="0"/>
          <w:sz w:val="24"/>
        </w:rPr>
        <w:t>本报告期基金份额净值收益率及其与同期业绩比较基准收益率的比较</w:t>
      </w:r>
    </w:p>
    <w:p w:rsidP="00281564" w:rsidR="00DA1983"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1</w:t>
      </w:r>
      <w:r w:rsidR="00834F7F" w:rsidRPr="000E4C40">
        <w:rPr>
          <w:rFonts w:ascii="Times New Roman"/>
          <w:b/>
          <w:color w:val="000000"/>
        </w:rPr>
        <w:t>．</w:t>
      </w:r>
      <w:r w:rsidR="0024424F" w:rsidRPr="000E4C40">
        <w:rPr>
          <w:rFonts w:ascii="Times New Roman" w:hAnsi="Times New Roman"/>
          <w:b/>
          <w:color w:val="000000"/>
        </w:rPr>
        <w:t/>
      </w:r>
      <w:r w:rsidR="00063BA4" w:rsidRPr="000E4C40">
        <w:rPr>
          <w:rFonts w:ascii="Times New Roman" w:hAnsi="Times New Roman"/>
          <w:b/>
          <w:color w:val="000000"/>
          <w:kern w:val="0"/>
        </w:rPr>
        <w:t/>
      </w:r>
      <w:r w:rsidR="0024424F" w:rsidRPr="000E4C40">
        <w:rPr>
          <w:rFonts w:ascii="Times New Roman" w:hAnsi="Times New Roman"/>
          <w:b/>
          <w:color w:val="000000"/>
        </w:rPr>
        <w:t/>
      </w:r>
      <w:r w:rsidR="0024424F" w:rsidRPr="000E4C40">
        <w:rPr>
          <w:rFonts w:ascii="Times New Roman" w:hAnsi="Times New Roman"/>
          <w:b/>
          <w:color w:val="auto"/>
        </w:rPr>
        <w:t/>
      </w:r>
      <w:r w:rsidR="00E63B3D" w:rsidRPr="000E4C40">
        <w:rPr>
          <w:rFonts w:ascii="Times New Roman" w:hAnsi="Times New Roman"/>
          <w:b/>
          <w:color w:val="auto"/>
        </w:rPr>
        <w:t/>
      </w:r>
      <w:r w:rsidR="00834F7F" w:rsidRPr="000E4C40">
        <w:rPr>
          <w:rFonts w:ascii="Times New Roman" w:hAnsi="Times New Roman"/>
          <w:b/>
          <w:color w:val="auto"/>
        </w:rPr>
        <w:t>交银天鑫宝货币A</w:t>
      </w:r>
      <w:r w:rsidR="00834F7F" w:rsidRPr="000E4C40">
        <w:rPr>
          <w:rFonts w:ascii="Times New Roman"/>
          <w:b/>
          <w:color w:val="auto"/>
        </w:rPr>
        <w:t>：</w:t>
      </w:r>
    </w:p>
    <w:tbl>
      <w:tblPr>
        <w:tblStyle w:val="aa"/>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8B23BD" w:rsidRPr="000E4C40" w:rsidTr="0071688D">
        <w:trPr>
          <w:jc w:val="center"/>
        </w:trPr>
        <w:tc>
          <w:tcPr>
            <w:tcW w:type="dxa" w:w="1328"/>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00636B17" w:rsidRPr="000E4C40">
              <w:rPr>
                <w:rFonts w:ascii="Times New Roman" w:hAnsi="Times New Roman"/>
                <w:color w:val="000000"/>
                <w:szCs w:val="24"/>
              </w:rPr>
              <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A575D2" w:rsidRPr="000E4C40">
              <w:rPr>
                <w:rFonts w:ascii="Times New Roman"/>
                <w:color w:val="000000"/>
              </w:rPr>
              <w:t>－</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A575D2"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0.6111%</w:t>
            </w:r>
          </w:p>
        </w:tc>
        <w:tc>
          <w:tcPr>
            <w:vAlign w:val="center"/>
          </w:tcPr>
          <w:p>
            <w:pPr>
              <w:jc w:val="center"/>
            </w:pPr>
            <w:r>
              <w:rPr>
                <w:rFonts w:ascii="Times New Roman" w:hAnsi="Times New Roman"/>
                <w:color w:val="000000"/>
              </w:rPr>
              <w:t>0.0004%</w:t>
            </w:r>
          </w:p>
        </w:tc>
        <w:tc>
          <w:tcPr>
            <w:vAlign w:val="center"/>
          </w:tcPr>
          <w:p>
            <w:pPr>
              <w:jc w:val="center"/>
            </w:pPr>
            <w:r>
              <w:rPr>
                <w:rFonts w:ascii="Times New Roman" w:hAnsi="Times New Roman"/>
                <w:color w:val="000000"/>
              </w:rPr>
              <w:t>0.0882%</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0.5229%</w:t>
            </w:r>
          </w:p>
        </w:tc>
        <w:tc>
          <w:tcPr>
            <w:vAlign w:val="center"/>
          </w:tcPr>
          <w:p>
            <w:pPr>
              <w:jc w:val="center"/>
            </w:pPr>
            <w:r>
              <w:rPr>
                <w:rFonts w:ascii="Times New Roman" w:hAnsi="Times New Roman"/>
                <w:color w:val="000000"/>
              </w:rPr>
              <w:t>0.0004%</w:t>
            </w:r>
          </w:p>
        </w:tc>
      </w:tr>
    </w:tbl>
    <w:p w:rsidP="00281564" w:rsidR="00A50D92" w:rsidRDefault="00A50D92" w:rsidRPr="000E4C40">
      <w:pPr>
        <w:autoSpaceDE w:val="0"/>
        <w:autoSpaceDN w:val="0"/>
        <w:adjustRightInd w:val="0"/>
        <w:spacing w:before="29" w:line="288" w:lineRule="auto"/>
        <w:jc w:val="left"/>
        <w:rPr>
          <w:color w:val="000000"/>
          <w:sz w:val="24"/>
        </w:rPr>
      </w:pPr>
      <w:r w:rsidRPr="000E4C40">
        <w:rPr>
          <w:color w:val="000000"/>
          <w:sz w:val="24"/>
        </w:rPr>
        <w:t/>
      </w:r>
      <w:r w:rsidR="00ED5511" w:rsidRPr="000E4C40">
        <w:rPr>
          <w:color w:val="000000"/>
          <w:sz w:val="24"/>
        </w:rPr>
        <w:t/>
      </w:r>
      <w:r w:rsidRPr="000E4C40">
        <w:rPr>
          <w:color w:val="000000"/>
          <w:sz w:val="24"/>
        </w:rPr>
        <w:t>注：本基金收益分配按日结转份额。</w:t>
      </w:r>
    </w:p>
    <w:p w:rsidP="00281564" w:rsidR="00186667" w:rsidRDefault="00186667" w:rsidRPr="000E4C40">
      <w:pPr>
        <w:tabs>
          <w:tab w:pos="1800" w:val="left"/>
        </w:tabs>
        <w:adjustRightInd w:val="0"/>
        <w:spacing w:before="29" w:line="288" w:lineRule="auto"/>
        <w:rPr>
          <w:sz w:val="24"/>
        </w:rPr>
      </w:pPr>
    </w:p>
    <w:p w:rsidP="00281564" w:rsidR="00186667"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2</w:t>
      </w:r>
      <w:r w:rsidR="00834F7F" w:rsidRPr="000E4C40">
        <w:rPr>
          <w:rFonts w:ascii="Times New Roman"/>
          <w:b/>
          <w:color w:val="000000"/>
        </w:rPr>
        <w:t>．</w:t>
      </w:r>
      <w:r w:rsidR="000B2044" w:rsidRPr="000E4C40">
        <w:rPr>
          <w:rFonts w:ascii="Times New Roman" w:hAnsi="Times New Roman"/>
          <w:b/>
          <w:color w:val="000000"/>
        </w:rPr>
        <w:t/>
      </w:r>
      <w:r w:rsidR="00063BA4" w:rsidRPr="000E4C40">
        <w:rPr>
          <w:rFonts w:ascii="Times New Roman" w:hAnsi="Times New Roman"/>
          <w:b/>
          <w:color w:val="000000"/>
          <w:kern w:val="0"/>
        </w:rPr>
        <w:t/>
      </w:r>
      <w:r w:rsidR="000B2044" w:rsidRPr="000E4C40">
        <w:rPr>
          <w:rFonts w:ascii="Times New Roman" w:hAnsi="Times New Roman"/>
          <w:b/>
          <w:color w:val="000000"/>
        </w:rPr>
        <w:t/>
      </w:r>
      <w:r w:rsidR="00E63B3D" w:rsidRPr="000E4C40">
        <w:rPr>
          <w:rFonts w:ascii="Times New Roman" w:hAnsi="Times New Roman"/>
          <w:b/>
          <w:color w:val="000000"/>
        </w:rPr>
        <w:t/>
      </w:r>
      <w:r w:rsidR="000F78F3">
        <w:rPr>
          <w:rFonts w:ascii="Times New Roman" w:hAnsi="Times New Roman" w:hint="eastAsia"/>
          <w:b/>
          <w:color w:val="000000"/>
        </w:rPr>
        <w:t/>
      </w:r>
      <w:r w:rsidR="000B2044" w:rsidRPr="000E4C40">
        <w:rPr>
          <w:rFonts w:ascii="Times New Roman" w:hAnsi="Times New Roman"/>
          <w:b/>
          <w:color w:val="000000"/>
        </w:rPr>
        <w:t>交银天鑫宝货币E</w:t>
      </w:r>
      <w:r w:rsidR="000B2044" w:rsidRPr="000E4C40">
        <w:rPr>
          <w:rFonts w:ascii="Times New Roman"/>
          <w:b/>
          <w:color w:val="auto"/>
        </w:rPr>
        <w:t>：</w:t>
      </w:r>
    </w:p>
    <w:tbl>
      <w:tblPr>
        <w:tblStyle w:val="aa"/>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113777" w:rsidRPr="000E4C40" w:rsidTr="00064E6F">
        <w:trPr>
          <w:jc w:val="center"/>
        </w:trPr>
        <w:tc>
          <w:tcPr>
            <w:tcW w:type="dxa" w:w="1328"/>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Pr="000E4C40">
              <w:rPr>
                <w:rFonts w:ascii="Times New Roman" w:hAnsi="Times New Roman"/>
                <w:color w:val="000000"/>
                <w:szCs w:val="24"/>
              </w:rPr>
              <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1C69EF" w:rsidRPr="000E4C40">
              <w:rPr>
                <w:rFonts w:ascii="Times New Roman"/>
                <w:color w:val="000000"/>
              </w:rPr>
              <w:t>－</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1C69EF"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0.6721%</w:t>
            </w:r>
          </w:p>
        </w:tc>
        <w:tc>
          <w:tcPr>
            <w:vAlign w:val="center"/>
          </w:tcPr>
          <w:p>
            <w:pPr>
              <w:jc w:val="center"/>
            </w:pPr>
            <w:r>
              <w:rPr>
                <w:rFonts w:ascii="Times New Roman" w:hAnsi="Times New Roman"/>
                <w:color w:val="000000"/>
              </w:rPr>
              <w:t>0.0004%</w:t>
            </w:r>
          </w:p>
        </w:tc>
        <w:tc>
          <w:tcPr>
            <w:vAlign w:val="center"/>
          </w:tcPr>
          <w:p>
            <w:pPr>
              <w:jc w:val="center"/>
            </w:pPr>
            <w:r>
              <w:rPr>
                <w:rFonts w:ascii="Times New Roman" w:hAnsi="Times New Roman"/>
                <w:color w:val="000000"/>
              </w:rPr>
              <w:t>0.0882%</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0.5839%</w:t>
            </w:r>
          </w:p>
        </w:tc>
        <w:tc>
          <w:tcPr>
            <w:vAlign w:val="center"/>
          </w:tcPr>
          <w:p>
            <w:pPr>
              <w:jc w:val="center"/>
            </w:pPr>
            <w:r>
              <w:rPr>
                <w:rFonts w:ascii="Times New Roman" w:hAnsi="Times New Roman"/>
                <w:color w:val="000000"/>
              </w:rPr>
              <w:t>0.0004%</w:t>
            </w:r>
          </w:p>
        </w:tc>
      </w:tr>
    </w:tbl>
    <w:p w:rsidP="00281564" w:rsidR="000B2044" w:rsidRDefault="000B2044" w:rsidRPr="000E4C40">
      <w:pPr>
        <w:autoSpaceDE w:val="0"/>
        <w:autoSpaceDN w:val="0"/>
        <w:adjustRightInd w:val="0"/>
        <w:spacing w:before="29" w:line="288" w:lineRule="auto"/>
        <w:jc w:val="left"/>
        <w:rPr>
          <w:color w:val="000000"/>
          <w:sz w:val="24"/>
        </w:rPr>
      </w:pPr>
      <w:r w:rsidRPr="000E4C40">
        <w:rPr>
          <w:color w:val="000000"/>
          <w:sz w:val="24"/>
        </w:rPr>
        <w:t/>
      </w:r>
      <w:r w:rsidR="00327FB0" w:rsidRPr="000E4C40">
        <w:rPr>
          <w:color w:val="000000"/>
          <w:sz w:val="24"/>
        </w:rPr>
        <w:t/>
      </w:r>
      <w:r w:rsidR="000F78F3">
        <w:rPr>
          <w:rFonts w:hint="eastAsia"/>
          <w:color w:val="000000"/>
          <w:sz w:val="24"/>
        </w:rPr>
        <w:t/>
      </w:r>
      <w:r w:rsidRPr="000E4C40">
        <w:rPr>
          <w:color w:val="000000"/>
          <w:sz w:val="24"/>
        </w:rPr>
        <w:t>注：本基金收益分配按日结转份额。</w:t>
      </w:r>
    </w:p>
    <w:p w:rsidP="00281564" w:rsidR="001F0286" w:rsidRDefault="001F0286" w:rsidRPr="000E4C40">
      <w:pPr>
        <w:tabs>
          <w:tab w:pos="1800" w:val="left"/>
        </w:tabs>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3.2.2</w:t>
      </w:r>
      <w:r w:rsidR="00A21753" w:rsidRPr="00D8505A">
        <w:rPr>
          <w:rFonts w:hint="eastAsia"/>
          <w:b/>
          <w:color w:val="000000"/>
          <w:kern w:val="0"/>
          <w:sz w:val="24"/>
        </w:rPr>
        <w:t>自基金合同生效以来</w:t>
      </w:r>
      <w:r w:rsidR="001B1302" w:rsidRPr="00D8505A">
        <w:rPr>
          <w:b/>
          <w:color w:val="000000"/>
          <w:kern w:val="0"/>
          <w:sz w:val="24"/>
        </w:rPr>
        <w:t>基</w:t>
      </w:r>
      <w:r w:rsidR="001B1302" w:rsidRPr="000E4C40">
        <w:rPr>
          <w:rFonts w:hAnsi="宋体"/>
          <w:b/>
          <w:color w:val="000000"/>
          <w:kern w:val="0"/>
          <w:sz w:val="24"/>
        </w:rPr>
        <w:t>金份额累计净值收益率变动及其与同期业绩比较基准收益率变动的比</w:t>
      </w:r>
      <w:r w:rsidR="001B1302" w:rsidRPr="000E4C40">
        <w:rPr>
          <w:rFonts w:hAnsi="宋体"/>
          <w:b/>
          <w:color w:val="000000"/>
          <w:kern w:val="0"/>
          <w:sz w:val="24"/>
        </w:rPr>
        <w:lastRenderedPageBreak/>
        <w:t>较</w:t>
      </w:r>
    </w:p>
    <w:p w:rsidP="00281564" w:rsidR="00E63B3D" w:rsidRDefault="00E63B3D" w:rsidRPr="000E4C40">
      <w:pPr>
        <w:spacing w:before="29" w:line="288" w:lineRule="auto"/>
        <w:jc w:val="center"/>
        <w:rPr>
          <w:sz w:val="24"/>
        </w:rPr>
      </w:pPr>
      <w:r w:rsidRPr="000E4C40">
        <w:rPr>
          <w:sz w:val="24"/>
        </w:rPr>
        <w:t>交银施罗德天鑫宝货币市场基金</w:t>
      </w:r>
    </w:p>
    <w:p w:rsidP="00281564" w:rsidR="00E63B3D" w:rsidRDefault="00E27752" w:rsidRPr="000E4C40">
      <w:pPr>
        <w:pStyle w:val="a6"/>
        <w:snapToGrid w:val="0"/>
        <w:spacing w:before="29" w:line="288" w:lineRule="auto"/>
        <w:jc w:val="center"/>
        <w:rPr>
          <w:rFonts w:ascii="Times New Roman" w:hAnsi="Times New Roman"/>
          <w:sz w:val="24"/>
          <w:szCs w:val="24"/>
        </w:rPr>
      </w:pPr>
      <w:r w:rsidRPr="000E4C40">
        <w:rPr>
          <w:rFonts w:ascii="Times New Roman" w:hAnsi="宋体"/>
          <w:sz w:val="24"/>
          <w:szCs w:val="24"/>
        </w:rPr>
        <w:t>份额累计净值收益率与业绩比较基准收益率历史走势对比图</w:t>
      </w:r>
    </w:p>
    <w:p w:rsidP="00281564" w:rsidR="00A7219D" w:rsidRDefault="00FF7214" w:rsidRPr="000E4C40">
      <w:pPr>
        <w:spacing w:before="29" w:line="288" w:lineRule="auto"/>
        <w:jc w:val="center"/>
        <w:rPr>
          <w:sz w:val="24"/>
        </w:rPr>
      </w:pPr>
      <w:r w:rsidRPr="000E4C40">
        <w:rPr>
          <w:rFonts w:hAnsi="宋体"/>
          <w:color w:val="000000"/>
          <w:sz w:val="24"/>
        </w:rPr>
        <w:t>（</w:t>
      </w:r>
      <w:r w:rsidR="00D87D00" w:rsidRPr="000E4C40">
        <w:rPr>
          <w:color w:val="000000"/>
          <w:kern w:val="0"/>
          <w:sz w:val="24"/>
        </w:rPr>
        <w:t>2016年12月7日</w:t>
      </w:r>
      <w:r w:rsidR="00A7219D" w:rsidRPr="000E4C40">
        <w:rPr>
          <w:rFonts w:hAnsi="宋体"/>
          <w:color w:val="000000"/>
          <w:kern w:val="0"/>
          <w:sz w:val="24"/>
        </w:rPr>
        <w:t>至</w:t>
      </w:r>
      <w:r w:rsidR="00A7219D" w:rsidRPr="000E4C40">
        <w:rPr>
          <w:color w:val="000000"/>
          <w:kern w:val="0"/>
          <w:sz w:val="24"/>
        </w:rPr>
        <w:t>2019年9月30日</w:t>
      </w:r>
      <w:r w:rsidRPr="000E4C40">
        <w:rPr>
          <w:rFonts w:hAnsi="宋体"/>
          <w:color w:val="000000"/>
          <w:sz w:val="24"/>
        </w:rPr>
        <w:t>）</w:t>
      </w:r>
    </w:p>
    <w:p w:rsidP="00281564" w:rsidR="00825EA5" w:rsidRDefault="00E63B3D" w:rsidRPr="000E4C40">
      <w:pPr>
        <w:numPr>
          <w:ilvl w:val="0"/>
          <w:numId w:val="1"/>
        </w:numPr>
        <w:snapToGrid w:val="0"/>
        <w:spacing w:before="29" w:line="288" w:lineRule="auto"/>
        <w:rPr>
          <w:color w:val="000000"/>
          <w:sz w:val="24"/>
        </w:rPr>
      </w:pPr>
      <w:r w:rsidRPr="000E4C40">
        <w:rPr>
          <w:color w:val="000000"/>
          <w:kern w:val="0"/>
          <w:sz w:val="24"/>
        </w:rPr>
        <w:t>交银天鑫宝货币A</w:t>
      </w:r>
    </w:p>
    <w:p w:rsidP="00281564" w:rsidR="00E63B3D" w:rsidRDefault="00F14672" w:rsidRPr="000E4C40">
      <w:pPr>
        <w:tabs>
          <w:tab w:pos="0" w:val="left"/>
        </w:tabs>
        <w:spacing w:before="29" w:line="288" w:lineRule="auto"/>
        <w:jc w:val="center"/>
        <w:rPr>
          <w:color w:val="000000"/>
          <w:sz w:val="24"/>
        </w:rPr>
      </w:pPr>
      <w:r w:rsidRPr="000E4C40">
        <w:rPr>
          <w:noProof/>
          <w:color w:val="000000"/>
          <w:sz w:val="24"/>
        </w:rPr>
        <w:drawing>
          <wp:inline distB="0" distL="0" distR="0" distT="0">
            <wp:extent cx="5769610" cy="3378835"/>
            <wp:effectExtent b="0" l="19050" r="2540" t="0"/>
            <wp:docPr descr="走势图1.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69610" cy="3378835"/>
                    </a:xfrm>
                    <a:prstGeom prst="rect">
                      <a:avLst/>
                    </a:prstGeom>
                  </pic:spPr>
                </pic:pic>
              </a:graphicData>
            </a:graphic>
          </wp:inline>
        </w:drawing>
      </w:r>
    </w:p>
    <w:p w:rsidP="00281564" w:rsidR="00E63B3D" w:rsidRDefault="00E63B3D"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注：本基金建仓期为自基金合同生效日起的6个月。截至建仓期结束，本基金各项资产配置比例符合基金合同及招募说明书有关投资比例的约定。</w:t>
      </w:r>
    </w:p>
    <w:p w:rsidP="00281564" w:rsidR="00825EA5" w:rsidRDefault="00825EA5" w:rsidRPr="000E4C40">
      <w:pPr>
        <w:adjustRightInd w:val="0"/>
        <w:snapToGrid w:val="0"/>
        <w:spacing w:before="29" w:line="288" w:lineRule="auto"/>
        <w:rPr>
          <w:color w:val="000000"/>
          <w:sz w:val="24"/>
        </w:rPr>
      </w:pPr>
    </w:p>
    <w:p w:rsidP="00281564" w:rsidR="00825EA5" w:rsidRDefault="00580560" w:rsidRPr="000E4C40">
      <w:pPr>
        <w:snapToGrid w:val="0"/>
        <w:spacing w:before="29" w:line="288" w:lineRule="auto"/>
        <w:ind w:left="470"/>
        <w:rPr>
          <w:color w:val="000000"/>
          <w:sz w:val="24"/>
        </w:rPr>
      </w:pPr>
      <w:r w:rsidRPr="000E4C40">
        <w:rPr>
          <w:color w:val="000000"/>
          <w:sz w:val="24"/>
        </w:rPr>
        <w:t>2</w:t>
      </w:r>
      <w:r w:rsidRPr="000E4C40">
        <w:rPr>
          <w:rFonts w:hAnsi="宋体"/>
          <w:color w:val="000000"/>
          <w:sz w:val="24"/>
        </w:rPr>
        <w:t>、</w:t>
      </w:r>
      <w:r w:rsidR="000F78F3">
        <w:rPr>
          <w:color w:val="000000"/>
          <w:kern w:val="0"/>
          <w:sz w:val="24"/>
        </w:rPr>
        <w:t/>
      </w:r>
      <w:r w:rsidR="000F78F3">
        <w:rPr>
          <w:rFonts w:hint="eastAsia"/>
          <w:color w:val="000000"/>
          <w:kern w:val="0"/>
          <w:sz w:val="24"/>
        </w:rPr>
        <w:t/>
      </w:r>
      <w:r w:rsidR="005F668B" w:rsidRPr="000E4C40">
        <w:rPr>
          <w:color w:val="000000"/>
          <w:kern w:val="0"/>
          <w:sz w:val="24"/>
        </w:rPr>
        <w:t>交银天鑫宝货币E</w:t>
      </w:r>
    </w:p>
    <w:p w:rsidP="00281564" w:rsidR="005F668B" w:rsidRDefault="00F14672" w:rsidRPr="000E4C40">
      <w:pPr>
        <w:snapToGrid w:val="0"/>
        <w:spacing w:before="29" w:line="288" w:lineRule="auto"/>
        <w:jc w:val="center"/>
        <w:rPr>
          <w:color w:val="000000"/>
          <w:sz w:val="24"/>
        </w:rPr>
      </w:pPr>
      <w:r w:rsidRPr="000E4C40">
        <w:rPr>
          <w:noProof/>
          <w:color w:val="000000"/>
          <w:sz w:val="24"/>
        </w:rPr>
        <w:lastRenderedPageBreak/>
        <w:drawing>
          <wp:inline distB="0" distL="0" distR="0" distT="0">
            <wp:extent cx="5769610" cy="3378835"/>
            <wp:effectExtent b="0" l="19050" r="2540" t="0"/>
            <wp:docPr descr="走势图2.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69610" cy="3378835"/>
                    </a:xfrm>
                    <a:prstGeom prst="rect">
                      <a:avLst/>
                    </a:prstGeom>
                  </pic:spPr>
                </pic:pic>
              </a:graphicData>
            </a:graphic>
          </wp:inline>
        </w:drawing>
      </w:r>
    </w:p>
    <w:p w:rsidP="00281564" w:rsidR="00902E3F" w:rsidRDefault="005F668B"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
      </w:r>
      <w:r w:rsidR="000F78F3">
        <w:rPr>
          <w:color w:val="000000"/>
          <w:sz w:val="24"/>
        </w:rPr>
        <w:t/>
      </w:r>
      <w:r w:rsidR="000F78F3">
        <w:rPr>
          <w:rFonts w:hint="eastAsia"/>
          <w:color w:val="000000"/>
          <w:sz w:val="24"/>
        </w:rPr>
        <w:t/>
      </w:r>
      <w:r w:rsidRPr="000E4C40">
        <w:rPr>
          <w:color w:val="000000"/>
          <w:sz w:val="24"/>
        </w:rPr>
        <w:t>注：本基金建仓期为自基金合同生效日起的6个月。截至建仓期结束，本基金各项资产配置比例符合基金合同及招募说明书有关投资比例的约定。</w:t>
      </w:r>
    </w:p>
    <w:p w:rsidP="00281564" w:rsidR="00CA65DD" w:rsidRDefault="00CA65DD" w:rsidRPr="000E4C40">
      <w:pPr>
        <w:tabs>
          <w:tab w:pos="1800" w:val="left"/>
        </w:tabs>
        <w:spacing w:before="29" w:line="288" w:lineRule="auto"/>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§4  </w:t>
      </w:r>
      <w:r w:rsidRPr="000E4C40">
        <w:rPr>
          <w:rFonts w:hAnsi="宋体"/>
          <w:color w:val="000000"/>
          <w:kern w:val="0"/>
          <w:sz w:val="24"/>
          <w:szCs w:val="24"/>
        </w:rPr>
        <w:t>管理人报告</w:t>
      </w:r>
    </w:p>
    <w:p w:rsidP="00281564" w:rsidR="00902E3F" w:rsidRDefault="00902E3F" w:rsidRPr="000E4C40">
      <w:pPr>
        <w:autoSpaceDE w:val="0"/>
        <w:autoSpaceDN w:val="0"/>
        <w:adjustRightInd w:val="0"/>
        <w:spacing w:before="29" w:line="288" w:lineRule="auto"/>
        <w:jc w:val="left"/>
        <w:rPr>
          <w:b/>
          <w:bCs/>
          <w:sz w:val="24"/>
        </w:rPr>
      </w:pPr>
      <w:r w:rsidRPr="000E4C40">
        <w:rPr>
          <w:b/>
          <w:color w:val="000000"/>
          <w:kern w:val="0"/>
          <w:sz w:val="24"/>
        </w:rPr>
        <w:t xml:space="preserve">4.1 </w:t>
      </w:r>
      <w:r w:rsidRPr="000E4C40">
        <w:rPr>
          <w:rFonts w:hAnsi="宋体"/>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945"/>
        <w:gridCol w:w="1589"/>
        <w:gridCol w:w="1478"/>
        <w:gridCol w:w="1478"/>
        <w:gridCol w:w="986"/>
        <w:gridCol w:w="2392"/>
      </w:tblGrid>
      <w:tr w:rsidR="00C4627A" w:rsidRPr="000E4C40" w:rsidTr="00951A65">
        <w:trPr>
          <w:jc w:val="center"/>
        </w:trPr>
        <w:tc>
          <w:tcPr>
            <w:tcW w:type="dxa" w:w="95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姓名</w:t>
            </w:r>
          </w:p>
        </w:tc>
        <w:tc>
          <w:tcPr>
            <w:tcW w:type="dxa" w:w="160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职务</w:t>
            </w:r>
          </w:p>
        </w:tc>
        <w:tc>
          <w:tcPr>
            <w:tcW w:type="dxa" w:w="2977"/>
            <w:gridSpan w:val="2"/>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任本基金的基金经理期限</w:t>
            </w:r>
          </w:p>
        </w:tc>
        <w:tc>
          <w:tcPr>
            <w:tcW w:type="dxa" w:w="99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证券从业年限</w:t>
            </w:r>
          </w:p>
        </w:tc>
        <w:tc>
          <w:tcPr>
            <w:tcW w:type="dxa" w:w="241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说明</w:t>
            </w:r>
          </w:p>
        </w:tc>
      </w:tr>
      <w:tr w:rsidR="00C4627A" w:rsidRPr="000E4C40" w:rsidTr="00951A65">
        <w:trPr>
          <w:jc w:val="center"/>
        </w:trPr>
        <w:tc>
          <w:tcPr>
            <w:tcW w:type="dxa" w:w="95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60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488"/>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任职日期</w:t>
            </w:r>
          </w:p>
        </w:tc>
        <w:tc>
          <w:tcPr>
            <w:tcW w:type="dxa" w:w="1489"/>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离任日期</w:t>
            </w:r>
          </w:p>
        </w:tc>
        <w:tc>
          <w:tcPr>
            <w:tcW w:type="dxa" w:w="99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241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黄莹洁</w:t>
            </w:r>
          </w:p>
        </w:tc>
        <w:tc>
          <w:tcPr>
            <w:vAlign w:val="center"/>
          </w:tcPr>
          <w:p>
            <w:pPr>
              <w:jc w:val="center"/>
            </w:pPr>
            <w:r>
              <w:rPr>
                <w:color w:val="000000"/>
                <w:sz w:val="24"/>
              </w:rPr>
              <w:t>交银理财21天债券、交银丰享收益债券、交银裕通纯债债券、交银活期通货币、交银天利宝货币、交银裕隆纯债债券、交银天益宝货币、交银境尚收益债券、交银稳鑫短债债券的基金经理</w:t>
            </w:r>
          </w:p>
        </w:tc>
        <w:tc>
          <w:tcPr>
            <w:vAlign w:val="center"/>
          </w:tcPr>
          <w:p>
            <w:pPr>
              <w:jc w:val="center"/>
            </w:pPr>
            <w:r>
              <w:rPr>
                <w:color w:val="000000"/>
                <w:sz w:val="24"/>
              </w:rPr>
              <w:t>2016-12-07</w:t>
            </w:r>
          </w:p>
        </w:tc>
        <w:tc>
          <w:tcPr>
            <w:vAlign w:val="center"/>
          </w:tcPr>
          <w:p>
            <w:pPr>
              <w:jc w:val="center"/>
            </w:pPr>
            <w:r>
              <w:rPr>
                <w:color w:val="000000"/>
                <w:sz w:val="24"/>
              </w:rPr>
              <w:t>2019-08-03</w:t>
            </w:r>
          </w:p>
        </w:tc>
        <w:tc>
          <w:tcPr>
            <w:vAlign w:val="center"/>
          </w:tcPr>
          <w:p>
            <w:pPr>
              <w:jc w:val="center"/>
            </w:pPr>
            <w:r>
              <w:rPr>
                <w:color w:val="000000"/>
                <w:sz w:val="24"/>
              </w:rPr>
              <w:t>11年</w:t>
            </w:r>
          </w:p>
        </w:tc>
        <w:tc>
          <w:tcPr>
            <w:vAlign w:val="center"/>
          </w:tcPr>
          <w:p>
            <w:pPr>
              <w:jc w:val="both"/>
            </w:pPr>
            <w:r>
              <w:rPr>
                <w:color w:val="000000"/>
                <w:sz w:val="24"/>
              </w:rPr>
              <w:t>黄莹洁女士，香港大学工商管理硕士、北京大学经济学、管理学双学士。历任中海基金管理有限公司交易员。2012年加入交银施罗德基金管理有限公司，历任中央交易室交易员。2015年7月25日至2018年3月18日担任交银施罗德丰泽收益债券型证券投资基金的基金经理。2015年5月27日至2019年8月2日担任交银施罗德货币市场证券投资基金、交银施罗德现金宝货币市场基金的基金经理。2016年12月7日至2019年8月2日担任交银施罗德天鑫宝货币市场基金的基金经理。</w:t>
            </w:r>
          </w:p>
        </w:tc>
      </w:tr>
      <w:tr>
        <w:tc>
          <w:tcPr>
            <w:vAlign w:val="center"/>
          </w:tcPr>
          <w:p>
            <w:pPr>
              <w:jc w:val="center"/>
            </w:pPr>
            <w:r>
              <w:rPr>
                <w:color w:val="000000"/>
                <w:sz w:val="24"/>
              </w:rPr>
              <w:t>连端清</w:t>
            </w:r>
          </w:p>
        </w:tc>
        <w:tc>
          <w:tcPr>
            <w:vAlign w:val="center"/>
          </w:tcPr>
          <w:p>
            <w:pPr>
              <w:jc w:val="center"/>
            </w:pPr>
            <w:r>
              <w:rPr>
                <w:color w:val="000000"/>
                <w:sz w:val="24"/>
              </w:rPr>
              <w:t>交银理财60天债券、交银丰盈收益债券、交银丰润收益债券、交银活期通货币、交银裕盈纯债债券、交银裕利纯债债券的基金经理</w:t>
            </w:r>
          </w:p>
        </w:tc>
        <w:tc>
          <w:tcPr>
            <w:vAlign w:val="center"/>
          </w:tcPr>
          <w:p>
            <w:pPr>
              <w:jc w:val="center"/>
            </w:pPr>
            <w:r>
              <w:rPr>
                <w:color w:val="000000"/>
                <w:sz w:val="24"/>
              </w:rPr>
              <w:t>2016-12-07</w:t>
            </w:r>
          </w:p>
        </w:tc>
        <w:tc>
          <w:tcPr>
            <w:vAlign w:val="center"/>
          </w:tcPr>
          <w:p>
            <w:pPr>
              <w:jc w:val="center"/>
            </w:pPr>
            <w:r>
              <w:rPr>
                <w:color w:val="000000"/>
                <w:sz w:val="24"/>
              </w:rPr>
              <w:t>2019-08-03</w:t>
            </w:r>
          </w:p>
        </w:tc>
        <w:tc>
          <w:tcPr>
            <w:vAlign w:val="center"/>
          </w:tcPr>
          <w:p>
            <w:pPr>
              <w:jc w:val="center"/>
            </w:pPr>
            <w:r>
              <w:rPr>
                <w:color w:val="000000"/>
                <w:sz w:val="24"/>
              </w:rPr>
              <w:t>6年</w:t>
            </w:r>
          </w:p>
        </w:tc>
        <w:tc>
          <w:tcPr>
            <w:vAlign w:val="center"/>
          </w:tcPr>
          <w:p>
            <w:pPr>
              <w:jc w:val="both"/>
            </w:pPr>
            <w:r>
              <w:rPr>
                <w:color w:val="000000"/>
                <w:sz w:val="24"/>
              </w:rPr>
              <w:t>连端清先生，复旦大学经济学博士。历任交通银行总行金融市场部、湘财证券研究所研究员、中航信托资产管理部投资经理。2015年加入交银施罗德基金管理有限公司。2017年3月31日至2018年8月23日担任交银施罗德裕兴纯债债券型证券投资基金的基金经理。2015年8月4日至2019年8月2日担任交银施罗德现金宝货币市场基金的基金经理。2015年10月16日至2019年8月2日担任交银施罗德货币市场证券投资基金的基金经理。2016年12月7日至2019年8月2日担任交银施罗德天鑫宝货币市场基金的基金经理。2017年12月29日至2019年8月2日担任交银施罗德天运宝货币市场基金的基金经理。2016年10月19日至2019年9月29日担任交银施罗德天利宝货币市场基金的基金经理。2016年11月28日至2019年9月29日担任交银施罗德裕隆纯债债券型证券投资基金的基金经理。2016年12月20日至2019年9月29日担任交银施罗德天益宝货币市场基金的基金经理。2017年3月3日至2019年9月29日担任交银施罗德境尚收益债券型证券投资基金的基金经理。</w:t>
            </w:r>
          </w:p>
        </w:tc>
      </w:tr>
      <w:tr>
        <w:tc>
          <w:tcPr>
            <w:vAlign w:val="center"/>
          </w:tcPr>
          <w:p>
            <w:pPr>
              <w:jc w:val="center"/>
            </w:pPr>
            <w:r>
              <w:rPr>
                <w:color w:val="000000"/>
                <w:sz w:val="24"/>
              </w:rPr>
              <w:t>季参平</w:t>
            </w:r>
          </w:p>
        </w:tc>
        <w:tc>
          <w:tcPr>
            <w:vAlign w:val="center"/>
          </w:tcPr>
          <w:p>
            <w:pPr>
              <w:jc w:val="center"/>
            </w:pPr>
            <w:r>
              <w:rPr>
                <w:color w:val="000000"/>
                <w:sz w:val="24"/>
              </w:rPr>
              <w:t>交银货币、交银现金宝货币、交银天鑫宝货币的基金经理</w:t>
            </w:r>
          </w:p>
        </w:tc>
        <w:tc>
          <w:tcPr>
            <w:vAlign w:val="center"/>
          </w:tcPr>
          <w:p>
            <w:pPr>
              <w:jc w:val="center"/>
            </w:pPr>
            <w:r>
              <w:rPr>
                <w:color w:val="000000"/>
                <w:sz w:val="24"/>
              </w:rPr>
              <w:t>2019-07-26</w:t>
            </w:r>
          </w:p>
        </w:tc>
        <w:tc>
          <w:tcPr>
            <w:vAlign w:val="center"/>
          </w:tcPr>
          <w:p>
            <w:pPr>
              <w:jc w:val="center"/>
            </w:pPr>
            <w:r>
              <w:rPr>
                <w:color w:val="000000"/>
                <w:sz w:val="24"/>
              </w:rPr>
              <w:t>-</w:t>
            </w:r>
          </w:p>
        </w:tc>
        <w:tc>
          <w:tcPr>
            <w:vAlign w:val="center"/>
          </w:tcPr>
          <w:p>
            <w:pPr>
              <w:jc w:val="center"/>
            </w:pPr>
            <w:r>
              <w:rPr>
                <w:color w:val="000000"/>
                <w:sz w:val="24"/>
              </w:rPr>
              <w:t>7年</w:t>
            </w:r>
          </w:p>
        </w:tc>
        <w:tc>
          <w:tcPr>
            <w:vAlign w:val="center"/>
          </w:tcPr>
          <w:p>
            <w:pPr>
              <w:jc w:val="both"/>
            </w:pPr>
            <w:r>
              <w:rPr>
                <w:color w:val="000000"/>
                <w:sz w:val="24"/>
              </w:rPr>
              <w:t>季参平先生，美国密歇根大学金融工程硕士、对外经济贸易大学经济学学士。2012年3月至2017年7月任瑞士银行外汇和利率交易员、联席董事。2017年加入交银施罗德基金管理有限公司，历任基金经理助理。2019年7月26日至2019年9月18日担任交银施罗德天运宝货币市场基金的基金经理。</w:t>
            </w:r>
          </w:p>
        </w:tc>
      </w:tr>
    </w:tbl>
    <w:p>
      <w:pPr>
        <w:autoSpaceDE w:val="0"/>
        <w:autoSpaceDN w:val="0"/>
        <w:adjustRightInd w:val="0"/>
        <w:spacing w:before="29" w:line="288" w:lineRule="auto"/>
        <w:jc w:val="left"/>
        <w:rPr>
          <w:color w:val="000000"/>
          <w:sz w:val="24"/>
        </w:rPr>
      </w:pPr>
      <w:r>
        <w:rPr>
          <w:color w:val="000000"/>
          <w:sz w:val="24"/>
        </w:rPr>
        <w:t>注：1、本表所列基金经理（助理）任职日期和离职日期均以基金合同生效日或公司作出决定并公告(如适用)之日为准；</w:t>
      </w:r>
    </w:p>
    <w:p>
      <w:pPr>
        <w:autoSpaceDE w:val="0"/>
        <w:autoSpaceDN w:val="0"/>
        <w:adjustRightInd w:val="0"/>
        <w:spacing w:before="29" w:line="288" w:lineRule="auto"/>
        <w:jc w:val="left"/>
        <w:rPr>
          <w:color w:val="000000"/>
          <w:sz w:val="24"/>
        </w:rPr>
      </w:pPr>
      <w:r>
        <w:rPr>
          <w:color w:val="000000"/>
          <w:sz w:val="24"/>
        </w:rPr>
        <w:t xml:space="preserve">2、本表所列基金经理（助理）证券从业年限中的“证券从业”的含义遵从中国证券业协会《证券业从业人员资格管理办法》的相关规定； </w:t>
      </w:r>
    </w:p>
    <w:p w:rsidP="00281564" w:rsidR="00C4627A" w:rsidRDefault="00C4627A" w:rsidRPr="000E4C40">
      <w:pPr>
        <w:autoSpaceDE w:val="0"/>
        <w:autoSpaceDN w:val="0"/>
        <w:adjustRightInd w:val="0"/>
        <w:spacing w:before="29" w:line="288" w:lineRule="auto"/>
        <w:jc w:val="left"/>
        <w:rPr>
          <w:color w:val="000000"/>
          <w:sz w:val="24"/>
        </w:rPr>
      </w:pPr>
      <w:r w:rsidRPr="000E4C40">
        <w:rPr>
          <w:color w:val="000000"/>
          <w:sz w:val="24"/>
        </w:rPr>
        <w:t>3、基金经理（或基金经理小组）期后变动（如有）敬请关注基金管理人发布的相关公告。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4.2 </w:t>
      </w:r>
      <w:r w:rsidRPr="000E4C40">
        <w:rPr>
          <w:rFonts w:hAnsi="宋体"/>
          <w:b/>
          <w:color w:val="000000"/>
          <w:kern w:val="0"/>
          <w:sz w:val="24"/>
        </w:rPr>
        <w:t>报告期内本基金运作遵规守信情况说明</w:t>
      </w:r>
    </w:p>
    <w:p w:rsidP="00281564" w:rsidR="00C4627A" w:rsidRDefault="00C4627A" w:rsidRPr="000E4C40">
      <w:pPr>
        <w:spacing w:before="29" w:line="288" w:lineRule="auto"/>
        <w:ind w:firstLine="480" w:firstLineChars="200"/>
        <w:rPr>
          <w:color w:val="000000"/>
          <w:sz w:val="24"/>
        </w:rPr>
      </w:pPr>
      <w:r w:rsidRPr="000E4C40">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autoSpaceDE w:val="0"/>
        <w:autoSpaceDN w:val="0"/>
        <w:adjustRightInd w:val="0"/>
        <w:spacing w:before="29" w:line="288" w:lineRule="auto"/>
        <w:jc w:val="left"/>
        <w:rPr>
          <w:b/>
          <w:color w:val="000000"/>
          <w:kern w:val="0"/>
          <w:sz w:val="24"/>
        </w:rPr>
      </w:pPr>
      <w:r w:rsidRPr="000E4C40">
        <w:rPr>
          <w:b/>
          <w:color w:val="000000"/>
          <w:kern w:val="0"/>
          <w:sz w:val="24"/>
        </w:rPr>
        <w:t xml:space="preserve">4.3 </w:t>
      </w:r>
      <w:r w:rsidRPr="000E4C40">
        <w:rPr>
          <w:rFonts w:hAnsi="宋体"/>
          <w:b/>
          <w:color w:val="000000"/>
          <w:kern w:val="0"/>
          <w:sz w:val="24"/>
        </w:rPr>
        <w:t>公平交易专项说明</w:t>
      </w:r>
    </w:p>
    <w:p w:rsidP="00281564" w:rsidR="003F43EB" w:rsidRDefault="003F43EB" w:rsidRPr="000E4C40">
      <w:pPr>
        <w:spacing w:before="29" w:line="288" w:lineRule="auto"/>
        <w:rPr>
          <w:sz w:val="24"/>
        </w:rPr>
      </w:pPr>
      <w:r w:rsidRPr="000E4C40">
        <w:rPr>
          <w:sz w:val="24"/>
        </w:rPr>
        <w:t xml:space="preserve">4.3.1 </w:t>
      </w:r>
      <w:r w:rsidRPr="000E4C40">
        <w:rPr>
          <w:rFonts w:hAnsi="宋体"/>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281564" w:rsidR="00C4627A" w:rsidRDefault="00C4627A" w:rsidRPr="000E4C40">
      <w:pPr>
        <w:spacing w:before="29" w:line="288" w:lineRule="auto"/>
        <w:ind w:firstLine="480" w:firstLineChars="200"/>
        <w:rPr>
          <w:color w:val="000000"/>
          <w:sz w:val="24"/>
        </w:rPr>
      </w:pPr>
      <w:r w:rsidRPr="000E4C40">
        <w:rPr>
          <w:color w:val="000000"/>
          <w:sz w:val="24"/>
        </w:rPr>
        <w:t>报告期内本公司严格执行公平交易制度，公平对待旗下各投资组合，未发现任何违反公平交易的行为。</w:t>
      </w:r>
    </w:p>
    <w:p w:rsidP="00281564" w:rsidR="003F43EB" w:rsidRDefault="003F43EB" w:rsidRPr="000E4C40">
      <w:pPr>
        <w:spacing w:before="29" w:line="288" w:lineRule="auto"/>
        <w:rPr>
          <w:sz w:val="24"/>
        </w:rPr>
      </w:pPr>
      <w:r w:rsidRPr="000E4C40">
        <w:rPr>
          <w:sz w:val="24"/>
        </w:rPr>
        <w:t>4.3.</w:t>
      </w:r>
      <w:r w:rsidR="0007770D" w:rsidRPr="000E4C40">
        <w:rPr>
          <w:sz w:val="24"/>
        </w:rPr>
        <w:t>2</w:t>
      </w:r>
      <w:r w:rsidRPr="000E4C40">
        <w:rPr>
          <w:rFonts w:hAnsi="宋体"/>
          <w:sz w:val="24"/>
        </w:rPr>
        <w:t>异常交易行为的专项说明</w:t>
      </w:r>
    </w:p>
    <w:p w:rsidP="00281564" w:rsidR="00902E3F" w:rsidRDefault="00C4627A" w:rsidRPr="000E4C40">
      <w:pPr>
        <w:spacing w:before="29" w:line="288" w:lineRule="auto"/>
        <w:ind w:firstLine="480" w:firstLineChars="200"/>
        <w:rPr>
          <w:color w:val="000000"/>
          <w:sz w:val="24"/>
        </w:rPr>
      </w:pPr>
      <w:r w:rsidRPr="000E4C40">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281564" w:rsidR="00BE5584" w:rsidRDefault="00BE5584" w:rsidRPr="000E4C40">
      <w:pPr>
        <w:autoSpaceDE w:val="0"/>
        <w:autoSpaceDN w:val="0"/>
        <w:adjustRightInd w:val="0"/>
        <w:spacing w:before="29" w:line="288" w:lineRule="auto"/>
        <w:jc w:val="left"/>
        <w:rPr>
          <w:color w:val="000000"/>
          <w:kern w:val="0"/>
          <w:sz w:val="24"/>
        </w:rPr>
      </w:pPr>
    </w:p>
    <w:p w:rsidP="00281564" w:rsidR="00323377" w:rsidRDefault="00B86A3F" w:rsidRPr="000E4C40">
      <w:pPr>
        <w:spacing w:before="29" w:line="288" w:lineRule="auto"/>
        <w:rPr>
          <w:sz w:val="24"/>
        </w:rPr>
      </w:pPr>
      <w:r w:rsidRPr="000E4C40">
        <w:rPr>
          <w:b/>
          <w:color w:val="000000"/>
          <w:kern w:val="0"/>
          <w:sz w:val="24"/>
        </w:rPr>
        <w:t xml:space="preserve">4.4 </w:t>
      </w:r>
      <w:r w:rsidRPr="000E4C40">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本报告期内，货币市场资金水平总体保持平衡的态势。七月初隔夜回购利率一度下降到1%以下，三个月上海银行间拆借利率回落到整个三季度的低点2.60%，随后跟随短端利率开始缓幅回升。八月隔夜利率基本稳定在2.55%的水平附近，呈现低波动率地窄幅震荡。九月央行降准后，隔夜利率不仅没有大幅下行，反而在缴税缴准跨假期的影响下攀升至3.2%上方。直到节前最后一周，货币市场资金逐步宽松。存单存款市场收益率较二季度整体下行，AAA级别股份制银行三个月存单发行意愿和收益率均低于上个季度，不同评级、不同地区银行之间的发行状况出现比较明显的分化，总体来看高评级、大银行的存单受到货币基金追捧。货币政策角度来看，央行在国常会后实施降准，但在货币市场保持了均衡的资金水平，态度较为中性。报告期内，三个月上海银行间拆借利率上行约2bps到2.73%。</w:t>
      </w:r>
    </w:p>
    <w:p>
      <w:pPr>
        <w:spacing w:before="29" w:line="288" w:lineRule="auto"/>
        <w:ind w:firstLine="480" w:firstLineChars="200"/>
        <w:rPr>
          <w:color w:val="000000"/>
          <w:sz w:val="24"/>
        </w:rPr>
      </w:pPr>
      <w:r>
        <w:rPr>
          <w:color w:val="000000"/>
          <w:sz w:val="24"/>
        </w:rPr>
        <w:t>基金操作方面，我们仍旧维持低杠杆、短久期的操作思路，多投资于估值波动较小的银行存款与回购等，组合整体流动性良好。九月末我们视组合流动性和市场情况，增配了高评级的同业存单、同业存款等，维持组合收益水平。</w:t>
      </w:r>
    </w:p>
    <w:p>
      <w:pPr>
        <w:spacing w:before="29" w:line="288" w:lineRule="auto"/>
        <w:ind w:firstLine="480" w:firstLineChars="200"/>
        <w:rPr>
          <w:color w:val="000000"/>
          <w:sz w:val="24"/>
        </w:rPr>
      </w:pPr>
      <w:r>
        <w:rPr>
          <w:color w:val="000000"/>
          <w:sz w:val="24"/>
        </w:rPr>
        <w:t>展望2019年四季度，我们将关注央行降准后、专项债提前发行下的银行间流动性和信用风险定价状况，警惕2019年末的通胀压力带来可能的货币政策微调，继续观察银行理财子公司的发展以及类货币型理财产品对行业生态的影响。我们认为，美联储九月降息靴子落地和中国央行中性降准后，使得中美利差处于合理空间，中国的政策将更多着眼于国内的经济情况，货币政策应该会延续稳健的状态，而财政政策将会持续发力。</w:t>
      </w:r>
    </w:p>
    <w:p w:rsidP="00281564" w:rsidR="00C4627A" w:rsidRDefault="00C4627A" w:rsidRPr="000E4C40">
      <w:pPr>
        <w:spacing w:before="29" w:line="288" w:lineRule="auto"/>
        <w:ind w:firstLine="480" w:firstLineChars="200"/>
        <w:rPr>
          <w:color w:val="000000"/>
          <w:sz w:val="24"/>
        </w:rPr>
      </w:pPr>
      <w:r w:rsidRPr="000E4C40">
        <w:rPr>
          <w:color w:val="000000"/>
          <w:sz w:val="24"/>
        </w:rPr>
        <w:t>本基金将根据不同资产收益率的动态变化，适时调整组合结构，根据期限利差动态调整组合杠杆率，通过对市场利率的前瞻性判断进行合理有效的久期管理，严格控制信用风险、流动性风险和利率风险，努力为持有人创造稳健的收益。</w:t>
      </w:r>
    </w:p>
    <w:p w:rsidP="00281564" w:rsidR="00FE3301" w:rsidRDefault="00FE3301" w:rsidRPr="000E4C40">
      <w:pPr>
        <w:spacing w:before="29" w:line="288" w:lineRule="auto"/>
        <w:ind w:firstLine="480" w:firstLineChars="200"/>
        <w:rPr>
          <w:color w:val="000000"/>
          <w:sz w:val="24"/>
        </w:rPr>
      </w:pPr>
    </w:p>
    <w:p w:rsidP="00281564" w:rsidR="00323377" w:rsidRDefault="00B86A3F" w:rsidRPr="000E4C40">
      <w:pPr>
        <w:spacing w:before="29" w:line="288" w:lineRule="auto"/>
        <w:rPr>
          <w:sz w:val="24"/>
        </w:rPr>
      </w:pPr>
      <w:r w:rsidRPr="000E4C40">
        <w:rPr>
          <w:b/>
          <w:color w:val="000000"/>
          <w:kern w:val="0"/>
          <w:sz w:val="24"/>
        </w:rPr>
        <w:t>4.5</w:t>
      </w:r>
      <w:r w:rsidRPr="000E4C40">
        <w:rPr>
          <w:rFonts w:hAnsi="宋体"/>
          <w:b/>
          <w:color w:val="000000"/>
          <w:kern w:val="0"/>
          <w:sz w:val="24"/>
        </w:rPr>
        <w:t>报告期内基金的业绩表现</w:t>
      </w:r>
    </w:p>
    <w:p w:rsidP="00281564" w:rsidR="00C4627A" w:rsidRDefault="00C4627A" w:rsidRPr="000E4C40">
      <w:pPr>
        <w:spacing w:before="29" w:line="288" w:lineRule="auto"/>
        <w:ind w:firstLine="480" w:firstLineChars="200"/>
        <w:rPr>
          <w:color w:val="000000"/>
          <w:sz w:val="24"/>
        </w:rPr>
      </w:pPr>
      <w:bookmarkStart w:id="0" w:name="_Toc255486598"/>
      <w:bookmarkStart w:id="1" w:name="_Toc245193825"/>
      <w:r w:rsidRPr="000E4C40">
        <w:rPr>
          <w:color w:val="000000"/>
          <w:sz w:val="24"/>
        </w:rPr>
        <w:t>本基金（各类）份额净值及业绩表现请见“3.1主要财务指标” 及“3.2.1 本报告期基金份额净值增长率及其与同期业绩比较基准收益率的比较”部分披露。</w:t>
      </w:r>
    </w:p>
    <w:p w:rsidP="00281564" w:rsidR="00BE5584" w:rsidRDefault="00BE5584" w:rsidRPr="000E4C40">
      <w:pPr>
        <w:autoSpaceDE w:val="0"/>
        <w:autoSpaceDN w:val="0"/>
        <w:adjustRightInd w:val="0"/>
        <w:spacing w:before="29" w:line="288" w:lineRule="auto"/>
        <w:jc w:val="left"/>
        <w:rPr>
          <w:kern w:val="0"/>
          <w:sz w:val="24"/>
        </w:rPr>
      </w:pPr>
    </w:p>
    <w:bookmarkEnd w:id="0"/>
    <w:bookmarkEnd w:id="1"/>
    <w:p w:rsidP="0010236C" w:rsidR="0010236C" w:rsidRDefault="0010236C"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10236C" w:rsidR="0010236C" w:rsidRDefault="0010236C">
      <w:pPr>
        <w:spacing w:before="29" w:line="288" w:lineRule="auto"/>
        <w:ind w:firstLine="480" w:firstLineChars="200"/>
        <w:rPr>
          <w:color w:val="000000"/>
          <w:sz w:val="24"/>
        </w:rPr>
      </w:pPr>
      <w:r w:rsidRPr="002070B4">
        <w:rPr>
          <w:color w:val="000000"/>
          <w:sz w:val="24"/>
        </w:rPr>
        <w:t>本基金本报告期内无需预警说明。</w:t>
      </w:r>
    </w:p>
    <w:p w:rsidP="0010236C" w:rsidR="0010236C" w:rsidRDefault="0010236C">
      <w:pPr>
        <w:spacing w:before="29" w:line="288" w:lineRule="auto"/>
        <w:ind w:firstLine="480" w:firstLineChars="200"/>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§5  </w:t>
      </w:r>
      <w:r w:rsidRPr="000E4C40">
        <w:rPr>
          <w:rFonts w:hAnsi="宋体"/>
          <w:color w:val="000000"/>
          <w:kern w:val="0"/>
          <w:sz w:val="24"/>
          <w:szCs w:val="24"/>
        </w:rPr>
        <w:t>投资组合报告</w:t>
      </w:r>
    </w:p>
    <w:p w:rsidP="00281564" w:rsidR="00902E3F" w:rsidRDefault="00902E3F">
      <w:pPr>
        <w:spacing w:before="29" w:line="288" w:lineRule="auto"/>
        <w:rPr>
          <w:rFonts w:hAnsi="宋体"/>
          <w:b/>
          <w:color w:val="000000"/>
          <w:kern w:val="0"/>
          <w:sz w:val="24"/>
        </w:rPr>
      </w:pPr>
      <w:r w:rsidRPr="000E4C40">
        <w:rPr>
          <w:b/>
          <w:color w:val="000000"/>
          <w:kern w:val="0"/>
          <w:sz w:val="24"/>
        </w:rPr>
        <w:t xml:space="preserve">5.1 </w:t>
      </w:r>
      <w:r w:rsidRPr="000E4C40">
        <w:rPr>
          <w:rFonts w:hAnsi="宋体"/>
          <w:b/>
          <w:color w:val="000000"/>
          <w:kern w:val="0"/>
          <w:sz w:val="24"/>
        </w:rPr>
        <w:t>报告期末基金资产组合情况</w:t>
      </w:r>
    </w:p>
    <w:p w:rsidP="000F4B69" w:rsidR="000F4B69" w:rsidRDefault="000F4B69" w:rsidRPr="000F4B69">
      <w:pPr>
        <w:spacing w:before="29" w:line="288" w:lineRule="auto"/>
        <w:jc w:val="right"/>
        <w:rPr>
          <w:color w:val="000000"/>
          <w:kern w:val="0"/>
          <w:sz w:val="24"/>
        </w:rPr>
      </w:pPr>
      <w:r w:rsidRPr="000F4B69">
        <w:rPr>
          <w:rFonts w:hint="eastAsia"/>
          <w:color w:val="000000"/>
          <w:kern w:val="0"/>
          <w:sz w:val="24"/>
        </w:rPr>
        <w:t/>
      </w:r>
      <w:r w:rsidRPr="000F4B69">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84"/>
        <w:gridCol w:w="3117"/>
        <w:gridCol w:w="3058"/>
        <w:gridCol w:w="1809"/>
      </w:tblGrid>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序号</w:t>
            </w:r>
          </w:p>
        </w:tc>
        <w:tc>
          <w:tcPr>
            <w:tcW w:type="dxa" w:w="3117"/>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项目</w:t>
            </w:r>
          </w:p>
        </w:tc>
        <w:tc>
          <w:tcPr>
            <w:tcW w:type="dxa" w:w="3058"/>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金额</w:t>
            </w:r>
          </w:p>
        </w:tc>
        <w:tc>
          <w:tcPr>
            <w:tcW w:type="dxa" w:w="1809"/>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占基金总资产的比例</w:t>
            </w:r>
            <w:r w:rsidR="00744E84" w:rsidRPr="000E4C40">
              <w:rPr>
                <w:rFonts w:hAnsi="宋体"/>
                <w:color w:val="000000"/>
                <w:kern w:val="0"/>
                <w:sz w:val="24"/>
              </w:rPr>
              <w:t>（％）</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1</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固定收益投资</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2,745,324,372.90</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31.51</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其中：债券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2,655,324,372.90</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lastRenderedPageBreak/>
              <w:t/>
            </w:r>
            <w:r w:rsidRPr="000E4C40">
              <w:rPr>
                <w:color w:val="000000"/>
                <w:sz w:val="24"/>
              </w:rPr>
              <w:lastRenderedPageBreak/>
              <w:t>30.48</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autoSpaceDE w:val="0"/>
              <w:autoSpaceDN w:val="0"/>
              <w:adjustRightInd w:val="0"/>
              <w:spacing w:before="29" w:line="288" w:lineRule="auto"/>
              <w:ind w:firstLine="720" w:firstLineChars="300" w:left="17" w:leftChars="8"/>
              <w:jc w:val="left"/>
              <w:rPr>
                <w:color w:val="000000"/>
                <w:sz w:val="24"/>
              </w:rPr>
            </w:pPr>
            <w:r w:rsidRPr="000E4C40">
              <w:rPr>
                <w:rFonts w:hAnsi="宋体"/>
                <w:color w:val="000000"/>
                <w:sz w:val="24"/>
              </w:rPr>
              <w:t>资产支持证券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90,000,000.00</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1.03</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2</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3,042,122,843.18</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34.92</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其中：买断式回购的买入返售金融资产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3</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银行存款和结算备付金合计</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2,901,270,449.37</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33.30</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
            </w:r>
            <w:r w:rsidR="00B4354A" w:rsidRPr="000E4C40">
              <w:rPr>
                <w:color w:val="000000"/>
                <w:sz w:val="24"/>
              </w:rPr>
              <w:t>4</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其他</w:t>
            </w:r>
            <w:r w:rsidR="006D1D53">
              <w:rPr>
                <w:rFonts w:hAnsi="宋体" w:hint="eastAsia"/>
                <w:color w:val="000000"/>
                <w:sz w:val="24"/>
              </w:rPr>
              <w:t>各项</w:t>
            </w:r>
            <w:r w:rsidRPr="000E4C40">
              <w:rPr>
                <w:rFonts w:hAnsi="宋体"/>
                <w:color w:val="000000"/>
                <w:sz w:val="24"/>
              </w:rPr>
              <w:t>资产</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23,959,720.57</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0.27</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
            </w:r>
            <w:r w:rsidR="00B4354A" w:rsidRPr="000E4C40">
              <w:rPr>
                <w:color w:val="000000"/>
                <w:sz w:val="24"/>
              </w:rPr>
              <w:t>5</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合计</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8,712,677,386.02</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100.00</w:t>
            </w:r>
          </w:p>
        </w:tc>
      </w:tr>
    </w:tbl>
    <w:p w:rsidP="00281564" w:rsidR="004771B9" w:rsidRDefault="004771B9"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5.2 </w:t>
      </w:r>
      <w:r w:rsidRPr="000E4C40">
        <w:rPr>
          <w:rFonts w:hAnsi="宋体"/>
          <w:b/>
          <w:color w:val="000000"/>
          <w:kern w:val="0"/>
          <w:sz w:val="24"/>
        </w:rPr>
        <w:t>报告期债券回购融资情况</w:t>
      </w:r>
    </w:p>
    <w:tbl>
      <w:tblPr>
        <w:tblW w:type="dxa" w:w="8868"/>
        <w:jc w:val="center"/>
        <w:tblLayout w:type="fixed"/>
        <w:tblLook w:firstColumn="0" w:firstRow="0" w:lastColumn="0" w:lastRow="0" w:noHBand="0" w:noVBand="0" w:val="0000"/>
      </w:tblPr>
      <w:tblGrid>
        <w:gridCol w:w="845"/>
        <w:gridCol w:w="3157"/>
        <w:gridCol w:w="2787"/>
        <w:gridCol w:w="2079"/>
      </w:tblGrid>
      <w:tr w:rsidR="007521F9" w:rsidRPr="000E4C40" w:rsidTr="00EF568A">
        <w:trPr>
          <w:jc w:val="center"/>
        </w:trPr>
        <w:tc>
          <w:tcPr>
            <w:tcW w:type="dxa" w:w="845"/>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项目</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占基金资产净值比例（％）</w:t>
            </w:r>
          </w:p>
        </w:tc>
      </w:tr>
      <w:tr w:rsidR="00901503"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901503" w:rsidRDefault="00901503" w:rsidRPr="000E4C40">
            <w:pPr>
              <w:spacing w:before="29" w:line="288" w:lineRule="auto"/>
              <w:jc w:val="center"/>
              <w:rPr>
                <w:color w:val="000000"/>
                <w:kern w:val="0"/>
                <w:sz w:val="24"/>
              </w:rPr>
            </w:pPr>
            <w:r w:rsidRPr="000E4C40">
              <w:rPr>
                <w:color w:val="000000"/>
                <w:kern w:val="0"/>
                <w:sz w:val="24"/>
              </w:rPr>
              <w:t>1</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报告期内债券回购融资余额</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3.26</w:t>
            </w:r>
          </w:p>
        </w:tc>
      </w:tr>
      <w:tr w:rsidR="00901503" w:rsidRPr="000E4C40" w:rsidTr="00EF568A">
        <w:trPr>
          <w:trHeight w:val="712"/>
          <w:jc w:val="center"/>
        </w:trPr>
        <w:tc>
          <w:tcPr>
            <w:tcW w:type="dxa" w:w="845"/>
            <w:vMerge/>
            <w:tcBorders>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其中：买断式回购融资</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w:t>
            </w:r>
          </w:p>
        </w:tc>
      </w:tr>
      <w:tr w:rsidR="007521F9" w:rsidRPr="000E4C40" w:rsidTr="00EF568A">
        <w:trPr>
          <w:jc w:val="center"/>
        </w:trPr>
        <w:tc>
          <w:tcPr>
            <w:tcW w:type="dxa" w:w="845"/>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sz w:val="24"/>
              </w:rPr>
              <w:t>项目</w:t>
            </w:r>
          </w:p>
        </w:tc>
        <w:tc>
          <w:tcPr>
            <w:tcW w:type="dxa" w:w="2787"/>
            <w:tcBorders>
              <w:top w:color="000000" w:space="0" w:sz="8" w:val="single"/>
              <w:left w:color="000000" w:space="0" w:sz="8" w:val="single"/>
              <w:bottom w:color="000000" w:space="0" w:sz="8" w:val="single"/>
              <w:right w:color="000000" w:space="0" w:sz="8" w:val="single"/>
            </w:tcBorders>
            <w:vAlign w:val="center"/>
          </w:tcPr>
          <w:p w:rsidP="008E3415" w:rsidR="007521F9" w:rsidRDefault="007521F9" w:rsidRPr="000E4C40">
            <w:pPr>
              <w:spacing w:before="29" w:line="288" w:lineRule="auto"/>
              <w:jc w:val="center"/>
              <w:rPr>
                <w:sz w:val="24"/>
              </w:rPr>
            </w:pPr>
            <w:r w:rsidRPr="000E4C40">
              <w:rPr>
                <w:rFonts w:hAnsi="宋体"/>
                <w:sz w:val="24"/>
              </w:rPr>
              <w:t>金额</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color w:val="000000"/>
                <w:kern w:val="0"/>
                <w:sz w:val="24"/>
              </w:rPr>
              <w:t>占基金资产净值</w:t>
            </w:r>
            <w:r w:rsidR="00410A6D" w:rsidRPr="000E4C40">
              <w:rPr>
                <w:rFonts w:hAnsi="宋体"/>
                <w:color w:val="000000"/>
                <w:kern w:val="0"/>
                <w:sz w:val="24"/>
              </w:rPr>
              <w:t>的</w:t>
            </w:r>
            <w:r w:rsidRPr="000E4C40">
              <w:rPr>
                <w:rFonts w:hAnsi="宋体"/>
                <w:color w:val="000000"/>
                <w:kern w:val="0"/>
                <w:sz w:val="24"/>
              </w:rPr>
              <w:t>比例（％）</w:t>
            </w:r>
          </w:p>
        </w:tc>
      </w:tr>
      <w:tr w:rsidR="007521F9"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color w:val="000000"/>
                <w:sz w:val="24"/>
              </w:rPr>
              <w:t>2</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报告期末债券回购融资余额</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1,062,344,296.53</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13.89</w:t>
            </w:r>
          </w:p>
        </w:tc>
      </w:tr>
      <w:tr w:rsidR="007521F9" w:rsidRPr="000E4C40" w:rsidTr="00EF568A">
        <w:trPr>
          <w:jc w:val="center"/>
        </w:trPr>
        <w:tc>
          <w:tcPr>
            <w:tcW w:type="dxa" w:w="845"/>
            <w:vMerge/>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其中：买断式回购融资</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w:t>
            </w:r>
          </w:p>
        </w:tc>
      </w:tr>
    </w:tbl>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lastRenderedPageBreak/>
        <w:t>注：报告期内债券回购融资余额占基金资产净值的比例为报告期内每个银行间市场交易日融资余额占资产净值比例的简单平均值。</w:t>
      </w:r>
    </w:p>
    <w:p w:rsidP="00281564" w:rsidR="00DB2873" w:rsidRDefault="00DB2873" w:rsidRPr="000E4C40">
      <w:pPr>
        <w:spacing w:before="29" w:line="288" w:lineRule="auto"/>
        <w:rPr>
          <w:sz w:val="24"/>
        </w:rPr>
      </w:pPr>
    </w:p>
    <w:p w:rsidP="00281564" w:rsidR="004771B9" w:rsidRDefault="000D6294" w:rsidRPr="000E4C40">
      <w:pPr>
        <w:spacing w:before="29" w:line="288" w:lineRule="auto"/>
        <w:rPr>
          <w:b/>
          <w:color w:val="000000"/>
          <w:kern w:val="0"/>
          <w:sz w:val="24"/>
        </w:rPr>
      </w:pPr>
      <w:r w:rsidRPr="000E4C40">
        <w:rPr>
          <w:b/>
          <w:color w:val="000000"/>
          <w:kern w:val="0"/>
          <w:sz w:val="24"/>
        </w:rPr>
        <w:t/>
      </w:r>
      <w:r w:rsidR="004771B9" w:rsidRPr="000E4C40">
        <w:rPr>
          <w:rFonts w:hAnsi="宋体"/>
          <w:b/>
          <w:color w:val="000000"/>
          <w:kern w:val="0"/>
          <w:sz w:val="24"/>
        </w:rPr>
        <w:t>债券正回购的资金余额超过基金资产净值的</w:t>
      </w:r>
      <w:r w:rsidR="004771B9" w:rsidRPr="000E4C40">
        <w:rPr>
          <w:b/>
          <w:color w:val="000000"/>
          <w:kern w:val="0"/>
          <w:sz w:val="24"/>
        </w:rPr>
        <w:t>20</w:t>
      </w:r>
      <w:r w:rsidR="004771B9" w:rsidRPr="000E4C40">
        <w:rPr>
          <w:rFonts w:hAnsi="宋体"/>
          <w:b/>
          <w:color w:val="000000"/>
          <w:kern w:val="0"/>
          <w:sz w:val="24"/>
        </w:rPr>
        <w:t>％的说明</w:t>
      </w:r>
    </w:p>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t>本基金本报告期内债券正回购的资金余额未超过资产净值的20%。</w:t>
      </w:r>
    </w:p>
    <w:p w:rsidP="00281564" w:rsidR="00902E3F" w:rsidRDefault="00902E3F" w:rsidRPr="000E4C40">
      <w:pPr>
        <w:spacing w:before="29" w:line="288" w:lineRule="auto"/>
        <w:rPr>
          <w:b/>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 </w:t>
      </w:r>
      <w:r w:rsidRPr="000E4C40">
        <w:rPr>
          <w:rFonts w:hAnsi="宋体"/>
          <w:b/>
          <w:color w:val="000000"/>
          <w:kern w:val="0"/>
          <w:sz w:val="24"/>
        </w:rPr>
        <w:t>基金投资组合平均剩余期限</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5.3.1 </w:t>
      </w:r>
      <w:r w:rsidRPr="000E4C40">
        <w:rPr>
          <w:rFonts w:hAnsi="宋体"/>
          <w:b/>
          <w:color w:val="000000"/>
          <w:kern w:val="0"/>
          <w:sz w:val="24"/>
        </w:rPr>
        <w:t>投资组合平均剩余期限基本情况</w:t>
      </w:r>
    </w:p>
    <w:tbl>
      <w:tblPr>
        <w:tblW w:type="dxa" w:w="8868"/>
        <w:jc w:val="center"/>
        <w:tblLayout w:type="fixed"/>
        <w:tblLook w:firstColumn="0" w:firstRow="0" w:lastColumn="0" w:lastRow="0" w:noHBand="0" w:noVBand="0" w:val="0000"/>
      </w:tblPr>
      <w:tblGrid>
        <w:gridCol w:w="4427"/>
        <w:gridCol w:w="4441"/>
      </w:tblGrid>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114C97" w:rsidRPr="000E4C40">
              <w:rPr>
                <w:color w:val="000000"/>
                <w:kern w:val="0"/>
                <w:sz w:val="24"/>
              </w:rPr>
              <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天数</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报告期末投资组合平均剩余期限</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r w:rsidR="002E040C" w:rsidRPr="000E4C40">
              <w:rPr>
                <w:color w:val="000000"/>
                <w:sz w:val="24"/>
              </w:rPr>
              <w:t/>
            </w:r>
            <w:r w:rsidRPr="000E4C40">
              <w:rPr>
                <w:color w:val="000000"/>
                <w:sz w:val="24"/>
              </w:rPr>
              <w:t/>
            </w:r>
            <w:r w:rsidRPr="000E4C40">
              <w:rPr>
                <w:sz w:val="24"/>
              </w:rPr>
              <w:t>56</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报告期内投资组合平均剩余期限最高值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color w:val="000000"/>
                <w:sz w:val="24"/>
              </w:rPr>
            </w:pPr>
            <w:r w:rsidRPr="000E4C40">
              <w:rPr>
                <w:color w:val="000000"/>
                <w:sz w:val="24"/>
              </w:rPr>
              <w:t/>
            </w:r>
            <w:r w:rsidR="002E040C" w:rsidRPr="000E4C40">
              <w:rPr>
                <w:color w:val="000000"/>
                <w:sz w:val="24"/>
              </w:rPr>
              <w:t/>
            </w:r>
            <w:r w:rsidRPr="000E4C40">
              <w:rPr>
                <w:color w:val="000000"/>
                <w:sz w:val="24"/>
              </w:rPr>
              <w:t>60</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报告期内投资组合平均剩余期限最低值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r w:rsidR="002E040C" w:rsidRPr="000E4C40">
              <w:rPr>
                <w:color w:val="000000"/>
                <w:sz w:val="24"/>
              </w:rPr>
              <w:t/>
            </w:r>
            <w:r w:rsidRPr="000E4C40">
              <w:rPr>
                <w:color w:val="000000"/>
                <w:sz w:val="24"/>
              </w:rPr>
              <w:t/>
            </w:r>
            <w:r w:rsidRPr="000E4C40">
              <w:rPr>
                <w:sz w:val="24"/>
              </w:rPr>
              <w:t>37</w:t>
            </w:r>
          </w:p>
        </w:tc>
      </w:tr>
    </w:tbl>
    <w:p w:rsidP="00281564" w:rsidR="007521F9" w:rsidRDefault="007521F9" w:rsidRPr="000E4C40">
      <w:pPr>
        <w:spacing w:before="29" w:line="288" w:lineRule="auto"/>
        <w:rPr>
          <w:b/>
          <w:sz w:val="24"/>
        </w:rPr>
      </w:pPr>
    </w:p>
    <w:p w:rsidP="00281564" w:rsidR="007277D1" w:rsidRDefault="000D6294" w:rsidRPr="000E4C40">
      <w:pPr>
        <w:spacing w:before="29" w:line="288" w:lineRule="auto"/>
        <w:rPr>
          <w:b/>
          <w:color w:val="000000"/>
          <w:kern w:val="0"/>
          <w:sz w:val="24"/>
        </w:rPr>
      </w:pPr>
      <w:r w:rsidRPr="000E4C40">
        <w:rPr>
          <w:b/>
          <w:color w:val="000000"/>
          <w:kern w:val="0"/>
          <w:sz w:val="24"/>
        </w:rPr>
        <w:t/>
      </w:r>
      <w:r w:rsidR="007277D1" w:rsidRPr="000E4C40">
        <w:rPr>
          <w:rFonts w:hAnsi="宋体"/>
          <w:b/>
          <w:color w:val="000000"/>
          <w:kern w:val="0"/>
          <w:sz w:val="24"/>
        </w:rPr>
        <w:t>报告期内投资组合平均剩余期限超过</w:t>
      </w:r>
      <w:r w:rsidR="00F046FB">
        <w:rPr>
          <w:b/>
          <w:color w:val="000000"/>
          <w:kern w:val="0"/>
          <w:sz w:val="24"/>
        </w:rPr>
        <w:t>12</w:t>
      </w:r>
      <w:r w:rsidR="007277D1" w:rsidRPr="000E4C40">
        <w:rPr>
          <w:b/>
          <w:color w:val="000000"/>
          <w:kern w:val="0"/>
          <w:sz w:val="24"/>
        </w:rPr>
        <w:t>0</w:t>
      </w:r>
      <w:r w:rsidR="007277D1" w:rsidRPr="000E4C40">
        <w:rPr>
          <w:rFonts w:hAnsi="宋体"/>
          <w:b/>
          <w:color w:val="000000"/>
          <w:kern w:val="0"/>
          <w:sz w:val="24"/>
        </w:rPr>
        <w:t>天情况说明</w:t>
      </w:r>
    </w:p>
    <w:p w:rsidP="00281564" w:rsidR="007521F9" w:rsidRDefault="000E5695">
      <w:pPr>
        <w:adjustRightInd w:val="0"/>
        <w:spacing w:before="29" w:line="288" w:lineRule="auto"/>
        <w:rPr>
          <w:kern w:val="0"/>
          <w:sz w:val="24"/>
        </w:rPr>
      </w:pPr>
      <w:r w:rsidRPr="000E5695">
        <w:rPr>
          <w:kern w:val="0"/>
          <w:sz w:val="24"/>
        </w:rPr>
        <w:lastRenderedPageBreak/>
        <w:t>本基金本报告期内投资组合平均剩余期限未超过120天。</w:t>
      </w:r>
    </w:p>
    <w:p w:rsidP="00281564" w:rsidR="000E5695" w:rsidRDefault="000E5695" w:rsidRPr="000E5695">
      <w:pPr>
        <w:adjustRightInd w:val="0"/>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5.3.2 </w:t>
      </w:r>
      <w:r w:rsidRPr="000E4C40">
        <w:rPr>
          <w:rFonts w:hAnsi="宋体"/>
          <w:b/>
          <w:color w:val="000000"/>
          <w:kern w:val="0"/>
          <w:sz w:val="24"/>
        </w:rPr>
        <w:t>报告期末投资组合平均剩余期限分布比例</w:t>
      </w:r>
    </w:p>
    <w:tbl>
      <w:tblPr>
        <w:tblW w:type="dxa" w:w="8868"/>
        <w:jc w:val="center"/>
        <w:tblLayout w:type="fixed"/>
        <w:tblLook w:firstColumn="0" w:firstRow="0" w:lastColumn="0" w:lastRow="0" w:noHBand="0" w:noVBand="0" w:val="0000"/>
      </w:tblPr>
      <w:tblGrid>
        <w:gridCol w:w="829"/>
        <w:gridCol w:w="3240"/>
        <w:gridCol w:w="2447"/>
        <w:gridCol w:w="2352"/>
      </w:tblGrid>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平均剩余期限</w:t>
            </w:r>
            <w:r w:rsidR="00114C97" w:rsidRPr="000E4C40">
              <w:rPr>
                <w:color w:val="000000"/>
                <w:kern w:val="0"/>
                <w:sz w:val="24"/>
              </w:rPr>
              <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各期限资产占基金资产净值的比例</w:t>
            </w:r>
            <w:r w:rsidR="00B071B2" w:rsidRPr="000E4C40">
              <w:rPr>
                <w:rFonts w:hAnsi="宋体"/>
                <w:color w:val="000000"/>
                <w:kern w:val="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各期限负债占基金资产净值的比例（％）</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Pr="000E4C40">
              <w:rPr>
                <w:rFonts w:hAnsi="宋体"/>
                <w:color w:val="000000"/>
                <w:sz w:val="24"/>
              </w:rPr>
              <w:t>天以内</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37.18</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13.89</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00672C2D" w:rsidRPr="000E4C40">
              <w:rPr>
                <w:rFonts w:hAnsi="宋体"/>
                <w:color w:val="000000"/>
                <w:sz w:val="24"/>
              </w:rPr>
              <w:t>天</w:t>
            </w:r>
            <w:r w:rsidR="00672C2D" w:rsidRPr="000E4C40">
              <w:rPr>
                <w:color w:val="000000"/>
                <w:sz w:val="24"/>
              </w:rPr>
              <w:t>(</w:t>
            </w:r>
            <w:r w:rsidRPr="000E4C40">
              <w:rPr>
                <w:rFonts w:hAnsi="宋体"/>
                <w:color w:val="000000"/>
                <w:sz w:val="24"/>
              </w:rPr>
              <w:t>含</w:t>
            </w:r>
            <w:r w:rsidR="00672C2D" w:rsidRPr="000E4C40">
              <w:rPr>
                <w:color w:val="000000"/>
                <w:sz w:val="24"/>
              </w:rPr>
              <w:t>)</w:t>
            </w:r>
            <w:r w:rsidRPr="000E4C40">
              <w:rPr>
                <w:color w:val="000000"/>
                <w:sz w:val="24"/>
              </w:rPr>
              <w:t>—60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31.47</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60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Pr="000E4C40">
              <w:rPr>
                <w:color w:val="000000"/>
                <w:sz w:val="24"/>
              </w:rPr>
              <w:t>—90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30.81</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w:t>
            </w:r>
            <w:r w:rsidRPr="000E4C40">
              <w:rPr>
                <w:rFonts w:hAnsi="宋体"/>
                <w:color w:val="000000"/>
                <w:sz w:val="24"/>
              </w:rPr>
              <w:lastRenderedPageBreak/>
              <w:t>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lastRenderedPageBreak/>
              <w:t/>
            </w:r>
            <w:r w:rsidRPr="000E4C40">
              <w:rPr>
                <w:color w:val="000000"/>
                <w:sz w:val="24"/>
              </w:rPr>
              <w:lastRenderedPageBreak/>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lastRenderedPageBreak/>
              <w:t/>
            </w:r>
            <w:r w:rsidRPr="000E4C40">
              <w:rPr>
                <w:color w:val="000000"/>
                <w:sz w:val="24"/>
              </w:rPr>
              <w:lastRenderedPageBreak/>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lastRenderedPageBreak/>
              <w:t>4</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90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0E5695">
              <w:rPr>
                <w:color w:val="000000"/>
                <w:sz w:val="24"/>
              </w:rPr>
              <w:t>—12</w:t>
            </w:r>
            <w:r w:rsidRPr="000E4C40">
              <w:rPr>
                <w:color w:val="000000"/>
                <w:sz w:val="24"/>
              </w:rPr>
              <w:t>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3.78</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left"/>
              <w:rPr>
                <w:color w:val="000000"/>
                <w:sz w:val="24"/>
              </w:rPr>
            </w:pPr>
            <w:r>
              <w:rPr>
                <w:color w:val="000000"/>
                <w:sz w:val="24"/>
              </w:rPr>
              <w:t>12</w:t>
            </w:r>
            <w:r w:rsidR="007521F9" w:rsidRPr="000E4C40">
              <w:rPr>
                <w:color w:val="000000"/>
                <w:sz w:val="24"/>
              </w:rPr>
              <w:t>0</w:t>
            </w:r>
            <w:r w:rsidR="007521F9"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7521F9" w:rsidRPr="000E4C40">
              <w:rPr>
                <w:color w:val="000000"/>
                <w:sz w:val="24"/>
              </w:rPr>
              <w:t>—397</w:t>
            </w:r>
            <w:r w:rsidR="007521F9" w:rsidRPr="000E4C40">
              <w:rPr>
                <w:rFonts w:hAnsi="宋体"/>
                <w:color w:val="000000"/>
                <w:sz w:val="24"/>
              </w:rPr>
              <w:t>天</w:t>
            </w:r>
            <w:r w:rsidR="00F10508" w:rsidRPr="000E4C40">
              <w:rPr>
                <w:rFonts w:hAnsi="宋体"/>
                <w:color w:val="000000"/>
                <w:kern w:val="0"/>
                <w:sz w:val="24"/>
              </w:rPr>
              <w:t>（</w:t>
            </w:r>
            <w:r w:rsidR="00672C2D" w:rsidRPr="000E4C40">
              <w:rPr>
                <w:rFonts w:hAnsi="宋体"/>
                <w:color w:val="000000"/>
                <w:sz w:val="24"/>
              </w:rPr>
              <w:t>含</w:t>
            </w:r>
            <w:r w:rsidR="00F10508" w:rsidRPr="000E4C40">
              <w:rPr>
                <w:rFonts w:hAnsi="宋体"/>
                <w:color w:val="000000"/>
                <w:kern w:val="0"/>
                <w:sz w:val="24"/>
              </w:rPr>
              <w:t>）</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10.38</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672D25"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4C40">
            <w:pPr>
              <w:autoSpaceDE w:val="0"/>
              <w:autoSpaceDN w:val="0"/>
              <w:adjustRightInd w:val="0"/>
              <w:spacing w:before="29" w:line="288" w:lineRule="auto"/>
              <w:ind w:left="15"/>
              <w:jc w:val="center"/>
              <w:rPr>
                <w:color w:val="000000"/>
                <w:sz w:val="24"/>
              </w:rPr>
            </w:pPr>
            <w:r>
              <w:rPr>
                <w:rFonts w:hint="eastAsia"/>
                <w:color w:val="000000"/>
                <w:sz w:val="24"/>
              </w:rPr>
              <w:t>6</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4C40">
            <w:pPr>
              <w:autoSpaceDE w:val="0"/>
              <w:autoSpaceDN w:val="0"/>
              <w:adjustRightInd w:val="0"/>
              <w:spacing w:before="29" w:line="288" w:lineRule="auto"/>
              <w:ind w:left="15"/>
              <w:jc w:val="left"/>
              <w:rPr>
                <w:rFonts w:hAnsi="宋体"/>
                <w:color w:val="000000"/>
                <w:sz w:val="24"/>
              </w:rPr>
            </w:pPr>
            <w:r w:rsidRPr="00672D25">
              <w:rPr>
                <w:color w:val="000000"/>
                <w:sz w:val="24"/>
              </w:rPr>
              <w:t>合计</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5695">
            <w:pPr>
              <w:autoSpaceDE w:val="0"/>
              <w:autoSpaceDN w:val="0"/>
              <w:adjustRightInd w:val="0"/>
              <w:spacing w:before="29" w:line="288" w:lineRule="auto"/>
              <w:ind w:left="15"/>
              <w:jc w:val="right"/>
              <w:rPr>
                <w:color w:val="000000"/>
                <w:sz w:val="24"/>
              </w:rPr>
            </w:pPr>
            <w:r w:rsidRPr="000E4C40">
              <w:rPr>
                <w:color w:val="000000"/>
                <w:sz w:val="24"/>
              </w:rPr>
              <w:t>113.62</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5695">
            <w:pPr>
              <w:autoSpaceDE w:val="0"/>
              <w:autoSpaceDN w:val="0"/>
              <w:adjustRightInd w:val="0"/>
              <w:spacing w:before="29" w:line="288" w:lineRule="auto"/>
              <w:ind w:left="15"/>
              <w:jc w:val="right"/>
              <w:rPr>
                <w:color w:val="000000"/>
                <w:sz w:val="24"/>
              </w:rPr>
            </w:pPr>
            <w:r w:rsidRPr="000E4C40">
              <w:rPr>
                <w:color w:val="000000"/>
                <w:sz w:val="24"/>
              </w:rPr>
              <w:t>13.89</w:t>
            </w:r>
          </w:p>
        </w:tc>
      </w:tr>
    </w:tbl>
    <w:p w:rsidP="00281564" w:rsidR="00F046FB" w:rsidRDefault="00F046FB">
      <w:pPr>
        <w:spacing w:before="29" w:line="288" w:lineRule="auto"/>
        <w:rPr>
          <w:color w:val="000000"/>
          <w:kern w:val="0"/>
          <w:sz w:val="24"/>
        </w:rPr>
      </w:pPr>
    </w:p>
    <w:p w:rsidP="00F046FB" w:rsidR="00F046FB" w:rsidRDefault="00F046FB" w:rsidRPr="00F046FB">
      <w:pPr>
        <w:spacing w:line="360" w:lineRule="auto"/>
        <w:rPr>
          <w:rFonts w:ascii="宋体" w:cs="Arial" w:hAnsi="宋体"/>
          <w:b/>
          <w:bCs/>
          <w:color w:val="000000"/>
          <w:kern w:val="0"/>
          <w:sz w:val="24"/>
        </w:rPr>
      </w:pPr>
      <w:r w:rsidRPr="00F046FB">
        <w:rPr>
          <w:rFonts w:ascii="宋体" w:cs="Arial" w:hAnsi="宋体" w:hint="eastAsia"/>
          <w:b/>
          <w:bCs/>
          <w:color w:val="000000"/>
          <w:kern w:val="0"/>
          <w:sz w:val="24"/>
        </w:rPr>
        <w:t>5.4</w:t>
      </w:r>
      <w:r w:rsidRPr="00F046FB">
        <w:rPr>
          <w:rFonts w:ascii="宋体" w:hAnsi="宋体" w:hint="eastAsia"/>
          <w:b/>
          <w:bCs/>
          <w:color w:val="000000"/>
          <w:sz w:val="24"/>
        </w:rPr>
        <w:t>报告期内投资组合平均剩余存续期超过240天情况说明</w:t>
      </w:r>
    </w:p>
    <w:p w:rsidP="00F046FB" w:rsidR="00F046FB" w:rsidRDefault="00F046FB" w:rsidRPr="00F046FB">
      <w:pPr>
        <w:autoSpaceDE w:val="0"/>
        <w:autoSpaceDN w:val="0"/>
        <w:adjustRightInd w:val="0"/>
        <w:spacing w:line="360" w:lineRule="auto"/>
        <w:jc w:val="left"/>
        <w:rPr>
          <w:rFonts w:ascii="宋体" w:hAnsi="宋体"/>
          <w:color w:val="000000"/>
          <w:sz w:val="24"/>
        </w:rPr>
      </w:pPr>
      <w:r w:rsidRPr="00F046FB">
        <w:rPr>
          <w:rFonts w:ascii="宋体" w:hAnsi="宋体" w:hint="eastAsia"/>
          <w:color w:val="000000"/>
          <w:sz w:val="24"/>
        </w:rPr>
        <w:t>本基金本报告期内投资组合平均剩余存续期未超过240天。</w:t>
      </w:r>
    </w:p>
    <w:p w:rsidP="00281564" w:rsidR="00F046FB" w:rsidRDefault="00F046FB" w:rsidRPr="00F046FB">
      <w:pPr>
        <w:spacing w:before="29" w:line="288" w:lineRule="auto"/>
        <w:rPr>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5.5</w:t>
      </w:r>
      <w:r w:rsidR="00902E3F" w:rsidRPr="000E4C40">
        <w:rPr>
          <w:rFonts w:hAnsi="宋体"/>
          <w:b/>
          <w:color w:val="000000"/>
          <w:kern w:val="0"/>
          <w:sz w:val="24"/>
        </w:rPr>
        <w:t>报告期末按债券品种分类的债券投资组合</w:t>
      </w:r>
    </w:p>
    <w:p w:rsidP="00FE3EEE" w:rsidR="00FE3EEE" w:rsidRDefault="00FE3EEE" w:rsidRPr="00FE3EEE">
      <w:pPr>
        <w:spacing w:before="29" w:line="288" w:lineRule="auto"/>
        <w:jc w:val="right"/>
        <w:rPr>
          <w:color w:val="000000"/>
          <w:kern w:val="0"/>
          <w:sz w:val="24"/>
        </w:rPr>
      </w:pPr>
      <w:r w:rsidRPr="00FE3EEE">
        <w:rPr>
          <w:rFonts w:hint="eastAsia"/>
          <w:color w:val="000000"/>
          <w:kern w:val="0"/>
          <w:sz w:val="24"/>
        </w:rPr>
        <w:t/>
      </w:r>
      <w:r w:rsidRPr="00FE3EEE">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786"/>
        <w:gridCol w:w="3096"/>
        <w:gridCol w:w="3097"/>
        <w:gridCol w:w="1889"/>
      </w:tblGrid>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序号</w:t>
            </w:r>
          </w:p>
        </w:tc>
        <w:tc>
          <w:tcPr>
            <w:tcW w:type="dxa" w:w="309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债券品种</w:t>
            </w:r>
            <w:r w:rsidR="006214E4" w:rsidRPr="000E4C40">
              <w:rPr>
                <w:color w:val="000000"/>
                <w:sz w:val="24"/>
              </w:rPr>
              <w:t/>
            </w:r>
          </w:p>
        </w:tc>
        <w:tc>
          <w:tcPr>
            <w:tcW w:type="dxa" w:w="3097"/>
            <w:vAlign w:val="center"/>
          </w:tcPr>
          <w:p w:rsidP="00281564" w:rsidR="007521F9" w:rsidRDefault="00FE3EEE" w:rsidRPr="000E4C40">
            <w:pPr>
              <w:spacing w:before="29" w:line="288" w:lineRule="auto"/>
              <w:ind w:left="17"/>
              <w:jc w:val="center"/>
              <w:rPr>
                <w:color w:val="000000"/>
                <w:sz w:val="24"/>
              </w:rPr>
            </w:pPr>
            <w:r>
              <w:rPr>
                <w:rFonts w:hAnsi="宋体"/>
                <w:sz w:val="24"/>
              </w:rPr>
              <w:t>摊余成本</w:t>
            </w:r>
          </w:p>
        </w:tc>
        <w:tc>
          <w:tcPr>
            <w:tcW w:type="dxa" w:w="1889"/>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占基金资产净值比例</w:t>
            </w:r>
            <w:r w:rsidR="005F3F29" w:rsidRPr="000E4C40">
              <w:rPr>
                <w:rFonts w:hAnsi="宋体"/>
                <w:color w:val="000000"/>
                <w:kern w:val="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1</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国家债券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338,941,593.09</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4.43</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2</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央行票据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3</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金融债券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90,010,934.36</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1.18</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其中：政策性金融债</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90,010,934.36</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1.18</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lastRenderedPageBreak/>
              <w:t>4</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5</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企业短期融资</w:t>
            </w:r>
            <w:r w:rsidR="00BC0205" w:rsidRPr="000E4C40">
              <w:rPr>
                <w:rFonts w:hAnsi="宋体"/>
                <w:color w:val="000000"/>
                <w:sz w:val="24"/>
              </w:rPr>
              <w:t>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410,000,823.17</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5.36</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6</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中期票据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00D30BD3" w:rsidRPr="000E4C40">
              <w:rPr>
                <w:color w:val="000000"/>
                <w:sz w:val="24"/>
              </w:rPr>
              <w:t/>
            </w:r>
            <w:r w:rsidRPr="000E4C40">
              <w:rPr>
                <w:color w:val="000000"/>
                <w:sz w:val="24"/>
              </w:rPr>
              <w:t>-</w:t>
            </w:r>
          </w:p>
        </w:tc>
      </w:tr>
      <w:tr w:rsidR="00F41AA6" w:rsidRPr="000E4C40" w:rsidTr="00FE3EEE">
        <w:trPr>
          <w:jc w:val="center"/>
        </w:trPr>
        <w:tc>
          <w:tcPr>
            <w:tcW w:type="dxa" w:w="786"/>
            <w:vAlign w:val="center"/>
          </w:tcPr>
          <w:p w:rsidP="00FE3EEE" w:rsidR="00F41AA6" w:rsidRDefault="00F41AA6" w:rsidRPr="00432A2C">
            <w:pPr>
              <w:spacing w:before="29" w:line="288" w:lineRule="auto"/>
              <w:ind w:left="17"/>
              <w:jc w:val="center"/>
              <w:rPr>
                <w:color w:val="000000"/>
                <w:sz w:val="24"/>
              </w:rPr>
            </w:pPr>
            <w:r w:rsidRPr="00432A2C">
              <w:rPr>
                <w:rFonts w:hint="eastAsia"/>
                <w:color w:val="000000"/>
                <w:sz w:val="24"/>
              </w:rPr>
              <w:t>7</w:t>
            </w:r>
          </w:p>
        </w:tc>
        <w:tc>
          <w:tcPr>
            <w:tcW w:type="dxa" w:w="3096"/>
            <w:vAlign w:val="center"/>
          </w:tcPr>
          <w:p w:rsidP="00FE3EEE" w:rsidR="00F41AA6" w:rsidRDefault="00F41AA6" w:rsidRPr="00432A2C">
            <w:pPr>
              <w:spacing w:before="29" w:line="288" w:lineRule="auto"/>
              <w:ind w:left="17"/>
              <w:jc w:val="left"/>
              <w:rPr>
                <w:color w:val="000000"/>
                <w:sz w:val="24"/>
              </w:rPr>
            </w:pPr>
            <w:r w:rsidRPr="00432A2C">
              <w:rPr>
                <w:rFonts w:hint="eastAsia"/>
                <w:color w:val="000000"/>
                <w:sz w:val="24"/>
              </w:rPr>
              <w:t>同业存单</w:t>
            </w:r>
          </w:p>
        </w:tc>
        <w:tc>
          <w:tcPr>
            <w:tcW w:type="dxa" w:w="3097"/>
            <w:vAlign w:val="center"/>
          </w:tcPr>
          <w:p w:rsidP="00FE3EEE" w:rsidR="00F41AA6" w:rsidRDefault="00F41AA6" w:rsidRPr="00432A2C">
            <w:pPr>
              <w:spacing w:before="29" w:line="288" w:lineRule="auto"/>
              <w:ind w:left="17"/>
              <w:jc w:val="right"/>
              <w:rPr>
                <w:color w:val="000000"/>
                <w:sz w:val="24"/>
              </w:rPr>
            </w:pPr>
            <w:r w:rsidRPr="00432A2C">
              <w:rPr>
                <w:rFonts w:hint="eastAsia"/>
                <w:color w:val="000000"/>
                <w:sz w:val="24"/>
              </w:rPr>
              <w:t/>
            </w:r>
            <w:r w:rsidRPr="00432A2C">
              <w:rPr>
                <w:color w:val="000000"/>
                <w:sz w:val="24"/>
              </w:rPr>
              <w:t/>
            </w:r>
            <w:r w:rsidRPr="00432A2C">
              <w:rPr>
                <w:rFonts w:hint="eastAsia"/>
                <w:color w:val="000000"/>
                <w:sz w:val="24"/>
              </w:rPr>
              <w:t>1,816,371,022.28</w:t>
            </w:r>
          </w:p>
        </w:tc>
        <w:tc>
          <w:tcPr>
            <w:tcW w:type="dxa" w:w="1889"/>
            <w:vAlign w:val="center"/>
          </w:tcPr>
          <w:p w:rsidP="00FE3EEE" w:rsidR="00F41AA6" w:rsidRDefault="00F41AA6" w:rsidRPr="00432A2C">
            <w:pPr>
              <w:spacing w:before="29" w:line="288" w:lineRule="auto"/>
              <w:ind w:left="17"/>
              <w:jc w:val="right"/>
              <w:rPr>
                <w:color w:val="000000"/>
                <w:sz w:val="24"/>
              </w:rPr>
            </w:pPr>
            <w:r w:rsidRPr="00432A2C">
              <w:rPr>
                <w:rFonts w:hint="eastAsia"/>
                <w:color w:val="000000"/>
                <w:sz w:val="24"/>
              </w:rPr>
              <w:t/>
            </w:r>
            <w:r w:rsidRPr="00432A2C">
              <w:rPr>
                <w:color w:val="000000"/>
                <w:sz w:val="24"/>
              </w:rPr>
              <w:t/>
            </w:r>
            <w:r w:rsidRPr="00432A2C">
              <w:rPr>
                <w:rFonts w:hint="eastAsia"/>
                <w:color w:val="000000"/>
                <w:sz w:val="24"/>
              </w:rPr>
              <w:t>23.75</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00855BA5">
              <w:rPr>
                <w:rFonts w:hint="eastAsia"/>
                <w:color w:val="000000"/>
                <w:sz w:val="24"/>
              </w:rPr>
              <w:t/>
            </w:r>
            <w:r w:rsidRPr="000E4C40">
              <w:rPr>
                <w:color w:val="000000"/>
                <w:sz w:val="24"/>
              </w:rPr>
              <w:t>8</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其他</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Pr="000E4C40">
              <w:rPr>
                <w:color w:val="000000"/>
                <w:sz w:val="24"/>
              </w:rPr>
              <w:lastRenderedPageBreak/>
              <w:t/>
            </w:r>
            <w:r w:rsidR="00855BA5">
              <w:rPr>
                <w:rFonts w:hint="eastAsia"/>
                <w:color w:val="000000"/>
                <w:sz w:val="24"/>
              </w:rPr>
              <w:t/>
            </w:r>
            <w:r w:rsidRPr="000E4C40">
              <w:rPr>
                <w:color w:val="000000"/>
                <w:sz w:val="24"/>
              </w:rPr>
              <w:t>9</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lastRenderedPageBreak/>
              <w:t>合计</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2,655,324,372.90</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lastRenderedPageBreak/>
              <w:t/>
            </w:r>
            <w:r w:rsidRPr="000E4C40">
              <w:rPr>
                <w:color w:val="000000"/>
                <w:sz w:val="24"/>
              </w:rPr>
              <w:lastRenderedPageBreak/>
              <w:t>34.72</w:t>
            </w:r>
          </w:p>
        </w:tc>
      </w:tr>
      <w:tr w:rsidR="00813897" w:rsidRPr="000E4C40" w:rsidTr="00F41AA6">
        <w:trPr>
          <w:jc w:val="center"/>
        </w:trPr>
        <w:tc>
          <w:tcPr>
            <w:tcW w:type="dxa" w:w="786"/>
            <w:vAlign w:val="center"/>
          </w:tcPr>
          <w:p w:rsidP="00855BA5" w:rsidR="00813897" w:rsidRDefault="00813897" w:rsidRPr="000E4C40">
            <w:pPr>
              <w:spacing w:before="29" w:line="288" w:lineRule="auto"/>
              <w:ind w:left="17"/>
              <w:jc w:val="center"/>
              <w:rPr>
                <w:color w:val="000000"/>
                <w:sz w:val="24"/>
              </w:rPr>
            </w:pPr>
            <w:r w:rsidRPr="000E4C40">
              <w:rPr>
                <w:color w:val="000000"/>
                <w:sz w:val="24"/>
              </w:rPr>
              <w:lastRenderedPageBreak/>
              <w:t/>
            </w:r>
            <w:r w:rsidR="00855BA5">
              <w:rPr>
                <w:rFonts w:hint="eastAsia"/>
                <w:color w:val="000000"/>
                <w:sz w:val="24"/>
              </w:rPr>
              <w:t/>
            </w:r>
            <w:r w:rsidRPr="000E4C40">
              <w:rPr>
                <w:color w:val="000000"/>
                <w:sz w:val="24"/>
              </w:rPr>
              <w:t>10</w:t>
            </w:r>
          </w:p>
        </w:tc>
        <w:tc>
          <w:tcPr>
            <w:tcW w:type="dxa" w:w="3096"/>
            <w:vAlign w:val="center"/>
          </w:tcPr>
          <w:p w:rsidP="00281564" w:rsidR="00813897" w:rsidRDefault="00813897" w:rsidRPr="000E4C40">
            <w:pPr>
              <w:spacing w:before="29" w:line="288" w:lineRule="auto"/>
              <w:ind w:left="17"/>
              <w:jc w:val="left"/>
              <w:rPr>
                <w:color w:val="000000"/>
                <w:sz w:val="24"/>
              </w:rPr>
            </w:pPr>
            <w:r w:rsidRPr="000E4C40">
              <w:rPr>
                <w:rFonts w:hAnsi="宋体"/>
                <w:color w:val="000000"/>
                <w:sz w:val="24"/>
              </w:rPr>
              <w:t>剩余存续期超过</w:t>
            </w:r>
            <w:r w:rsidRPr="000E4C40">
              <w:rPr>
                <w:color w:val="000000"/>
                <w:sz w:val="24"/>
              </w:rPr>
              <w:t>397</w:t>
            </w:r>
            <w:r w:rsidRPr="000E4C40">
              <w:rPr>
                <w:rFonts w:hAnsi="宋体"/>
                <w:color w:val="000000"/>
                <w:sz w:val="24"/>
              </w:rPr>
              <w:t>天的浮动利率债券</w:t>
            </w:r>
          </w:p>
        </w:tc>
        <w:tc>
          <w:tcPr>
            <w:tcW w:type="dxa" w:w="3097"/>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r>
    </w:tbl>
    <w:p w:rsidP="00281564" w:rsidR="007521F9" w:rsidRDefault="007521F9" w:rsidRPr="000E4C40">
      <w:pPr>
        <w:spacing w:before="29" w:line="288" w:lineRule="auto"/>
        <w:rPr>
          <w:b/>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5.6</w:t>
      </w:r>
      <w:r w:rsidR="00902E3F" w:rsidRPr="000E4C40">
        <w:rPr>
          <w:rFonts w:hAnsi="宋体"/>
          <w:b/>
          <w:color w:val="000000"/>
          <w:kern w:val="0"/>
          <w:sz w:val="24"/>
        </w:rPr>
        <w:t>报告期末按摊余成本占基金资产净值比例大小排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的前十名债券投资明细</w:t>
      </w:r>
    </w:p>
    <w:p w:rsidP="00E5775C" w:rsidR="00E5775C" w:rsidRDefault="00E5775C" w:rsidRPr="00E5775C">
      <w:pPr>
        <w:spacing w:before="29" w:line="288" w:lineRule="auto"/>
        <w:jc w:val="right"/>
        <w:rPr>
          <w:color w:val="000000"/>
          <w:kern w:val="0"/>
          <w:sz w:val="24"/>
        </w:rPr>
      </w:pPr>
      <w:r w:rsidRPr="00E5775C">
        <w:rPr>
          <w:rFonts w:hint="eastAsia"/>
          <w:color w:val="000000"/>
          <w:kern w:val="0"/>
          <w:sz w:val="24"/>
        </w:rPr>
        <w:t/>
      </w:r>
      <w:r w:rsidRPr="00E5775C">
        <w:rPr>
          <w:rFonts w:hint="eastAsia"/>
          <w:color w:val="000000"/>
          <w:kern w:val="0"/>
          <w:sz w:val="24"/>
        </w:rPr>
        <w:t>金额单位：人民币元</w:t>
      </w:r>
    </w:p>
    <w:tbl>
      <w:tblPr>
        <w:tblStyle w:val="aa"/>
        <w:tblW w:type="dxa" w:w="9302"/>
        <w:jc w:val="center"/>
        <w:tblCellMar>
          <w:top w:type="dxa" w:w="57"/>
          <w:bottom w:type="dxa" w:w="57"/>
        </w:tblCellMar>
        <w:tblLook w:firstColumn="1" w:firstRow="1" w:lastColumn="0" w:lastRow="0" w:noHBand="0" w:noVBand="1" w:val="04A0"/>
      </w:tblPr>
      <w:tblGrid>
        <w:gridCol w:w="1240"/>
        <w:gridCol w:w="1381"/>
        <w:gridCol w:w="1353"/>
        <w:gridCol w:w="1713"/>
        <w:gridCol w:w="1405"/>
        <w:gridCol w:w="2210"/>
      </w:tblGrid>
      <w:tr w:rsidR="00FC3236" w:rsidRPr="000E4C40" w:rsidTr="00FC3236">
        <w:trPr>
          <w:jc w:val="center"/>
        </w:trPr>
        <w:tc>
          <w:tcPr>
            <w:tcW w:type="dxa" w:w="1183"/>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1398"/>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债券代码</w:t>
            </w:r>
          </w:p>
        </w:tc>
        <w:tc>
          <w:tcPr>
            <w:tcW w:type="dxa" w:w="1355"/>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债券名称</w:t>
            </w:r>
          </w:p>
        </w:tc>
        <w:tc>
          <w:tcPr>
            <w:tcW w:type="dxa" w:w="1745"/>
            <w:vAlign w:val="center"/>
          </w:tcPr>
          <w:p w:rsidP="00FC3236"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债券数量</w:t>
            </w:r>
            <w:r w:rsidR="00FC3236">
              <w:rPr>
                <w:rFonts w:hint="eastAsia"/>
                <w:color w:val="000000"/>
                <w:kern w:val="0"/>
                <w:sz w:val="24"/>
              </w:rPr>
              <w:t>(</w:t>
            </w:r>
            <w:r w:rsidR="00FC3236">
              <w:rPr>
                <w:rFonts w:hint="eastAsia"/>
                <w:color w:val="000000"/>
                <w:kern w:val="0"/>
                <w:sz w:val="24"/>
              </w:rPr>
              <w:t>张</w:t>
            </w:r>
            <w:r w:rsidR="00FC3236">
              <w:rPr>
                <w:rFonts w:hint="eastAsia"/>
                <w:color w:val="000000"/>
                <w:kern w:val="0"/>
                <w:sz w:val="24"/>
              </w:rPr>
              <w:t>)</w:t>
            </w:r>
          </w:p>
        </w:tc>
        <w:tc>
          <w:tcPr>
            <w:tcW w:type="dxa" w:w="1435"/>
            <w:vAlign w:val="center"/>
          </w:tcPr>
          <w:p w:rsidP="00281564" w:rsidR="00343648" w:rsidRDefault="00501830" w:rsidRPr="000E4C40">
            <w:pPr>
              <w:autoSpaceDE w:val="0"/>
              <w:autoSpaceDN w:val="0"/>
              <w:adjustRightInd w:val="0"/>
              <w:spacing w:before="29" w:line="288" w:lineRule="auto"/>
              <w:ind w:left="15"/>
              <w:jc w:val="center"/>
              <w:rPr>
                <w:color w:val="000000"/>
                <w:kern w:val="0"/>
                <w:sz w:val="24"/>
              </w:rPr>
            </w:pPr>
            <w:r>
              <w:rPr>
                <w:rFonts w:hAnsi="宋体"/>
                <w:color w:val="000000"/>
                <w:kern w:val="0"/>
                <w:sz w:val="24"/>
              </w:rPr>
              <w:t>摊余成本</w:t>
            </w:r>
          </w:p>
        </w:tc>
        <w:tc>
          <w:tcPr>
            <w:tcW w:type="dxa" w:w="2186"/>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占基金资产净值比例（％）</w:t>
            </w:r>
          </w:p>
        </w:tc>
      </w:tr>
      <w:tr>
        <w:tc>
          <w:tcPr>
            <w:vAlign w:val="center"/>
          </w:tcPr>
          <w:p>
            <w:pPr>
              <w:jc w:val="center"/>
            </w:pPr>
            <w:r>
              <w:rPr>
                <w:color w:val="000000"/>
                <w:sz w:val="24"/>
              </w:rPr>
              <w:t>1</w:t>
            </w:r>
          </w:p>
        </w:tc>
        <w:tc>
          <w:tcPr>
            <w:vAlign w:val="center"/>
          </w:tcPr>
          <w:p>
            <w:pPr>
              <w:jc w:val="center"/>
            </w:pPr>
            <w:r>
              <w:rPr>
                <w:color w:val="000000"/>
                <w:sz w:val="24"/>
              </w:rPr>
              <w:t>071900096</w:t>
            </w:r>
          </w:p>
        </w:tc>
        <w:tc>
          <w:tcPr>
            <w:vAlign w:val="center"/>
          </w:tcPr>
          <w:p>
            <w:pPr>
              <w:jc w:val="center"/>
            </w:pPr>
            <w:r>
              <w:rPr>
                <w:color w:val="000000"/>
                <w:sz w:val="24"/>
              </w:rPr>
              <w:t>19国元证券CP002</w:t>
            </w:r>
          </w:p>
        </w:tc>
        <w:tc>
          <w:tcPr>
            <w:vAlign w:val="center"/>
          </w:tcPr>
          <w:p>
            <w:pPr>
              <w:jc w:val="right"/>
            </w:pPr>
            <w:r>
              <w:rPr>
                <w:color w:val="000000"/>
                <w:sz w:val="24"/>
              </w:rPr>
              <w:t>1,000,000</w:t>
            </w:r>
          </w:p>
        </w:tc>
        <w:tc>
          <w:tcPr>
            <w:vAlign w:val="center"/>
          </w:tcPr>
          <w:p>
            <w:pPr>
              <w:jc w:val="right"/>
            </w:pPr>
            <w:r>
              <w:rPr>
                <w:color w:val="000000"/>
                <w:sz w:val="24"/>
              </w:rPr>
              <w:t>100,000,115.13</w:t>
            </w:r>
          </w:p>
        </w:tc>
        <w:tc>
          <w:tcPr>
            <w:vAlign w:val="center"/>
          </w:tcPr>
          <w:p>
            <w:pPr>
              <w:jc w:val="right"/>
            </w:pPr>
            <w:r>
              <w:rPr>
                <w:color w:val="000000"/>
                <w:sz w:val="24"/>
              </w:rPr>
              <w:t>1.31</w:t>
            </w:r>
          </w:p>
        </w:tc>
      </w:tr>
      <w:tr>
        <w:tc>
          <w:tcPr>
            <w:vAlign w:val="center"/>
          </w:tcPr>
          <w:p>
            <w:pPr>
              <w:jc w:val="center"/>
            </w:pPr>
            <w:r>
              <w:rPr>
                <w:color w:val="000000"/>
                <w:sz w:val="24"/>
              </w:rPr>
              <w:t>2</w:t>
            </w:r>
          </w:p>
        </w:tc>
        <w:tc>
          <w:tcPr>
            <w:vAlign w:val="center"/>
          </w:tcPr>
          <w:p>
            <w:pPr>
              <w:jc w:val="center"/>
            </w:pPr>
            <w:r>
              <w:rPr>
                <w:color w:val="000000"/>
                <w:sz w:val="24"/>
              </w:rPr>
              <w:t>071900094</w:t>
            </w:r>
          </w:p>
        </w:tc>
        <w:tc>
          <w:tcPr>
            <w:vAlign w:val="center"/>
          </w:tcPr>
          <w:p>
            <w:pPr>
              <w:jc w:val="center"/>
            </w:pPr>
            <w:r>
              <w:rPr>
                <w:color w:val="000000"/>
                <w:sz w:val="24"/>
              </w:rPr>
              <w:t>19招商证券CP011BC</w:t>
            </w:r>
          </w:p>
        </w:tc>
        <w:tc>
          <w:tcPr>
            <w:vAlign w:val="center"/>
          </w:tcPr>
          <w:p>
            <w:pPr>
              <w:jc w:val="right"/>
            </w:pPr>
            <w:r>
              <w:rPr>
                <w:color w:val="000000"/>
                <w:sz w:val="24"/>
              </w:rPr>
              <w:t>1,000,000</w:t>
            </w:r>
          </w:p>
        </w:tc>
        <w:tc>
          <w:tcPr>
            <w:vAlign w:val="center"/>
          </w:tcPr>
          <w:p>
            <w:pPr>
              <w:jc w:val="right"/>
            </w:pPr>
            <w:r>
              <w:rPr>
                <w:color w:val="000000"/>
                <w:sz w:val="24"/>
              </w:rPr>
              <w:t>100,000,108.42</w:t>
            </w:r>
          </w:p>
        </w:tc>
        <w:tc>
          <w:tcPr>
            <w:vAlign w:val="center"/>
          </w:tcPr>
          <w:p>
            <w:pPr>
              <w:jc w:val="right"/>
            </w:pPr>
            <w:r>
              <w:rPr>
                <w:color w:val="000000"/>
                <w:sz w:val="24"/>
              </w:rPr>
              <w:t>1.31</w:t>
            </w:r>
          </w:p>
        </w:tc>
      </w:tr>
      <w:tr>
        <w:tc>
          <w:tcPr>
            <w:vAlign w:val="center"/>
          </w:tcPr>
          <w:p>
            <w:pPr>
              <w:jc w:val="center"/>
            </w:pPr>
            <w:r>
              <w:rPr>
                <w:color w:val="000000"/>
                <w:sz w:val="24"/>
              </w:rPr>
              <w:t>3</w:t>
            </w:r>
          </w:p>
        </w:tc>
        <w:tc>
          <w:tcPr>
            <w:vAlign w:val="center"/>
          </w:tcPr>
          <w:p>
            <w:pPr>
              <w:jc w:val="center"/>
            </w:pPr>
            <w:r>
              <w:rPr>
                <w:color w:val="000000"/>
                <w:sz w:val="24"/>
              </w:rPr>
              <w:t>199936</w:t>
            </w:r>
          </w:p>
        </w:tc>
        <w:tc>
          <w:tcPr>
            <w:vAlign w:val="center"/>
          </w:tcPr>
          <w:p>
            <w:pPr>
              <w:jc w:val="center"/>
            </w:pPr>
            <w:r>
              <w:rPr>
                <w:color w:val="000000"/>
                <w:sz w:val="24"/>
              </w:rPr>
              <w:t>19贴现国债36</w:t>
            </w:r>
          </w:p>
        </w:tc>
        <w:tc>
          <w:tcPr>
            <w:vAlign w:val="center"/>
          </w:tcPr>
          <w:p>
            <w:pPr>
              <w:jc w:val="right"/>
            </w:pPr>
            <w:r>
              <w:rPr>
                <w:color w:val="000000"/>
                <w:sz w:val="24"/>
              </w:rPr>
              <w:t>1,000,000</w:t>
            </w:r>
          </w:p>
        </w:tc>
        <w:tc>
          <w:tcPr>
            <w:vAlign w:val="center"/>
          </w:tcPr>
          <w:p>
            <w:pPr>
              <w:jc w:val="right"/>
            </w:pPr>
            <w:r>
              <w:rPr>
                <w:color w:val="000000"/>
                <w:sz w:val="24"/>
              </w:rPr>
              <w:t>99,650,032.06</w:t>
            </w:r>
          </w:p>
        </w:tc>
        <w:tc>
          <w:tcPr>
            <w:vAlign w:val="center"/>
          </w:tcPr>
          <w:p>
            <w:pPr>
              <w:jc w:val="right"/>
            </w:pPr>
            <w:r>
              <w:rPr>
                <w:color w:val="000000"/>
                <w:sz w:val="24"/>
              </w:rPr>
              <w:t>1.30</w:t>
            </w:r>
          </w:p>
        </w:tc>
      </w:tr>
      <w:tr>
        <w:tc>
          <w:tcPr>
            <w:vAlign w:val="center"/>
          </w:tcPr>
          <w:p>
            <w:pPr>
              <w:jc w:val="center"/>
            </w:pPr>
            <w:r>
              <w:rPr>
                <w:color w:val="000000"/>
                <w:sz w:val="24"/>
              </w:rPr>
              <w:t>4</w:t>
            </w:r>
          </w:p>
        </w:tc>
        <w:tc>
          <w:tcPr>
            <w:vAlign w:val="center"/>
          </w:tcPr>
          <w:p>
            <w:pPr>
              <w:jc w:val="center"/>
            </w:pPr>
            <w:r>
              <w:rPr>
                <w:color w:val="000000"/>
                <w:sz w:val="24"/>
              </w:rPr>
              <w:t>111987273</w:t>
            </w:r>
          </w:p>
        </w:tc>
        <w:tc>
          <w:tcPr>
            <w:vAlign w:val="center"/>
          </w:tcPr>
          <w:p>
            <w:pPr>
              <w:jc w:val="center"/>
            </w:pPr>
            <w:r>
              <w:rPr>
                <w:color w:val="000000"/>
                <w:sz w:val="24"/>
              </w:rPr>
              <w:t>19昆仑银行CD055</w:t>
            </w:r>
          </w:p>
        </w:tc>
        <w:tc>
          <w:tcPr>
            <w:vAlign w:val="center"/>
          </w:tcPr>
          <w:p>
            <w:pPr>
              <w:jc w:val="right"/>
            </w:pPr>
            <w:r>
              <w:rPr>
                <w:color w:val="000000"/>
                <w:sz w:val="24"/>
              </w:rPr>
              <w:t>1,000,000</w:t>
            </w:r>
          </w:p>
        </w:tc>
        <w:tc>
          <w:tcPr>
            <w:vAlign w:val="center"/>
          </w:tcPr>
          <w:p>
            <w:pPr>
              <w:jc w:val="right"/>
            </w:pPr>
            <w:r>
              <w:rPr>
                <w:color w:val="000000"/>
                <w:sz w:val="24"/>
              </w:rPr>
              <w:t>99,466,046.03</w:t>
            </w:r>
          </w:p>
        </w:tc>
        <w:tc>
          <w:tcPr>
            <w:vAlign w:val="center"/>
          </w:tcPr>
          <w:p>
            <w:pPr>
              <w:jc w:val="right"/>
            </w:pPr>
            <w:r>
              <w:rPr>
                <w:color w:val="000000"/>
                <w:sz w:val="24"/>
              </w:rPr>
              <w:t>1.30</w:t>
            </w:r>
          </w:p>
        </w:tc>
      </w:tr>
      <w:tr>
        <w:tc>
          <w:tcPr>
            <w:vAlign w:val="center"/>
          </w:tcPr>
          <w:p>
            <w:pPr>
              <w:jc w:val="center"/>
            </w:pPr>
            <w:r>
              <w:rPr>
                <w:color w:val="000000"/>
                <w:sz w:val="24"/>
              </w:rPr>
              <w:t>5</w:t>
            </w:r>
          </w:p>
        </w:tc>
        <w:tc>
          <w:tcPr>
            <w:vAlign w:val="center"/>
          </w:tcPr>
          <w:p>
            <w:pPr>
              <w:jc w:val="center"/>
            </w:pPr>
            <w:r>
              <w:rPr>
                <w:color w:val="000000"/>
                <w:sz w:val="24"/>
              </w:rPr>
              <w:t>111987404</w:t>
            </w:r>
          </w:p>
        </w:tc>
        <w:tc>
          <w:tcPr>
            <w:vAlign w:val="center"/>
          </w:tcPr>
          <w:p>
            <w:pPr>
              <w:jc w:val="center"/>
            </w:pPr>
            <w:r>
              <w:rPr>
                <w:color w:val="000000"/>
                <w:sz w:val="24"/>
              </w:rPr>
              <w:t>19兰州银行CD057</w:t>
            </w:r>
          </w:p>
        </w:tc>
        <w:tc>
          <w:tcPr>
            <w:vAlign w:val="center"/>
          </w:tcPr>
          <w:p>
            <w:pPr>
              <w:jc w:val="right"/>
            </w:pPr>
            <w:r>
              <w:rPr>
                <w:color w:val="000000"/>
                <w:sz w:val="24"/>
              </w:rPr>
              <w:t>1,000,000</w:t>
            </w:r>
          </w:p>
        </w:tc>
        <w:tc>
          <w:tcPr>
            <w:vAlign w:val="center"/>
          </w:tcPr>
          <w:p>
            <w:pPr>
              <w:jc w:val="right"/>
            </w:pPr>
            <w:r>
              <w:rPr>
                <w:color w:val="000000"/>
                <w:sz w:val="24"/>
              </w:rPr>
              <w:t>99,448,851.44</w:t>
            </w:r>
          </w:p>
        </w:tc>
        <w:tc>
          <w:tcPr>
            <w:vAlign w:val="center"/>
          </w:tcPr>
          <w:p>
            <w:pPr>
              <w:jc w:val="right"/>
            </w:pPr>
            <w:r>
              <w:rPr>
                <w:color w:val="000000"/>
                <w:sz w:val="24"/>
              </w:rPr>
              <w:t>1.30</w:t>
            </w:r>
          </w:p>
        </w:tc>
      </w:tr>
      <w:tr>
        <w:tc>
          <w:tcPr>
            <w:vAlign w:val="center"/>
          </w:tcPr>
          <w:p>
            <w:pPr>
              <w:jc w:val="center"/>
            </w:pPr>
            <w:r>
              <w:rPr>
                <w:color w:val="000000"/>
                <w:sz w:val="24"/>
              </w:rPr>
              <w:t>6</w:t>
            </w:r>
          </w:p>
        </w:tc>
        <w:tc>
          <w:tcPr>
            <w:vAlign w:val="center"/>
          </w:tcPr>
          <w:p>
            <w:pPr>
              <w:jc w:val="center"/>
            </w:pPr>
            <w:r>
              <w:rPr>
                <w:color w:val="000000"/>
                <w:sz w:val="24"/>
              </w:rPr>
              <w:t>111988108</w:t>
            </w:r>
          </w:p>
        </w:tc>
        <w:tc>
          <w:tcPr>
            <w:vAlign w:val="center"/>
          </w:tcPr>
          <w:p>
            <w:pPr>
              <w:jc w:val="center"/>
            </w:pPr>
            <w:r>
              <w:rPr>
                <w:color w:val="000000"/>
                <w:sz w:val="24"/>
              </w:rPr>
              <w:t>19长沙银行CD197</w:t>
            </w:r>
          </w:p>
        </w:tc>
        <w:tc>
          <w:tcPr>
            <w:vAlign w:val="center"/>
          </w:tcPr>
          <w:p>
            <w:pPr>
              <w:jc w:val="right"/>
            </w:pPr>
            <w:r>
              <w:rPr>
                <w:color w:val="000000"/>
                <w:sz w:val="24"/>
              </w:rPr>
              <w:t>1,000,000</w:t>
            </w:r>
          </w:p>
        </w:tc>
        <w:tc>
          <w:tcPr>
            <w:vAlign w:val="center"/>
          </w:tcPr>
          <w:p>
            <w:pPr>
              <w:jc w:val="right"/>
            </w:pPr>
            <w:r>
              <w:rPr>
                <w:color w:val="000000"/>
                <w:sz w:val="24"/>
              </w:rPr>
              <w:t>99,420,144.75</w:t>
            </w:r>
          </w:p>
        </w:tc>
        <w:tc>
          <w:tcPr>
            <w:vAlign w:val="center"/>
          </w:tcPr>
          <w:p>
            <w:pPr>
              <w:jc w:val="right"/>
            </w:pPr>
            <w:r>
              <w:rPr>
                <w:color w:val="000000"/>
                <w:sz w:val="24"/>
              </w:rPr>
              <w:t>1.30</w:t>
            </w:r>
          </w:p>
        </w:tc>
      </w:tr>
      <w:tr>
        <w:tc>
          <w:tcPr>
            <w:vAlign w:val="center"/>
          </w:tcPr>
          <w:p>
            <w:pPr>
              <w:jc w:val="center"/>
            </w:pPr>
            <w:r>
              <w:rPr>
                <w:color w:val="000000"/>
                <w:sz w:val="24"/>
              </w:rPr>
              <w:t>7</w:t>
            </w:r>
          </w:p>
        </w:tc>
        <w:tc>
          <w:tcPr>
            <w:vAlign w:val="center"/>
          </w:tcPr>
          <w:p>
            <w:pPr>
              <w:jc w:val="center"/>
            </w:pPr>
            <w:r>
              <w:rPr>
                <w:color w:val="000000"/>
                <w:sz w:val="24"/>
              </w:rPr>
              <w:t>111921242</w:t>
            </w:r>
          </w:p>
        </w:tc>
        <w:tc>
          <w:tcPr>
            <w:vAlign w:val="center"/>
          </w:tcPr>
          <w:p>
            <w:pPr>
              <w:jc w:val="center"/>
            </w:pPr>
            <w:r>
              <w:rPr>
                <w:color w:val="000000"/>
                <w:sz w:val="24"/>
              </w:rPr>
              <w:t>19渤海银行CD242</w:t>
            </w:r>
          </w:p>
        </w:tc>
        <w:tc>
          <w:tcPr>
            <w:vAlign w:val="center"/>
          </w:tcPr>
          <w:p>
            <w:pPr>
              <w:jc w:val="right"/>
            </w:pPr>
            <w:r>
              <w:rPr>
                <w:color w:val="000000"/>
                <w:sz w:val="24"/>
              </w:rPr>
              <w:t>900,000</w:t>
            </w:r>
          </w:p>
        </w:tc>
        <w:tc>
          <w:tcPr>
            <w:vAlign w:val="center"/>
          </w:tcPr>
          <w:p>
            <w:pPr>
              <w:jc w:val="right"/>
            </w:pPr>
            <w:r>
              <w:rPr>
                <w:color w:val="000000"/>
                <w:sz w:val="24"/>
              </w:rPr>
              <w:t>89,212,684.51</w:t>
            </w:r>
          </w:p>
        </w:tc>
        <w:tc>
          <w:tcPr>
            <w:vAlign w:val="center"/>
          </w:tcPr>
          <w:p>
            <w:pPr>
              <w:jc w:val="right"/>
            </w:pPr>
            <w:r>
              <w:rPr>
                <w:color w:val="000000"/>
                <w:sz w:val="24"/>
              </w:rPr>
              <w:t>1.17</w:t>
            </w:r>
          </w:p>
        </w:tc>
      </w:tr>
      <w:tr>
        <w:tc>
          <w:tcPr>
            <w:vAlign w:val="center"/>
          </w:tcPr>
          <w:p>
            <w:pPr>
              <w:jc w:val="center"/>
            </w:pPr>
            <w:r>
              <w:rPr>
                <w:color w:val="000000"/>
                <w:sz w:val="24"/>
              </w:rPr>
              <w:t>8</w:t>
            </w:r>
          </w:p>
        </w:tc>
        <w:tc>
          <w:tcPr>
            <w:vAlign w:val="center"/>
          </w:tcPr>
          <w:p>
            <w:pPr>
              <w:jc w:val="center"/>
            </w:pPr>
            <w:r>
              <w:rPr>
                <w:color w:val="000000"/>
                <w:sz w:val="24"/>
              </w:rPr>
              <w:t>071900093</w:t>
            </w:r>
          </w:p>
        </w:tc>
        <w:tc>
          <w:tcPr>
            <w:vAlign w:val="center"/>
          </w:tcPr>
          <w:p>
            <w:pPr>
              <w:jc w:val="center"/>
            </w:pPr>
            <w:r>
              <w:rPr>
                <w:color w:val="000000"/>
                <w:sz w:val="24"/>
              </w:rPr>
              <w:t>19东方证券CP003</w:t>
            </w:r>
          </w:p>
        </w:tc>
        <w:tc>
          <w:tcPr>
            <w:vAlign w:val="center"/>
          </w:tcPr>
          <w:p>
            <w:pPr>
              <w:jc w:val="right"/>
            </w:pPr>
            <w:r>
              <w:rPr>
                <w:color w:val="000000"/>
                <w:sz w:val="24"/>
              </w:rPr>
              <w:t>800,000</w:t>
            </w:r>
          </w:p>
        </w:tc>
        <w:tc>
          <w:tcPr>
            <w:vAlign w:val="center"/>
          </w:tcPr>
          <w:p>
            <w:pPr>
              <w:jc w:val="right"/>
            </w:pPr>
            <w:r>
              <w:rPr>
                <w:color w:val="000000"/>
                <w:sz w:val="24"/>
              </w:rPr>
              <w:t>80,000,108.36</w:t>
            </w:r>
          </w:p>
        </w:tc>
        <w:tc>
          <w:tcPr>
            <w:vAlign w:val="center"/>
          </w:tcPr>
          <w:p>
            <w:pPr>
              <w:jc w:val="right"/>
            </w:pPr>
            <w:r>
              <w:rPr>
                <w:color w:val="000000"/>
                <w:sz w:val="24"/>
              </w:rPr>
              <w:t>1.05</w:t>
            </w:r>
          </w:p>
        </w:tc>
      </w:tr>
      <w:tr>
        <w:tc>
          <w:tcPr>
            <w:vAlign w:val="center"/>
          </w:tcPr>
          <w:p>
            <w:pPr>
              <w:jc w:val="center"/>
            </w:pPr>
            <w:r>
              <w:rPr>
                <w:color w:val="000000"/>
                <w:sz w:val="24"/>
              </w:rPr>
              <w:t>9</w:t>
            </w:r>
          </w:p>
        </w:tc>
        <w:tc>
          <w:tcPr>
            <w:vAlign w:val="center"/>
          </w:tcPr>
          <w:p>
            <w:pPr>
              <w:jc w:val="center"/>
            </w:pPr>
            <w:r>
              <w:rPr>
                <w:color w:val="000000"/>
                <w:sz w:val="24"/>
              </w:rPr>
              <w:t>111921290</w:t>
            </w:r>
          </w:p>
        </w:tc>
        <w:tc>
          <w:tcPr>
            <w:vAlign w:val="center"/>
          </w:tcPr>
          <w:p>
            <w:pPr>
              <w:jc w:val="center"/>
            </w:pPr>
            <w:r>
              <w:rPr>
                <w:color w:val="000000"/>
                <w:sz w:val="24"/>
              </w:rPr>
              <w:t>19渤海银行CD290</w:t>
            </w:r>
          </w:p>
        </w:tc>
        <w:tc>
          <w:tcPr>
            <w:vAlign w:val="center"/>
          </w:tcPr>
          <w:p>
            <w:pPr>
              <w:jc w:val="right"/>
            </w:pPr>
            <w:r>
              <w:rPr>
                <w:color w:val="000000"/>
                <w:sz w:val="24"/>
              </w:rPr>
              <w:t>800,000</w:t>
            </w:r>
          </w:p>
        </w:tc>
        <w:tc>
          <w:tcPr>
            <w:vAlign w:val="center"/>
          </w:tcPr>
          <w:p>
            <w:pPr>
              <w:jc w:val="right"/>
            </w:pPr>
            <w:r>
              <w:rPr>
                <w:color w:val="000000"/>
                <w:sz w:val="24"/>
              </w:rPr>
              <w:t>79,733,530.02</w:t>
            </w:r>
          </w:p>
        </w:tc>
        <w:tc>
          <w:tcPr>
            <w:vAlign w:val="center"/>
          </w:tcPr>
          <w:p>
            <w:pPr>
              <w:jc w:val="right"/>
            </w:pPr>
            <w:r>
              <w:rPr>
                <w:color w:val="000000"/>
                <w:sz w:val="24"/>
              </w:rPr>
              <w:t>1.04</w:t>
            </w:r>
          </w:p>
        </w:tc>
      </w:tr>
      <w:tr>
        <w:tc>
          <w:tcPr>
            <w:vAlign w:val="center"/>
          </w:tcPr>
          <w:p>
            <w:pPr>
              <w:jc w:val="center"/>
            </w:pPr>
            <w:r>
              <w:rPr>
                <w:color w:val="000000"/>
                <w:sz w:val="24"/>
              </w:rPr>
              <w:t>10</w:t>
            </w:r>
          </w:p>
        </w:tc>
        <w:tc>
          <w:tcPr>
            <w:vAlign w:val="center"/>
          </w:tcPr>
          <w:p>
            <w:pPr>
              <w:jc w:val="center"/>
            </w:pPr>
            <w:r>
              <w:rPr>
                <w:color w:val="000000"/>
                <w:sz w:val="24"/>
              </w:rPr>
              <w:t>111921301</w:t>
            </w:r>
          </w:p>
        </w:tc>
        <w:tc>
          <w:tcPr>
            <w:vAlign w:val="center"/>
          </w:tcPr>
          <w:p>
            <w:pPr>
              <w:jc w:val="center"/>
            </w:pPr>
            <w:r>
              <w:rPr>
                <w:color w:val="000000"/>
                <w:sz w:val="24"/>
              </w:rPr>
              <w:t>19渤海银行CD301</w:t>
            </w:r>
          </w:p>
        </w:tc>
        <w:tc>
          <w:tcPr>
            <w:vAlign w:val="center"/>
          </w:tcPr>
          <w:p>
            <w:pPr>
              <w:jc w:val="right"/>
            </w:pPr>
            <w:r>
              <w:rPr>
                <w:color w:val="000000"/>
                <w:sz w:val="24"/>
              </w:rPr>
              <w:t>800,000</w:t>
            </w:r>
          </w:p>
        </w:tc>
        <w:tc>
          <w:tcPr>
            <w:vAlign w:val="center"/>
          </w:tcPr>
          <w:p>
            <w:pPr>
              <w:jc w:val="right"/>
            </w:pPr>
            <w:r>
              <w:rPr>
                <w:color w:val="000000"/>
                <w:sz w:val="24"/>
              </w:rPr>
              <w:t>79,691,117.49</w:t>
            </w:r>
          </w:p>
        </w:tc>
        <w:tc>
          <w:tcPr>
            <w:vAlign w:val="center"/>
          </w:tcPr>
          <w:p>
            <w:pPr>
              <w:jc w:val="right"/>
            </w:pPr>
            <w:r>
              <w:rPr>
                <w:color w:val="000000"/>
                <w:sz w:val="24"/>
              </w:rPr>
              <w:t>1.04</w:t>
            </w:r>
          </w:p>
        </w:tc>
      </w:tr>
    </w:tbl>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5.7</w:t>
      </w:r>
      <w:r w:rsidR="00902E3F" w:rsidRPr="000E4C40">
        <w:rPr>
          <w:b/>
          <w:color w:val="000000"/>
          <w:kern w:val="0"/>
          <w:sz w:val="24"/>
        </w:rPr>
        <w:t>“</w:t>
      </w:r>
      <w:r w:rsidR="00902E3F" w:rsidRPr="000E4C40">
        <w:rPr>
          <w:rFonts w:hAnsi="宋体"/>
          <w:b/>
          <w:color w:val="000000"/>
          <w:kern w:val="0"/>
          <w:sz w:val="24"/>
        </w:rPr>
        <w:t>影子定价</w:t>
      </w:r>
      <w:r w:rsidR="00902E3F" w:rsidRPr="000E4C40">
        <w:rPr>
          <w:b/>
          <w:color w:val="000000"/>
          <w:kern w:val="0"/>
          <w:sz w:val="24"/>
        </w:rPr>
        <w:t>”</w:t>
      </w:r>
      <w:r w:rsidR="00902E3F" w:rsidRPr="000E4C40">
        <w:rPr>
          <w:rFonts w:hAnsi="宋体"/>
          <w:b/>
          <w:color w:val="000000"/>
          <w:kern w:val="0"/>
          <w:sz w:val="24"/>
        </w:rPr>
        <w:t>与</w:t>
      </w:r>
      <w:r w:rsidR="00902E3F" w:rsidRPr="000E4C40">
        <w:rPr>
          <w:b/>
          <w:color w:val="000000"/>
          <w:kern w:val="0"/>
          <w:sz w:val="24"/>
        </w:rPr>
        <w:t>“</w:t>
      </w:r>
      <w:r w:rsidR="00902E3F" w:rsidRPr="000E4C40">
        <w:rPr>
          <w:rFonts w:hAnsi="宋体"/>
          <w:b/>
          <w:color w:val="000000"/>
          <w:kern w:val="0"/>
          <w:sz w:val="24"/>
        </w:rPr>
        <w:t>摊余成本法</w:t>
      </w:r>
      <w:r w:rsidR="00902E3F" w:rsidRPr="000E4C40">
        <w:rPr>
          <w:b/>
          <w:color w:val="000000"/>
          <w:kern w:val="0"/>
          <w:sz w:val="24"/>
        </w:rPr>
        <w:t>”</w:t>
      </w:r>
      <w:r w:rsidR="00902E3F" w:rsidRPr="000E4C40">
        <w:rPr>
          <w:rFonts w:hAnsi="宋体"/>
          <w:b/>
          <w:color w:val="000000"/>
          <w:kern w:val="0"/>
          <w:sz w:val="24"/>
        </w:rPr>
        <w:t>确定的基金资产净值的偏离</w:t>
      </w:r>
    </w:p>
    <w:tbl>
      <w:tblPr>
        <w:tblW w:type="dxa" w:w="8868"/>
        <w:jc w:val="center"/>
        <w:tblLayout w:type="fixed"/>
        <w:tblLook w:firstColumn="0" w:firstRow="0" w:lastColumn="0" w:lastRow="0" w:noHBand="0" w:noVBand="0" w:val="0000"/>
      </w:tblPr>
      <w:tblGrid>
        <w:gridCol w:w="5604"/>
        <w:gridCol w:w="3264"/>
      </w:tblGrid>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6D4647" w:rsidRPr="000E4C40">
              <w:rPr>
                <w:color w:val="000000"/>
                <w:kern w:val="0"/>
                <w:sz w:val="24"/>
              </w:rPr>
              <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偏离情况</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报告期内偏离度的绝对值在</w:t>
            </w:r>
            <w:r w:rsidRPr="000E4C40">
              <w:rPr>
                <w:color w:val="000000"/>
                <w:kern w:val="0"/>
                <w:sz w:val="24"/>
              </w:rPr>
              <w:t>0.25(</w:t>
            </w:r>
            <w:r w:rsidRPr="000E4C40">
              <w:rPr>
                <w:rFonts w:hAnsi="宋体"/>
                <w:color w:val="000000"/>
                <w:kern w:val="0"/>
                <w:sz w:val="24"/>
              </w:rPr>
              <w:t>含</w:t>
            </w:r>
            <w:r w:rsidRPr="000E4C40">
              <w:rPr>
                <w:color w:val="000000"/>
                <w:kern w:val="0"/>
                <w:sz w:val="24"/>
              </w:rPr>
              <w:t>)-0.5%</w:t>
            </w:r>
            <w:r w:rsidRPr="000E4C40">
              <w:rPr>
                <w:rFonts w:hAnsi="宋体"/>
                <w:color w:val="000000"/>
                <w:kern w:val="0"/>
                <w:sz w:val="24"/>
              </w:rPr>
              <w:t>间的次数</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
            </w:r>
            <w:r w:rsidRPr="000E4C40">
              <w:rPr>
                <w:color w:val="000000"/>
                <w:sz w:val="24"/>
              </w:rPr>
              <w:lastRenderedPageBreak/>
              <w:t>0</w:t>
            </w:r>
            <w:r w:rsidR="006D4647" w:rsidRPr="000E4C40">
              <w:rPr>
                <w:rFonts w:hAnsi="宋体"/>
                <w:color w:val="000000"/>
                <w:sz w:val="24"/>
              </w:rPr>
              <w:t>次</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报告期内偏离度的最高值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0.0319%</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报告期内偏离度的最低值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0.0041%</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报告期内每个交易日偏离度的绝对值的简单平均值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0.0136%</w:t>
            </w:r>
          </w:p>
        </w:tc>
      </w:tr>
    </w:tbl>
    <w:p w:rsidP="00281564" w:rsidR="00BE5584" w:rsidRDefault="00BE5584">
      <w:pPr>
        <w:autoSpaceDE w:val="0"/>
        <w:autoSpaceDN w:val="0"/>
        <w:adjustRightInd w:val="0"/>
        <w:spacing w:before="29" w:line="288" w:lineRule="auto"/>
        <w:jc w:val="left"/>
        <w:rPr>
          <w:color w:val="000000"/>
          <w:kern w:val="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报告期内负偏离度的绝对值达到0.25%情况说明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本基金本报告期内未存在负偏离度的绝对值达到0.25%情况。</w:t>
      </w:r>
    </w:p>
    <w:p w:rsidP="002304D5" w:rsidR="002304D5" w:rsidRDefault="002304D5" w:rsidRPr="002304D5">
      <w:pPr>
        <w:autoSpaceDE w:val="0"/>
        <w:autoSpaceDN w:val="0"/>
        <w:adjustRightInd w:val="0"/>
        <w:spacing w:line="360" w:lineRule="auto"/>
        <w:jc w:val="left"/>
        <w:rPr>
          <w:rFonts w:ascii="宋体" w:hAnsi="宋体"/>
          <w:color w:val="00000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报告期内正偏离度的绝对值达到0.5%情况说明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本基金本报告期内未存在正偏离度的绝对值达到0.5%情况。</w:t>
      </w:r>
    </w:p>
    <w:p w:rsidP="00281564" w:rsidR="002304D5" w:rsidRDefault="002304D5" w:rsidRPr="002304D5">
      <w:pPr>
        <w:autoSpaceDE w:val="0"/>
        <w:autoSpaceDN w:val="0"/>
        <w:adjustRightInd w:val="0"/>
        <w:spacing w:before="29" w:line="288" w:lineRule="auto"/>
        <w:jc w:val="left"/>
        <w:rPr>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5.8</w:t>
      </w:r>
      <w:r w:rsidR="00902E3F" w:rsidRPr="000E4C40">
        <w:rPr>
          <w:rFonts w:hAnsi="宋体"/>
          <w:b/>
          <w:color w:val="000000"/>
          <w:kern w:val="0"/>
          <w:sz w:val="24"/>
        </w:rPr>
        <w:t>报告期末按公允价值占基金资产净值比例大小排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的前十名资产支持证券投资明细</w:t>
      </w:r>
    </w:p>
    <w:p w:rsidP="00E97D49" w:rsidR="00E97D49" w:rsidRDefault="00E97D49" w:rsidRPr="00E97D49">
      <w:pPr>
        <w:spacing w:before="29" w:line="288" w:lineRule="auto"/>
        <w:jc w:val="right"/>
        <w:rPr>
          <w:color w:val="000000"/>
          <w:kern w:val="0"/>
          <w:sz w:val="24"/>
        </w:rPr>
      </w:pPr>
      <w:r w:rsidRPr="00E97D49">
        <w:rPr>
          <w:rFonts w:hint="eastAsia"/>
          <w:color w:val="000000"/>
          <w:kern w:val="0"/>
          <w:sz w:val="24"/>
        </w:rPr>
        <w:t/>
      </w:r>
      <w:r w:rsidRPr="00E97D49">
        <w:rPr>
          <w:rFonts w:hint="eastAsia"/>
          <w:color w:val="000000"/>
          <w:kern w:val="0"/>
          <w:sz w:val="24"/>
        </w:rPr>
        <w:t>金额单位：人民币元</w:t>
      </w:r>
    </w:p>
    <w:tbl>
      <w:tblPr>
        <w:tblStyle w:val="aa"/>
        <w:tblW w:type="dxa" w:w="8868"/>
        <w:jc w:val="center"/>
        <w:tblCellMar>
          <w:top w:type="dxa" w:w="57"/>
          <w:bottom w:type="dxa" w:w="57"/>
        </w:tblCellMar>
        <w:tblLook w:firstColumn="1" w:firstRow="1" w:lastColumn="0" w:lastRow="0" w:noHBand="0" w:noVBand="1" w:val="04A0"/>
      </w:tblPr>
      <w:tblGrid>
        <w:gridCol w:w="1519"/>
        <w:gridCol w:w="1519"/>
        <w:gridCol w:w="1519"/>
        <w:gridCol w:w="1626"/>
        <w:gridCol w:w="1519"/>
        <w:gridCol w:w="1600"/>
      </w:tblGrid>
      <w:tr w:rsidR="00BF1111" w:rsidRPr="000E4C40" w:rsidTr="00B13F60">
        <w:trPr>
          <w:jc w:val="center"/>
        </w:trPr>
        <w:tc>
          <w:tcPr>
            <w:tcW w:type="dxa" w:w="1547"/>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1548"/>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证券代码</w:t>
            </w:r>
          </w:p>
        </w:tc>
        <w:tc>
          <w:tcPr>
            <w:tcW w:type="dxa" w:w="1548"/>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证券名称</w:t>
            </w:r>
          </w:p>
        </w:tc>
        <w:tc>
          <w:tcPr>
            <w:tcW w:type="dxa" w:w="1548"/>
            <w:vAlign w:val="center"/>
          </w:tcPr>
          <w:p w:rsidP="00187BE0" w:rsidR="00BF1111" w:rsidRDefault="00E269C1" w:rsidRPr="00187BE0">
            <w:pPr>
              <w:autoSpaceDE w:val="0"/>
              <w:autoSpaceDN w:val="0"/>
              <w:adjustRightInd w:val="0"/>
              <w:spacing w:before="29" w:line="288" w:lineRule="auto"/>
              <w:ind w:left="15"/>
              <w:jc w:val="center"/>
              <w:rPr>
                <w:rFonts w:hAnsi="宋体"/>
                <w:color w:val="000000"/>
                <w:kern w:val="0"/>
                <w:sz w:val="24"/>
              </w:rPr>
            </w:pPr>
            <w:r w:rsidRPr="00356FA6">
              <w:rPr>
                <w:sz w:val="24"/>
              </w:rPr>
              <w:t>数量</w:t>
            </w:r>
            <w:r>
              <w:rPr>
                <w:rFonts w:hint="eastAsia"/>
                <w:color w:val="000000"/>
                <w:kern w:val="0"/>
                <w:sz w:val="24"/>
              </w:rPr>
              <w:t>(</w:t>
            </w:r>
            <w:r>
              <w:rPr>
                <w:rFonts w:hint="eastAsia"/>
                <w:color w:val="000000"/>
                <w:kern w:val="0"/>
                <w:sz w:val="24"/>
              </w:rPr>
              <w:t>份</w:t>
            </w:r>
            <w:r>
              <w:rPr>
                <w:rFonts w:hint="eastAsia"/>
                <w:color w:val="000000"/>
                <w:kern w:val="0"/>
                <w:sz w:val="24"/>
              </w:rPr>
              <w:t>)</w:t>
            </w:r>
          </w:p>
        </w:tc>
        <w:tc>
          <w:tcPr>
            <w:tcW w:type="dxa" w:w="1548"/>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公允价值</w:t>
            </w:r>
          </w:p>
        </w:tc>
        <w:tc>
          <w:tcPr>
            <w:tcW w:type="dxa" w:w="1548"/>
            <w:vAlign w:val="center"/>
          </w:tcPr>
          <w:p w:rsidP="00281564" w:rsidR="00BF1111" w:rsidRDefault="00F6042F" w:rsidRPr="000E4C40">
            <w:pPr>
              <w:autoSpaceDE w:val="0"/>
              <w:autoSpaceDN w:val="0"/>
              <w:adjustRightInd w:val="0"/>
              <w:spacing w:before="29" w:line="288" w:lineRule="auto"/>
              <w:ind w:left="15"/>
              <w:jc w:val="center"/>
              <w:rPr>
                <w:color w:val="000000"/>
                <w:kern w:val="0"/>
                <w:sz w:val="24"/>
              </w:rPr>
            </w:pPr>
            <w:r>
              <w:rPr>
                <w:rFonts w:hAnsi="宋体"/>
                <w:color w:val="000000"/>
                <w:kern w:val="0"/>
                <w:sz w:val="24"/>
              </w:rPr>
              <w:t>占基金资产净值比例</w:t>
            </w:r>
            <w:r>
              <w:rPr>
                <w:rFonts w:hAnsi="宋体" w:hint="eastAsia"/>
                <w:color w:val="000000"/>
                <w:kern w:val="0"/>
                <w:sz w:val="24"/>
              </w:rPr>
              <w:t>(</w:t>
            </w:r>
            <w:r>
              <w:rPr>
                <w:rFonts w:hAnsi="宋体"/>
                <w:color w:val="000000"/>
                <w:kern w:val="0"/>
                <w:sz w:val="24"/>
              </w:rPr>
              <w:t>%</w:t>
            </w:r>
            <w:r>
              <w:rPr>
                <w:rFonts w:hAnsi="宋体" w:hint="eastAsia"/>
                <w:color w:val="000000"/>
                <w:kern w:val="0"/>
                <w:sz w:val="24"/>
              </w:rPr>
              <w:t>)</w:t>
            </w:r>
          </w:p>
        </w:tc>
      </w:tr>
      <w:tr>
        <w:tc>
          <w:tcPr>
            <w:vAlign w:val="center"/>
          </w:tcPr>
          <w:p>
            <w:pPr>
              <w:jc w:val="center"/>
            </w:pPr>
            <w:r>
              <w:rPr>
                <w:color w:val="000000"/>
                <w:sz w:val="24"/>
              </w:rPr>
              <w:t>1</w:t>
            </w:r>
          </w:p>
        </w:tc>
        <w:tc>
          <w:tcPr>
            <w:vAlign w:val="center"/>
          </w:tcPr>
          <w:p>
            <w:pPr>
              <w:jc w:val="center"/>
            </w:pPr>
            <w:r>
              <w:rPr>
                <w:color w:val="000000"/>
                <w:sz w:val="24"/>
              </w:rPr>
              <w:t>159531</w:t>
            </w:r>
          </w:p>
        </w:tc>
        <w:tc>
          <w:tcPr>
            <w:vAlign w:val="center"/>
          </w:tcPr>
          <w:p>
            <w:pPr>
              <w:jc w:val="center"/>
            </w:pPr>
            <w:r>
              <w:rPr>
                <w:color w:val="000000"/>
                <w:sz w:val="24"/>
              </w:rPr>
              <w:t>信泽04A1</w:t>
            </w:r>
          </w:p>
        </w:tc>
        <w:tc>
          <w:tcPr>
            <w:vAlign w:val="center"/>
          </w:tcPr>
          <w:p>
            <w:pPr>
              <w:jc w:val="right"/>
            </w:pPr>
            <w:r>
              <w:rPr>
                <w:color w:val="000000"/>
                <w:sz w:val="24"/>
              </w:rPr>
              <w:t>500,000</w:t>
            </w:r>
          </w:p>
        </w:tc>
        <w:tc>
          <w:tcPr>
            <w:vAlign w:val="center"/>
          </w:tcPr>
          <w:p>
            <w:pPr>
              <w:jc w:val="right"/>
            </w:pPr>
            <w:r>
              <w:rPr>
                <w:color w:val="000000"/>
                <w:sz w:val="24"/>
              </w:rPr>
              <w:t>49,995,000.00</w:t>
            </w:r>
          </w:p>
        </w:tc>
        <w:tc>
          <w:tcPr>
            <w:vAlign w:val="center"/>
          </w:tcPr>
          <w:p>
            <w:pPr>
              <w:jc w:val="right"/>
            </w:pPr>
            <w:r>
              <w:rPr>
                <w:color w:val="000000"/>
                <w:sz w:val="24"/>
              </w:rPr>
              <w:t>0.65</w:t>
            </w:r>
          </w:p>
        </w:tc>
      </w:tr>
      <w:tr>
        <w:tc>
          <w:tcPr>
            <w:vAlign w:val="center"/>
          </w:tcPr>
          <w:p>
            <w:pPr>
              <w:jc w:val="center"/>
            </w:pPr>
            <w:r>
              <w:rPr>
                <w:color w:val="000000"/>
                <w:sz w:val="24"/>
              </w:rPr>
              <w:t>2</w:t>
            </w:r>
          </w:p>
        </w:tc>
        <w:tc>
          <w:tcPr>
            <w:vAlign w:val="center"/>
          </w:tcPr>
          <w:p>
            <w:pPr>
              <w:jc w:val="center"/>
            </w:pPr>
            <w:r>
              <w:rPr>
                <w:color w:val="000000"/>
                <w:sz w:val="24"/>
              </w:rPr>
              <w:t>159180</w:t>
            </w:r>
          </w:p>
        </w:tc>
        <w:tc>
          <w:tcPr>
            <w:vAlign w:val="center"/>
          </w:tcPr>
          <w:p>
            <w:pPr>
              <w:jc w:val="center"/>
            </w:pPr>
            <w:r>
              <w:rPr>
                <w:color w:val="000000"/>
                <w:sz w:val="24"/>
              </w:rPr>
              <w:t>信泽02A1</w:t>
            </w:r>
          </w:p>
        </w:tc>
        <w:tc>
          <w:tcPr>
            <w:vAlign w:val="center"/>
          </w:tcPr>
          <w:p>
            <w:pPr>
              <w:jc w:val="right"/>
            </w:pPr>
            <w:r>
              <w:rPr>
                <w:color w:val="000000"/>
                <w:sz w:val="24"/>
              </w:rPr>
              <w:t>400,000</w:t>
            </w:r>
          </w:p>
        </w:tc>
        <w:tc>
          <w:tcPr>
            <w:vAlign w:val="center"/>
          </w:tcPr>
          <w:p>
            <w:pPr>
              <w:jc w:val="right"/>
            </w:pPr>
            <w:r>
              <w:rPr>
                <w:color w:val="000000"/>
                <w:sz w:val="24"/>
              </w:rPr>
              <w:t>40,024,000.00</w:t>
            </w:r>
          </w:p>
        </w:tc>
        <w:tc>
          <w:tcPr>
            <w:vAlign w:val="center"/>
          </w:tcPr>
          <w:p>
            <w:pPr>
              <w:jc w:val="right"/>
            </w:pPr>
            <w:r>
              <w:rPr>
                <w:color w:val="000000"/>
                <w:sz w:val="24"/>
              </w:rPr>
              <w:t>0.52</w:t>
            </w:r>
          </w:p>
        </w:tc>
      </w:tr>
    </w:tbl>
    <w:p w:rsidP="00281564" w:rsidR="00D40363" w:rsidRDefault="00D40363" w:rsidRPr="000E4C40">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5.9</w:t>
      </w:r>
      <w:r w:rsidR="00902E3F" w:rsidRPr="000E4C40">
        <w:rPr>
          <w:rFonts w:hAnsi="宋体"/>
          <w:b/>
          <w:color w:val="000000"/>
          <w:kern w:val="0"/>
          <w:sz w:val="24"/>
        </w:rPr>
        <w:t>投资组合报告附注</w:t>
      </w:r>
    </w:p>
    <w:p w:rsidP="00281564" w:rsidR="009D74FC" w:rsidRDefault="002304D5" w:rsidRPr="00346DC3">
      <w:pPr>
        <w:spacing w:before="29" w:line="288" w:lineRule="auto"/>
        <w:rPr>
          <w:b/>
          <w:sz w:val="24"/>
        </w:rPr>
      </w:pPr>
      <w:r w:rsidRPr="00346DC3">
        <w:rPr>
          <w:b/>
          <w:sz w:val="24"/>
        </w:rPr>
        <w:t>5.9</w:t>
      </w:r>
      <w:r w:rsidR="00902E3F" w:rsidRPr="00346DC3">
        <w:rPr>
          <w:b/>
          <w:sz w:val="24"/>
        </w:rPr>
        <w:t>.1</w:t>
      </w:r>
      <w:r w:rsidR="009D74FC" w:rsidRPr="00346DC3">
        <w:rPr>
          <w:rFonts w:hAnsi="宋体"/>
          <w:b/>
          <w:sz w:val="24"/>
        </w:rPr>
        <w:t>基金计价方法说明</w:t>
      </w:r>
    </w:p>
    <w:p w:rsidP="00930856" w:rsidR="00D40363" w:rsidRDefault="00D40363" w:rsidRPr="000E4C40">
      <w:pPr>
        <w:spacing w:before="29" w:line="288" w:lineRule="auto"/>
        <w:rPr>
          <w:color w:val="000000"/>
          <w:sz w:val="24"/>
        </w:rPr>
      </w:pPr>
      <w:r w:rsidRPr="000E4C40">
        <w:rPr>
          <w:color w:val="000000"/>
          <w:sz w:val="24"/>
        </w:rPr>
        <w:t>本基金采用摊余成本法计价，即计价对象以买入成本列示，按票面利率或商定利率并考虑其买入时的溢价与折价，在其剩余期限内按照实际利率和摊余成本逐日摊销计算损益。</w:t>
      </w:r>
    </w:p>
    <w:p w:rsidP="00281564" w:rsidR="00EB25E4" w:rsidRDefault="002304D5">
      <w:pPr>
        <w:adjustRightInd w:val="0"/>
        <w:spacing w:before="29" w:line="288" w:lineRule="auto"/>
        <w:ind w:left="17"/>
        <w:rPr>
          <w:color w:val="000000"/>
          <w:sz w:val="24"/>
        </w:rPr>
      </w:pPr>
      <w:r>
        <w:rPr>
          <w:bCs/>
          <w:sz w:val="24"/>
        </w:rPr>
        <w:t>5.9</w:t>
      </w:r>
      <w:r w:rsidR="00EB25E4" w:rsidRPr="000E4C40">
        <w:rPr>
          <w:bCs/>
          <w:sz w:val="24"/>
        </w:rPr>
        <w:t>.</w:t>
      </w:r>
      <w:r>
        <w:rPr>
          <w:bCs/>
          <w:sz w:val="24"/>
        </w:rPr>
        <w:t>2</w:t>
      </w:r>
      <w:r w:rsidR="00EB25E4" w:rsidRPr="000E4C40">
        <w:rPr>
          <w:color w:val="000000"/>
          <w:sz w:val="24"/>
        </w:rPr>
        <w:t>报告期内本基金投资的前十名证券的发行主体除19招商证券CP011BC（证券代码：071900094）外，未出现被监管部门立案调查，或在报告编制日前一年内受到公开谴责、处罚的情形。</w:t>
      </w:r>
    </w:p>
    <w:p>
      <w:pPr>
        <w:adjustRightInd w:val="0"/>
        <w:spacing w:before="29" w:line="288" w:lineRule="auto"/>
        <w:ind w:left="17"/>
        <w:rPr>
          <w:color w:val="000000"/>
          <w:sz w:val="24"/>
        </w:rPr>
      </w:pPr>
      <w:r>
        <w:rPr>
          <w:color w:val="000000"/>
          <w:sz w:val="24"/>
        </w:rPr>
        <w:t>报告期内本基金投资的前十名证券之一19招商证券CP011BC（证券代码：071900094）的发行主体招商证券于2019年5月29日公告，因全资子公司招商证券（香港）有限公司在担任中国金属再生资源（控股）有限公司上市申请的联席保荐人时（2008年11月至2009年6月）没有履行其应尽的尽职审查责任，近日香港证券及期货事务监察委员会对招商证券（香港）有限公司采取纪律行动，包括处以罚款2700万元港币；公司于2019年6月1日公告，因全资子公司招商证券（香港）有限公司错误处理客户款项(发生于2011年10月至2014年9月期间)，近日香港证券及期货事务监察委员会对招商证券（香港）有限公司采取纪律行动，包括处以罚款500万元港币。</w:t>
      </w:r>
    </w:p>
    <w:p>
      <w:pPr>
        <w:adjustRightInd w:val="0"/>
        <w:spacing w:before="29" w:line="288" w:lineRule="auto"/>
        <w:ind w:left="17"/>
        <w:rPr>
          <w:color w:val="000000"/>
          <w:sz w:val="24"/>
        </w:rPr>
      </w:pPr>
      <w:r>
        <w:rPr>
          <w:color w:val="000000"/>
          <w:sz w:val="24"/>
        </w:rPr>
        <w:t>本基金管理人对该证券投资决策程序的说明如下：本基金管理人对证券投资特别是重仓个券的投资有严格的投资决策流程控制。本基金在对该证券的投资也严格执行投资决策流程。在对该证券的选择上，严格执行公司个券审核流程。在对该证券的持有过程中研究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rsidP="00281564" w:rsidR="00623E3A" w:rsidRDefault="00623E3A" w:rsidRPr="000E4C40">
      <w:pPr>
        <w:adjustRightInd w:val="0"/>
        <w:spacing w:before="29" w:line="288" w:lineRule="auto"/>
        <w:ind w:left="17"/>
        <w:rPr>
          <w:color w:val="000000"/>
          <w:sz w:val="24"/>
        </w:rPr>
      </w:pPr>
    </w:p>
    <w:p w:rsidP="00281564" w:rsidR="009D74FC" w:rsidRDefault="002304D5" w:rsidRPr="00346DC3">
      <w:pPr>
        <w:spacing w:before="29" w:line="288" w:lineRule="auto"/>
        <w:rPr>
          <w:rFonts w:hAnsi="宋体"/>
          <w:b/>
          <w:color w:val="000000"/>
          <w:kern w:val="0"/>
          <w:sz w:val="24"/>
        </w:rPr>
      </w:pPr>
      <w:r w:rsidRPr="00346DC3">
        <w:rPr>
          <w:b/>
          <w:color w:val="000000"/>
          <w:kern w:val="0"/>
          <w:sz w:val="24"/>
        </w:rPr>
        <w:t>5.9</w:t>
      </w:r>
      <w:r w:rsidR="009D74FC" w:rsidRPr="00346DC3">
        <w:rPr>
          <w:b/>
          <w:color w:val="000000"/>
          <w:kern w:val="0"/>
          <w:sz w:val="24"/>
        </w:rPr>
        <w:t>.</w:t>
      </w:r>
      <w:r w:rsidRPr="00346DC3">
        <w:rPr>
          <w:b/>
          <w:color w:val="000000"/>
          <w:kern w:val="0"/>
          <w:sz w:val="24"/>
        </w:rPr>
        <w:t>3</w:t>
      </w:r>
      <w:r w:rsidR="00B6632C" w:rsidRPr="00346DC3">
        <w:rPr>
          <w:rFonts w:hint="eastAsia"/>
          <w:b/>
          <w:color w:val="000000"/>
          <w:kern w:val="0"/>
          <w:sz w:val="24"/>
        </w:rPr>
        <w:t>期末</w:t>
      </w:r>
      <w:r w:rsidR="003B36B4" w:rsidRPr="00346DC3">
        <w:rPr>
          <w:rFonts w:hAnsi="宋体"/>
          <w:b/>
          <w:color w:val="000000"/>
          <w:kern w:val="0"/>
          <w:sz w:val="24"/>
        </w:rPr>
        <w:t>其他各项资产构成</w:t>
      </w:r>
    </w:p>
    <w:p w:rsidP="00A53C6C" w:rsidR="00B6632C" w:rsidRDefault="00A53C6C" w:rsidRPr="00A53C6C">
      <w:pPr>
        <w:spacing w:before="29" w:line="288" w:lineRule="auto"/>
        <w:jc w:val="right"/>
        <w:rPr>
          <w:color w:val="000000"/>
          <w:kern w:val="0"/>
          <w:sz w:val="24"/>
        </w:rPr>
      </w:pPr>
      <w:r w:rsidRPr="00A53C6C">
        <w:rPr>
          <w:rFonts w:hint="eastAsia"/>
          <w:color w:val="000000"/>
          <w:kern w:val="0"/>
          <w:sz w:val="24"/>
        </w:rPr>
        <w:t/>
      </w:r>
      <w:r w:rsidRPr="00A53C6C">
        <w:rPr>
          <w:rFonts w:hint="eastAsia"/>
          <w:color w:val="000000"/>
          <w:kern w:val="0"/>
          <w:sz w:val="24"/>
        </w:rPr>
        <w:t>金额单位：人民币元</w:t>
      </w:r>
    </w:p>
    <w:tbl>
      <w:tblPr>
        <w:tblStyle w:val="aa"/>
        <w:tblW w:type="dxa" w:w="8868"/>
        <w:jc w:val="center"/>
        <w:tblLayout w:type="fixed"/>
        <w:tblLook w:firstColumn="1" w:firstRow="1" w:lastColumn="0" w:lastRow="0" w:noHBand="0" w:noVBand="1" w:val="04A0"/>
      </w:tblPr>
      <w:tblGrid>
        <w:gridCol w:w="907"/>
        <w:gridCol w:w="3375"/>
        <w:gridCol w:w="4586"/>
      </w:tblGrid>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序号</w:t>
            </w:r>
          </w:p>
        </w:tc>
        <w:tc>
          <w:tcPr>
            <w:tcW w:type="dxa" w:w="3535"/>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名称</w:t>
            </w:r>
          </w:p>
        </w:tc>
        <w:tc>
          <w:tcPr>
            <w:tcW w:type="dxa" w:w="4808"/>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金额</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存出保证金</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应收证券清算款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应收利息</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23,957,570.50</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4</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应收申购款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其他应收款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2,150.07</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6</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待摊费用</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7</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8</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合计</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23,959,720.57</w:t>
            </w:r>
          </w:p>
        </w:tc>
      </w:tr>
    </w:tbl>
    <w:p w:rsidP="00281564" w:rsidR="00D1705E" w:rsidRDefault="00D1705E" w:rsidRPr="000E4C40">
      <w:pPr>
        <w:autoSpaceDE w:val="0"/>
        <w:autoSpaceDN w:val="0"/>
        <w:adjustRightInd w:val="0"/>
        <w:spacing w:before="29" w:line="288" w:lineRule="auto"/>
        <w:jc w:val="left"/>
        <w:rPr>
          <w:color w:val="000000"/>
          <w:sz w:val="24"/>
        </w:rPr>
      </w:pPr>
    </w:p>
    <w:p w:rsidP="00281564" w:rsidR="00452D31" w:rsidRDefault="00DA5831" w:rsidRPr="00346DC3">
      <w:pPr>
        <w:spacing w:before="29" w:line="288" w:lineRule="auto"/>
        <w:rPr>
          <w:b/>
          <w:color w:val="000000"/>
          <w:kern w:val="0"/>
          <w:sz w:val="24"/>
        </w:rPr>
      </w:pPr>
      <w:bookmarkStart w:id="2" w:name="_GoBack"/>
      <w:r w:rsidRPr="00346DC3">
        <w:rPr>
          <w:b/>
          <w:color w:val="000000"/>
          <w:kern w:val="0"/>
          <w:sz w:val="24"/>
        </w:rPr>
        <w:t/>
      </w:r>
      <w:r w:rsidR="002304D5" w:rsidRPr="00346DC3">
        <w:rPr>
          <w:b/>
          <w:color w:val="000000"/>
          <w:kern w:val="0"/>
          <w:sz w:val="24"/>
        </w:rPr>
        <w:t>5.9.4</w:t>
      </w:r>
      <w:r w:rsidR="00DE7C60" w:rsidRPr="00346DC3">
        <w:rPr>
          <w:rFonts w:hAnsi="宋体"/>
          <w:b/>
          <w:color w:val="000000"/>
          <w:kern w:val="0"/>
          <w:sz w:val="24"/>
        </w:rPr>
        <w:t>投资组合报告附注的其他文字描述部分</w:t>
      </w:r>
    </w:p>
    <w:bookmarkEnd w:id="2"/>
    <w:p w:rsidP="00930856" w:rsidR="00452D31" w:rsidRDefault="00452D31" w:rsidRPr="000E4C40">
      <w:pPr>
        <w:spacing w:before="29" w:line="288" w:lineRule="auto"/>
        <w:rPr>
          <w:color w:val="000000"/>
          <w:sz w:val="24"/>
        </w:rPr>
      </w:pPr>
      <w:r w:rsidRPr="000E4C40">
        <w:rPr>
          <w:color w:val="000000"/>
          <w:sz w:val="24"/>
        </w:rPr>
        <w:t/>
      </w:r>
      <w:r w:rsidR="000C469F" w:rsidRPr="000E4C40">
        <w:rPr>
          <w:color w:val="000000"/>
          <w:sz w:val="24"/>
        </w:rPr>
        <w:t/>
      </w:r>
      <w:r w:rsidRPr="000E4C40">
        <w:rPr>
          <w:color w:val="000000"/>
          <w:sz w:val="24"/>
        </w:rPr>
        <w:t>由于四舍五入的原因，分项之和与合计项之间可能存在尾差。</w:t>
      </w:r>
    </w:p>
    <w:p w:rsidP="00281564" w:rsidR="00504B75" w:rsidRDefault="00504B75" w:rsidRPr="000E4C40">
      <w:pPr>
        <w:spacing w:before="29" w:line="288" w:lineRule="auto"/>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§6  </w:t>
      </w:r>
      <w:r w:rsidRPr="000E4C40">
        <w:rPr>
          <w:rFonts w:hAnsi="宋体"/>
          <w:color w:val="000000"/>
          <w:kern w:val="0"/>
          <w:sz w:val="24"/>
          <w:szCs w:val="24"/>
        </w:rPr>
        <w:t>开放式基金份额变动</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单位：份</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668"/>
        <w:gridCol w:w="2600"/>
        <w:gridCol w:w="2600"/>
      </w:tblGrid>
      <w:tr w:rsidR="006F1C55" w:rsidRPr="000E4C40" w:rsidTr="009D1870">
        <w:trPr>
          <w:jc w:val="center"/>
        </w:trPr>
        <w:tc>
          <w:tcPr>
            <w:tcW w:type="dxa" w:w="4134"/>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t/>
            </w:r>
            <w:r w:rsidRPr="000E4C40">
              <w:rPr>
                <w:sz w:val="24"/>
              </w:rPr>
              <w:t/>
            </w:r>
            <w:r w:rsidRPr="000E4C40">
              <w:rPr>
                <w:sz w:val="24"/>
              </w:rPr>
              <w:lastRenderedPageBreak/>
              <w:t/>
            </w:r>
            <w:r w:rsidR="00327FB0" w:rsidRPr="000E4C40">
              <w:rPr>
                <w:sz w:val="24"/>
              </w:rPr>
              <w:t/>
            </w:r>
            <w:r w:rsidRPr="000E4C40">
              <w:rPr>
                <w:sz w:val="24"/>
              </w:rPr>
              <w:t>交银天鑫宝货币A</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lastRenderedPageBreak/>
              <w:t/>
            </w:r>
            <w:r w:rsidRPr="000E4C40">
              <w:rPr>
                <w:sz w:val="24"/>
              </w:rPr>
              <w:t/>
            </w:r>
            <w:r w:rsidRPr="000E4C40">
              <w:rPr>
                <w:sz w:val="24"/>
              </w:rPr>
              <w:lastRenderedPageBreak/>
              <w:t/>
            </w:r>
            <w:r w:rsidR="00327FB0" w:rsidRPr="000E4C40">
              <w:rPr>
                <w:sz w:val="24"/>
              </w:rPr>
              <w:t/>
            </w:r>
            <w:r w:rsidR="000F78F3">
              <w:rPr>
                <w:sz w:val="24"/>
              </w:rPr>
              <w:t/>
            </w:r>
            <w:r w:rsidR="000F78F3">
              <w:rPr>
                <w:rFonts w:hint="eastAsia"/>
                <w:sz w:val="24"/>
              </w:rPr>
              <w:t/>
            </w:r>
            <w:r w:rsidRPr="000E4C40">
              <w:rPr>
                <w:sz w:val="24"/>
              </w:rPr>
              <w:t>交银天鑫宝货币E</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报告期期初基金份额总额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Pr="000E4C40">
              <w:rPr>
                <w:color w:val="000000"/>
                <w:kern w:val="0"/>
                <w:sz w:val="24"/>
              </w:rPr>
              <w:t>17,927,369.84</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7,724,295,101.98</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基金总申购份额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Pr="000E4C40">
              <w:rPr>
                <w:color w:val="000000"/>
                <w:kern w:val="0"/>
                <w:sz w:val="24"/>
              </w:rPr>
              <w:t>8,926,127.88</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000F78F3">
              <w:rPr>
                <w:rFonts w:hint="eastAsia"/>
                <w:color w:val="000000"/>
                <w:kern w:val="0"/>
                <w:sz w:val="24"/>
              </w:rPr>
              <w:t/>
            </w:r>
            <w:r w:rsidRPr="000E4C40">
              <w:rPr>
                <w:color w:val="000000"/>
                <w:kern w:val="0"/>
                <w:sz w:val="24"/>
              </w:rPr>
              <w:t>5,604,308,973.95</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基金总赎回份额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Pr="000E4C40">
              <w:rPr>
                <w:color w:val="000000"/>
                <w:kern w:val="0"/>
                <w:sz w:val="24"/>
              </w:rPr>
              <w:t>10,044,197.83</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000F78F3">
              <w:rPr>
                <w:rFonts w:hint="eastAsia"/>
                <w:color w:val="000000"/>
                <w:kern w:val="0"/>
                <w:sz w:val="24"/>
              </w:rPr>
              <w:t/>
            </w:r>
            <w:r w:rsidRPr="000E4C40">
              <w:rPr>
                <w:color w:val="000000"/>
                <w:kern w:val="0"/>
                <w:sz w:val="24"/>
              </w:rPr>
              <w:t>5,697,992,719.54</w:t>
            </w:r>
          </w:p>
        </w:tc>
      </w:tr>
      <w:tr w:rsidR="000417E0" w:rsidRPr="000E4C40" w:rsidTr="009D1870">
        <w:trPr>
          <w:jc w:val="center"/>
        </w:trPr>
        <w:tc>
          <w:tcPr>
            <w:tcW w:type="dxa" w:w="4134"/>
            <w:vAlign w:val="center"/>
          </w:tcPr>
          <w:p w:rsidP="00281564" w:rsidR="000417E0" w:rsidRDefault="0078687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报告期期末基金份额总额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Pr="000E4C40">
              <w:rPr>
                <w:color w:val="000000"/>
                <w:kern w:val="0"/>
                <w:sz w:val="24"/>
              </w:rPr>
              <w:t>16,809,299.89</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7,630,611,356.39</w:t>
            </w:r>
          </w:p>
        </w:tc>
      </w:tr>
    </w:tbl>
    <w:p>
      <w:pPr>
        <w:autoSpaceDE w:val="0"/>
        <w:autoSpaceDN w:val="0"/>
        <w:adjustRightInd w:val="0"/>
        <w:spacing w:before="29" w:line="288" w:lineRule="auto"/>
        <w:jc w:val="left"/>
        <w:rPr>
          <w:color w:val="000000"/>
          <w:sz w:val="24"/>
        </w:rPr>
      </w:pPr>
      <w:r>
        <w:rPr>
          <w:color w:val="000000"/>
          <w:sz w:val="24"/>
        </w:rPr>
        <w:t xml:space="preserve">注：1、如果本报告期间发生转换入、份额类别调整、红利再投业务，则总申购份额中包含该业务； </w:t>
      </w:r>
    </w:p>
    <w:p w:rsidP="00281564" w:rsidR="00AA5B03" w:rsidRDefault="00BE5584" w:rsidRPr="000E4C40">
      <w:pPr>
        <w:autoSpaceDE w:val="0"/>
        <w:autoSpaceDN w:val="0"/>
        <w:adjustRightInd w:val="0"/>
        <w:spacing w:before="29" w:line="288" w:lineRule="auto"/>
        <w:jc w:val="left"/>
        <w:rPr>
          <w:color w:val="000000"/>
          <w:sz w:val="24"/>
        </w:rPr>
      </w:pPr>
      <w:r w:rsidRPr="000E4C40">
        <w:rPr>
          <w:color w:val="000000"/>
          <w:sz w:val="24"/>
        </w:rPr>
        <w:t/>
      </w:r>
      <w:r w:rsidR="00AA5B03" w:rsidRPr="000E4C40">
        <w:rPr>
          <w:color w:val="000000"/>
          <w:sz w:val="24"/>
        </w:rPr>
        <w:t xml:space="preserve"> 2、如果本报告期间发生转换出、份额类别调整业务，则总赎回份额中包含该业务。</w:t>
      </w:r>
    </w:p>
    <w:p w:rsidP="00281564" w:rsidR="006E2890" w:rsidRDefault="006E2890" w:rsidRPr="000E4C40">
      <w:pPr>
        <w:autoSpaceDE w:val="0"/>
        <w:autoSpaceDN w:val="0"/>
        <w:adjustRightInd w:val="0"/>
        <w:spacing w:before="29" w:line="288" w:lineRule="auto"/>
        <w:jc w:val="left"/>
        <w:rPr>
          <w:color w:val="000000"/>
          <w:sz w:val="24"/>
        </w:rPr>
      </w:pPr>
    </w:p>
    <w:p w:rsidP="00841EB4" w:rsidR="000F2DA3" w:rsidRDefault="000F2DA3"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§7  </w:t>
      </w:r>
      <w:r w:rsidRPr="000E4C40">
        <w:rPr>
          <w:rFonts w:hAnsi="宋体"/>
          <w:color w:val="000000"/>
          <w:kern w:val="0"/>
          <w:sz w:val="24"/>
          <w:szCs w:val="24"/>
        </w:rPr>
        <w:t>基金管理人运用固有资金投资本基金交易明细</w:t>
      </w:r>
    </w:p>
    <w:p w:rsidP="00281564" w:rsidR="000F2DA3" w:rsidRDefault="000F2DA3" w:rsidRPr="000E4C40">
      <w:pPr>
        <w:autoSpaceDE w:val="0"/>
        <w:autoSpaceDN w:val="0"/>
        <w:adjustRightInd w:val="0"/>
        <w:spacing w:before="29" w:line="288" w:lineRule="auto"/>
        <w:jc w:val="left"/>
        <w:rPr>
          <w:color w:val="000000"/>
          <w:sz w:val="24"/>
        </w:rPr>
      </w:pPr>
      <w:r w:rsidRPr="000E4C40">
        <w:rPr>
          <w:color w:val="000000"/>
          <w:sz w:val="24"/>
        </w:rPr>
        <w:t>本基金管理人本报告期内未进行本基金的申购、赎回、红利再投等；本基金管理人本报告期末持有本基金份额0.00份，占本基金期末总份额的0.00%。</w:t>
      </w:r>
    </w:p>
    <w:p w:rsidP="00281564" w:rsidR="0018245B" w:rsidRDefault="0018245B" w:rsidRPr="000E4C40">
      <w:pPr>
        <w:autoSpaceDE w:val="0"/>
        <w:autoSpaceDN w:val="0"/>
        <w:adjustRightInd w:val="0"/>
        <w:spacing w:before="29" w:line="288" w:lineRule="auto"/>
        <w:jc w:val="left"/>
        <w:rPr>
          <w:color w:val="000000"/>
          <w:sz w:val="24"/>
        </w:rPr>
      </w:pPr>
    </w:p>
    <w:p w:rsidP="00841EB4" w:rsidR="00C03EF8" w:rsidRDefault="009D74FC" w:rsidRPr="009268A2">
      <w:pPr>
        <w:pStyle w:val="1"/>
        <w:spacing w:after="312" w:afterLines="100" w:before="312" w:beforeLines="100" w:line="288" w:lineRule="auto"/>
        <w:jc w:val="center"/>
        <w:rPr>
          <w:color w:val="000000"/>
          <w:kern w:val="0"/>
          <w:sz w:val="24"/>
          <w:szCs w:val="24"/>
        </w:rPr>
      </w:pPr>
      <w:r w:rsidRPr="000E4C40">
        <w:rPr>
          <w:color w:val="000000"/>
          <w:kern w:val="0"/>
          <w:sz w:val="24"/>
          <w:szCs w:val="24"/>
        </w:rPr>
        <w:t>§</w:t>
      </w:r>
      <w:r w:rsidR="00DA5831" w:rsidRPr="000E4C40">
        <w:rPr>
          <w:color w:val="000000"/>
          <w:kern w:val="0"/>
          <w:sz w:val="24"/>
          <w:szCs w:val="24"/>
        </w:rPr>
        <w:t/>
      </w:r>
      <w:r w:rsidR="00F1658B" w:rsidRPr="000E4C40">
        <w:rPr>
          <w:color w:val="000000"/>
          <w:kern w:val="0"/>
          <w:sz w:val="24"/>
          <w:szCs w:val="24"/>
        </w:rPr>
        <w:t/>
      </w:r>
      <w:r w:rsidR="00AF3D19" w:rsidRPr="000E4C40">
        <w:rPr>
          <w:color w:val="000000"/>
          <w:kern w:val="0"/>
          <w:sz w:val="24"/>
          <w:szCs w:val="24"/>
        </w:rPr>
        <w:t/>
      </w:r>
      <w:r w:rsidR="00DA5831" w:rsidRPr="000E4C40">
        <w:rPr>
          <w:color w:val="000000"/>
          <w:kern w:val="0"/>
          <w:sz w:val="24"/>
          <w:szCs w:val="24"/>
        </w:rPr>
        <w:t>8</w:t>
      </w:r>
      <w:r w:rsidRPr="000E4C40">
        <w:rPr>
          <w:rFonts w:hAnsi="宋体"/>
          <w:color w:val="000000"/>
          <w:kern w:val="0"/>
          <w:sz w:val="24"/>
          <w:szCs w:val="24"/>
        </w:rPr>
        <w:t>备查文件目录</w:t>
      </w: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8</w:t>
      </w:r>
      <w:r w:rsidR="00AB373C" w:rsidRPr="000E4C40">
        <w:rPr>
          <w:b/>
          <w:bCs/>
          <w:color w:val="000000"/>
          <w:kern w:val="0"/>
          <w:sz w:val="24"/>
        </w:rPr>
        <w:t>.</w:t>
      </w:r>
      <w:r w:rsidR="00F1658B" w:rsidRPr="000E4C40">
        <w:rPr>
          <w:b/>
          <w:bCs/>
          <w:color w:val="000000"/>
          <w:kern w:val="0"/>
          <w:sz w:val="24"/>
        </w:rPr>
        <w:t>1</w:t>
      </w:r>
      <w:r w:rsidR="00AB373C" w:rsidRPr="000E4C40">
        <w:rPr>
          <w:rFonts w:hAnsi="宋体"/>
          <w:b/>
          <w:bCs/>
          <w:color w:val="000000"/>
          <w:kern w:val="0"/>
          <w:sz w:val="24"/>
        </w:rPr>
        <w:t>备查文件目录</w:t>
      </w:r>
    </w:p>
    <w:p>
      <w:pPr>
        <w:spacing w:before="29" w:line="288" w:lineRule="auto"/>
        <w:ind w:firstLine="480" w:firstLineChars="200"/>
        <w:rPr>
          <w:color w:val="000000"/>
          <w:sz w:val="24"/>
        </w:rPr>
      </w:pPr>
      <w:r>
        <w:rPr>
          <w:color w:val="000000"/>
          <w:sz w:val="24"/>
        </w:rPr>
        <w:t xml:space="preserve">1、中国证监会准予交银施罗德天鑫宝货币市场基金募集注册的文件； </w:t>
      </w:r>
    </w:p>
    <w:p>
      <w:pPr>
        <w:spacing w:before="29" w:line="288" w:lineRule="auto"/>
        <w:ind w:firstLine="480" w:firstLineChars="200"/>
        <w:rPr>
          <w:color w:val="000000"/>
          <w:sz w:val="24"/>
        </w:rPr>
      </w:pPr>
      <w:r>
        <w:rPr>
          <w:color w:val="000000"/>
          <w:sz w:val="24"/>
        </w:rPr>
        <w:t xml:space="preserve">2、《交银施罗德天鑫宝货币市场基金基金合同》； </w:t>
      </w:r>
    </w:p>
    <w:p>
      <w:pPr>
        <w:spacing w:before="29" w:line="288" w:lineRule="auto"/>
        <w:ind w:firstLine="480" w:firstLineChars="200"/>
        <w:rPr>
          <w:color w:val="000000"/>
          <w:sz w:val="24"/>
        </w:rPr>
      </w:pPr>
      <w:r>
        <w:rPr>
          <w:color w:val="000000"/>
          <w:sz w:val="24"/>
        </w:rPr>
        <w:t xml:space="preserve">3、《交银施罗德天鑫宝货币市场基金招募说明书》； </w:t>
      </w:r>
    </w:p>
    <w:p>
      <w:pPr>
        <w:spacing w:before="29" w:line="288" w:lineRule="auto"/>
        <w:ind w:firstLine="480" w:firstLineChars="200"/>
        <w:rPr>
          <w:color w:val="000000"/>
          <w:sz w:val="24"/>
        </w:rPr>
      </w:pPr>
      <w:r>
        <w:rPr>
          <w:color w:val="000000"/>
          <w:sz w:val="24"/>
        </w:rPr>
        <w:t xml:space="preserve">4、《交银施罗德天鑫宝货币市场基金托管协议》； </w:t>
      </w:r>
    </w:p>
    <w:p>
      <w:pPr>
        <w:spacing w:before="29" w:line="288" w:lineRule="auto"/>
        <w:ind w:firstLine="480" w:firstLineChars="200"/>
        <w:rPr>
          <w:color w:val="000000"/>
          <w:sz w:val="24"/>
        </w:rPr>
      </w:pPr>
      <w:r>
        <w:rPr>
          <w:color w:val="000000"/>
          <w:sz w:val="24"/>
        </w:rPr>
        <w:t xml:space="preserve">5、关于申请募集注册交银施罗德天鑫宝货币市场基金的法律意见书； </w:t>
      </w:r>
    </w:p>
    <w:p>
      <w:pPr>
        <w:spacing w:before="29" w:line="288" w:lineRule="auto"/>
        <w:ind w:firstLine="480" w:firstLineChars="200"/>
        <w:rPr>
          <w:color w:val="000000"/>
          <w:sz w:val="24"/>
        </w:rPr>
      </w:pPr>
      <w:r>
        <w:rPr>
          <w:color w:val="000000"/>
          <w:sz w:val="24"/>
        </w:rPr>
        <w:t xml:space="preserve">6、基金管理人业务资格批件、营业执照； </w:t>
      </w:r>
    </w:p>
    <w:p>
      <w:pPr>
        <w:spacing w:before="29" w:line="288" w:lineRule="auto"/>
        <w:ind w:firstLine="480" w:firstLineChars="200"/>
        <w:rPr>
          <w:color w:val="000000"/>
          <w:sz w:val="24"/>
        </w:rPr>
      </w:pPr>
      <w:r>
        <w:rPr>
          <w:color w:val="000000"/>
          <w:sz w:val="24"/>
        </w:rPr>
        <w:t xml:space="preserve">7、基金托管人业务资格批件、营业执照； </w:t>
      </w:r>
    </w:p>
    <w:p w:rsidP="00281564" w:rsidR="00AB373C" w:rsidRDefault="00AB373C" w:rsidRPr="000E4C40">
      <w:pPr>
        <w:spacing w:before="29" w:line="288" w:lineRule="auto"/>
        <w:ind w:firstLine="480" w:firstLineChars="200"/>
        <w:rPr>
          <w:color w:val="000000"/>
          <w:sz w:val="24"/>
        </w:rPr>
      </w:pPr>
      <w:r w:rsidRPr="000E4C40">
        <w:rPr>
          <w:color w:val="000000"/>
          <w:sz w:val="24"/>
        </w:rPr>
        <w:t>8、报告期内交银施罗德天鑫宝货币市场基金在指定报刊上各项公告的原稿。</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8</w:t>
      </w:r>
      <w:r w:rsidR="00AB373C" w:rsidRPr="000E4C40">
        <w:rPr>
          <w:b/>
          <w:bCs/>
          <w:color w:val="000000"/>
          <w:kern w:val="0"/>
          <w:sz w:val="24"/>
        </w:rPr>
        <w:t>.</w:t>
      </w:r>
      <w:r w:rsidR="00F1658B" w:rsidRPr="000E4C40">
        <w:rPr>
          <w:b/>
          <w:bCs/>
          <w:color w:val="000000"/>
          <w:kern w:val="0"/>
          <w:sz w:val="24"/>
        </w:rPr>
        <w:t>2</w:t>
      </w:r>
      <w:r w:rsidR="00AB373C" w:rsidRPr="000E4C40">
        <w:rPr>
          <w:rFonts w:hAnsi="宋体"/>
          <w:b/>
          <w:bCs/>
          <w:color w:val="000000"/>
          <w:kern w:val="0"/>
          <w:sz w:val="24"/>
        </w:rPr>
        <w:t>存放地点</w:t>
      </w:r>
    </w:p>
    <w:p w:rsidP="00281564" w:rsidR="00AB373C" w:rsidRDefault="00AB373C" w:rsidRPr="000E4C40">
      <w:pPr>
        <w:spacing w:before="29" w:line="288" w:lineRule="auto"/>
        <w:ind w:firstLine="480" w:firstLineChars="200"/>
        <w:rPr>
          <w:color w:val="000000"/>
          <w:sz w:val="24"/>
        </w:rPr>
      </w:pPr>
      <w:r w:rsidRPr="000E4C40">
        <w:rPr>
          <w:color w:val="000000"/>
          <w:sz w:val="24"/>
        </w:rPr>
        <w:t>备查文件存放于基金管理人的办公场所。</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8</w:t>
      </w:r>
      <w:r w:rsidR="00AB373C" w:rsidRPr="000E4C40">
        <w:rPr>
          <w:b/>
          <w:bCs/>
          <w:color w:val="000000"/>
          <w:kern w:val="0"/>
          <w:sz w:val="24"/>
        </w:rPr>
        <w:t>.</w:t>
      </w:r>
      <w:r w:rsidR="00F1658B" w:rsidRPr="000E4C40">
        <w:rPr>
          <w:b/>
          <w:bCs/>
          <w:color w:val="000000"/>
          <w:kern w:val="0"/>
          <w:sz w:val="24"/>
        </w:rPr>
        <w:t>3</w:t>
      </w:r>
      <w:r w:rsidR="00AB373C" w:rsidRPr="000E4C40">
        <w:rPr>
          <w:rFonts w:hAnsi="宋体"/>
          <w:b/>
          <w:bCs/>
          <w:color w:val="000000"/>
          <w:kern w:val="0"/>
          <w:sz w:val="24"/>
        </w:rPr>
        <w:t>查阅方式</w:t>
      </w:r>
    </w:p>
    <w:p>
      <w:pPr>
        <w:spacing w:before="29" w:line="288" w:lineRule="auto"/>
        <w:ind w:firstLine="480" w:firstLineChars="200"/>
        <w:rPr>
          <w:color w:val="000000"/>
          <w:sz w:val="24"/>
        </w:rPr>
      </w:pPr>
      <w:r>
        <w:rPr>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281564" w:rsidR="009D74FC" w:rsidRDefault="00AB373C" w:rsidRPr="000E4C40">
      <w:pPr>
        <w:spacing w:before="29" w:line="288" w:lineRule="auto"/>
        <w:ind w:firstLine="480" w:firstLineChars="200"/>
        <w:rPr>
          <w:color w:val="000000"/>
          <w:sz w:val="24"/>
        </w:rPr>
      </w:pPr>
      <w:r w:rsidRPr="000E4C40">
        <w:rPr>
          <w:color w:val="000000"/>
          <w:sz w:val="24"/>
        </w:rPr>
        <w:t>投资者对本报告书如有疑问，可咨询本基金管理人交银施罗德基金管理有限公司。本公司客户服务中心电话：400-700-5000（免长途话费），021-61055000，电子邮件：services@jysld.com。</w:t>
      </w:r>
    </w:p>
    <w:p w:rsidP="00281564" w:rsidR="003B6DC6" w:rsidRDefault="003B6DC6" w:rsidRPr="000E4C40">
      <w:pPr>
        <w:spacing w:before="29" w:line="288" w:lineRule="auto"/>
        <w:ind w:right="480"/>
        <w:rPr>
          <w:b/>
          <w:bCs/>
          <w:sz w:val="24"/>
        </w:rPr>
      </w:pPr>
    </w:p>
    <w:sectPr w:rsidR="003B6DC6" w:rsidRPr="000E4C40" w:rsidSect="00075BBB">
      <w:pgSz w:h="15840" w:w="11926"/>
      <w:pgMar w:bottom="852" w:footer="992" w:gutter="0" w:header="851" w:left="1420" w:right="1420" w:top="1420"/>
      <w:cols w:space="720"/>
      <w:noEndnote/>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30" w:rsidRDefault="00EE2130">
      <w:r>
        <w:separator/>
      </w:r>
    </w:p>
  </w:endnote>
  <w:endnote w:type="continuationSeparator" w:id="0">
    <w:p w:rsidR="00EE2130" w:rsidRDefault="00EE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5"/>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1D0DB0" w:rsidR="00FE3EEE" w:rsidRDefault="00FE3EEE" w:rsidRPr="001D0DB0">
    <w:pPr>
      <w:pStyle w:val="a5"/>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46DC3">
      <w:rPr>
        <w:noProof/>
        <w:kern w:val="0"/>
        <w:szCs w:val="21"/>
      </w:rPr>
      <w:t>18</w:t>
    </w:r>
    <w:r>
      <w:rPr>
        <w:kern w:val="0"/>
        <w:szCs w:val="21"/>
      </w:rPr>
      <w:fldChar w:fldCharType="end"/>
    </w:r>
    <w:r>
      <w:rPr>
        <w:rFonts w:hint="eastAsia"/>
        <w:kern w:val="0"/>
        <w:szCs w:val="21"/>
      </w:rPr>
      <w:t>页共</w:t>
    </w:r>
    <w:r>
      <w:rPr>
        <w:rFonts w:hint="eastAsia"/>
        <w:kern w:val="0"/>
        <w:szCs w:val="21"/>
      </w:rPr>
      <w:fldChar w:fldCharType="begin"/>
    </w:r>
    <w:r>
      <w:rPr>
        <w:kern w:val="0"/>
        <w:szCs w:val="21"/>
      </w:rPr>
      <w:instrText xml:space="preserve"> NUMPAGES </w:instrText>
    </w:r>
    <w:r>
      <w:rPr>
        <w:rFonts w:hint="eastAsia"/>
        <w:kern w:val="0"/>
        <w:szCs w:val="21"/>
      </w:rPr>
      <w:fldChar w:fldCharType="separate"/>
    </w:r>
    <w:r w:rsidR="00346DC3">
      <w:rPr>
        <w:noProof/>
        <w:kern w:val="0"/>
        <w:szCs w:val="21"/>
      </w:rPr>
      <w:t>23</w:t>
    </w:r>
    <w:r>
      <w:rPr>
        <w:rFonts w:hint="eastAsia"/>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5"/>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EE2130" w:rsidRDefault="00EE2130">
      <w:r>
        <w:separator/>
      </w:r>
    </w:p>
  </w:footnote>
  <w:footnote w:id="0" w:type="continuationSeparator">
    <w:p w:rsidR="00EE2130" w:rsidRDefault="00EE2130">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8379E2" w:rsidR="00FE3EEE" w:rsidRDefault="00FE3EEE" w:rsidRPr="00841EB4">
    <w:pPr>
      <w:pStyle w:val="a4"/>
      <w:pBdr>
        <w:bottom w:color="auto" w:space="0" w:sz="6" w:val="single"/>
      </w:pBdr>
      <w:jc w:val="right"/>
      <w:rPr>
        <w:sz w:val="24"/>
        <w:szCs w:val="24"/>
      </w:rPr>
    </w:pPr>
    <w:r w:rsidRPr="003E676C">
      <w:rPr>
        <w:sz w:val="24"/>
        <w:szCs w:val="24"/>
      </w:rPr>
      <w:t>交银施罗德天鑫宝货币市场基金2019年第3季度报告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4"/>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E125ACF"/>
    <w:multiLevelType w:val="hybridMultilevel"/>
    <w:tmpl w:val="A1BADB72"/>
    <w:lvl w:ilvl="0" w:tplc="1694A2F2">
      <w:start w:val="1"/>
      <w:numFmt w:val="decimal"/>
      <w:lvlText w:val="%1、"/>
      <w:lvlJc w:val="left"/>
      <w:pPr>
        <w:tabs>
          <w:tab w:pos="830" w:val="num"/>
        </w:tabs>
        <w:ind w:hanging="360" w:left="830"/>
      </w:pPr>
      <w:rPr>
        <w:rFonts w:ascii="宋体" w:hint="default"/>
        <w:color w:val="auto"/>
      </w:rPr>
    </w:lvl>
    <w:lvl w:ilvl="1" w:tentative="1" w:tplc="04090019">
      <w:start w:val="1"/>
      <w:numFmt w:val="lowerLetter"/>
      <w:lvlText w:val="%2)"/>
      <w:lvlJc w:val="left"/>
      <w:pPr>
        <w:tabs>
          <w:tab w:pos="1310" w:val="num"/>
        </w:tabs>
        <w:ind w:hanging="420" w:left="1310"/>
      </w:pPr>
    </w:lvl>
    <w:lvl w:ilvl="2" w:tentative="1" w:tplc="0409001B">
      <w:start w:val="1"/>
      <w:numFmt w:val="lowerRoman"/>
      <w:lvlText w:val="%3."/>
      <w:lvlJc w:val="right"/>
      <w:pPr>
        <w:tabs>
          <w:tab w:pos="1730" w:val="num"/>
        </w:tabs>
        <w:ind w:hanging="420" w:left="1730"/>
      </w:pPr>
    </w:lvl>
    <w:lvl w:ilvl="3" w:tentative="1" w:tplc="0409000F">
      <w:start w:val="1"/>
      <w:numFmt w:val="decimal"/>
      <w:lvlText w:val="%4."/>
      <w:lvlJc w:val="left"/>
      <w:pPr>
        <w:tabs>
          <w:tab w:pos="2150" w:val="num"/>
        </w:tabs>
        <w:ind w:hanging="420" w:left="2150"/>
      </w:pPr>
    </w:lvl>
    <w:lvl w:ilvl="4" w:tentative="1" w:tplc="04090019">
      <w:start w:val="1"/>
      <w:numFmt w:val="lowerLetter"/>
      <w:lvlText w:val="%5)"/>
      <w:lvlJc w:val="left"/>
      <w:pPr>
        <w:tabs>
          <w:tab w:pos="2570" w:val="num"/>
        </w:tabs>
        <w:ind w:hanging="420" w:left="2570"/>
      </w:pPr>
    </w:lvl>
    <w:lvl w:ilvl="5" w:tentative="1" w:tplc="0409001B">
      <w:start w:val="1"/>
      <w:numFmt w:val="lowerRoman"/>
      <w:lvlText w:val="%6."/>
      <w:lvlJc w:val="right"/>
      <w:pPr>
        <w:tabs>
          <w:tab w:pos="2990" w:val="num"/>
        </w:tabs>
        <w:ind w:hanging="420" w:left="2990"/>
      </w:pPr>
    </w:lvl>
    <w:lvl w:ilvl="6" w:tentative="1" w:tplc="0409000F">
      <w:start w:val="1"/>
      <w:numFmt w:val="decimal"/>
      <w:lvlText w:val="%7."/>
      <w:lvlJc w:val="left"/>
      <w:pPr>
        <w:tabs>
          <w:tab w:pos="3410" w:val="num"/>
        </w:tabs>
        <w:ind w:hanging="420" w:left="3410"/>
      </w:pPr>
    </w:lvl>
    <w:lvl w:ilvl="7" w:tentative="1" w:tplc="04090019">
      <w:start w:val="1"/>
      <w:numFmt w:val="lowerLetter"/>
      <w:lvlText w:val="%8)"/>
      <w:lvlJc w:val="left"/>
      <w:pPr>
        <w:tabs>
          <w:tab w:pos="3830" w:val="num"/>
        </w:tabs>
        <w:ind w:hanging="420" w:left="3830"/>
      </w:pPr>
    </w:lvl>
    <w:lvl w:ilvl="8" w:tentative="1" w:tplc="0409001B">
      <w:start w:val="1"/>
      <w:numFmt w:val="lowerRoman"/>
      <w:lvlText w:val="%9."/>
      <w:lvlJc w:val="right"/>
      <w:pPr>
        <w:tabs>
          <w:tab w:pos="4250" w:val="num"/>
        </w:tabs>
        <w:ind w:hanging="420" w:left="4250"/>
      </w:pPr>
    </w:lvl>
  </w:abstractNum>
  <w:num w:numId="1">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embedSystemFonts/>
  <w:bordersDoNotSurroundHeader/>
  <w:bordersDoNotSurroundFooter/>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05660"/>
    <w:rsid w:val="00011D5A"/>
    <w:rsid w:val="000126D2"/>
    <w:rsid w:val="0001552D"/>
    <w:rsid w:val="0001566B"/>
    <w:rsid w:val="0002085F"/>
    <w:rsid w:val="00035596"/>
    <w:rsid w:val="000417E0"/>
    <w:rsid w:val="00044724"/>
    <w:rsid w:val="00052CA4"/>
    <w:rsid w:val="0005518A"/>
    <w:rsid w:val="00057D26"/>
    <w:rsid w:val="000607E9"/>
    <w:rsid w:val="00063BA4"/>
    <w:rsid w:val="00064E6F"/>
    <w:rsid w:val="0006697D"/>
    <w:rsid w:val="00070092"/>
    <w:rsid w:val="0007109E"/>
    <w:rsid w:val="00075BBB"/>
    <w:rsid w:val="00075CA2"/>
    <w:rsid w:val="0007770D"/>
    <w:rsid w:val="000873A2"/>
    <w:rsid w:val="000911B4"/>
    <w:rsid w:val="000A1E90"/>
    <w:rsid w:val="000A2D74"/>
    <w:rsid w:val="000A6084"/>
    <w:rsid w:val="000A6B57"/>
    <w:rsid w:val="000A7480"/>
    <w:rsid w:val="000B2044"/>
    <w:rsid w:val="000B2266"/>
    <w:rsid w:val="000B6615"/>
    <w:rsid w:val="000C469F"/>
    <w:rsid w:val="000D0F44"/>
    <w:rsid w:val="000D6294"/>
    <w:rsid w:val="000D66F0"/>
    <w:rsid w:val="000E0F6E"/>
    <w:rsid w:val="000E4C40"/>
    <w:rsid w:val="000E5695"/>
    <w:rsid w:val="000F1795"/>
    <w:rsid w:val="000F2D88"/>
    <w:rsid w:val="000F2DA3"/>
    <w:rsid w:val="000F3C21"/>
    <w:rsid w:val="000F4826"/>
    <w:rsid w:val="000F4B69"/>
    <w:rsid w:val="000F5947"/>
    <w:rsid w:val="000F78F3"/>
    <w:rsid w:val="00101278"/>
    <w:rsid w:val="0010236C"/>
    <w:rsid w:val="001038EF"/>
    <w:rsid w:val="00103B93"/>
    <w:rsid w:val="001074D6"/>
    <w:rsid w:val="00113777"/>
    <w:rsid w:val="00114C97"/>
    <w:rsid w:val="00124BE3"/>
    <w:rsid w:val="0012707C"/>
    <w:rsid w:val="001302DB"/>
    <w:rsid w:val="00134628"/>
    <w:rsid w:val="00144663"/>
    <w:rsid w:val="00157B55"/>
    <w:rsid w:val="00162222"/>
    <w:rsid w:val="001635C7"/>
    <w:rsid w:val="0018245B"/>
    <w:rsid w:val="0018401C"/>
    <w:rsid w:val="00186667"/>
    <w:rsid w:val="00187BE0"/>
    <w:rsid w:val="00191B28"/>
    <w:rsid w:val="00193BCF"/>
    <w:rsid w:val="00195C6F"/>
    <w:rsid w:val="00196812"/>
    <w:rsid w:val="00197ED0"/>
    <w:rsid w:val="001A2524"/>
    <w:rsid w:val="001B1302"/>
    <w:rsid w:val="001B1BC6"/>
    <w:rsid w:val="001B3FBF"/>
    <w:rsid w:val="001B42BE"/>
    <w:rsid w:val="001B72D6"/>
    <w:rsid w:val="001B7CC6"/>
    <w:rsid w:val="001C5D80"/>
    <w:rsid w:val="001C668D"/>
    <w:rsid w:val="001C69EF"/>
    <w:rsid w:val="001D0D4C"/>
    <w:rsid w:val="001D0DB0"/>
    <w:rsid w:val="001D3FAC"/>
    <w:rsid w:val="001D65C8"/>
    <w:rsid w:val="001D6ECD"/>
    <w:rsid w:val="001D75D9"/>
    <w:rsid w:val="001E15D0"/>
    <w:rsid w:val="001E1B20"/>
    <w:rsid w:val="001E2E91"/>
    <w:rsid w:val="001E6FA5"/>
    <w:rsid w:val="001F0286"/>
    <w:rsid w:val="00205A5F"/>
    <w:rsid w:val="0020640F"/>
    <w:rsid w:val="0021251E"/>
    <w:rsid w:val="00220DD8"/>
    <w:rsid w:val="00223D01"/>
    <w:rsid w:val="002304D5"/>
    <w:rsid w:val="00232095"/>
    <w:rsid w:val="00233014"/>
    <w:rsid w:val="0024424F"/>
    <w:rsid w:val="002473A1"/>
    <w:rsid w:val="0025028B"/>
    <w:rsid w:val="002507FE"/>
    <w:rsid w:val="002525C7"/>
    <w:rsid w:val="00254E7F"/>
    <w:rsid w:val="002611C3"/>
    <w:rsid w:val="002622E8"/>
    <w:rsid w:val="002648B5"/>
    <w:rsid w:val="00267283"/>
    <w:rsid w:val="00274FAC"/>
    <w:rsid w:val="00281564"/>
    <w:rsid w:val="0029349C"/>
    <w:rsid w:val="002A4B7F"/>
    <w:rsid w:val="002A55E5"/>
    <w:rsid w:val="002B45A4"/>
    <w:rsid w:val="002C019C"/>
    <w:rsid w:val="002C1941"/>
    <w:rsid w:val="002C29B1"/>
    <w:rsid w:val="002D3ADF"/>
    <w:rsid w:val="002E040C"/>
    <w:rsid w:val="002E0F4A"/>
    <w:rsid w:val="002F0E9D"/>
    <w:rsid w:val="002F62AD"/>
    <w:rsid w:val="002F6539"/>
    <w:rsid w:val="00305FAF"/>
    <w:rsid w:val="00307062"/>
    <w:rsid w:val="00311ADA"/>
    <w:rsid w:val="00311AEB"/>
    <w:rsid w:val="00311BDC"/>
    <w:rsid w:val="00322B07"/>
    <w:rsid w:val="0032323A"/>
    <w:rsid w:val="00323377"/>
    <w:rsid w:val="00325E07"/>
    <w:rsid w:val="00327FB0"/>
    <w:rsid w:val="00340292"/>
    <w:rsid w:val="00340C3A"/>
    <w:rsid w:val="00343648"/>
    <w:rsid w:val="00343AF0"/>
    <w:rsid w:val="003446AD"/>
    <w:rsid w:val="00346359"/>
    <w:rsid w:val="00346B82"/>
    <w:rsid w:val="00346DC3"/>
    <w:rsid w:val="0035022C"/>
    <w:rsid w:val="0035215C"/>
    <w:rsid w:val="00362E2A"/>
    <w:rsid w:val="00363ED1"/>
    <w:rsid w:val="00371E26"/>
    <w:rsid w:val="00373AAB"/>
    <w:rsid w:val="00380B76"/>
    <w:rsid w:val="00383631"/>
    <w:rsid w:val="00383960"/>
    <w:rsid w:val="00384942"/>
    <w:rsid w:val="0039276A"/>
    <w:rsid w:val="00394BC1"/>
    <w:rsid w:val="003A0EC1"/>
    <w:rsid w:val="003B36B4"/>
    <w:rsid w:val="003B6DC6"/>
    <w:rsid w:val="003C0E8C"/>
    <w:rsid w:val="003C1137"/>
    <w:rsid w:val="003C495A"/>
    <w:rsid w:val="003D1E1A"/>
    <w:rsid w:val="003D1ECF"/>
    <w:rsid w:val="003D21F4"/>
    <w:rsid w:val="003D44FC"/>
    <w:rsid w:val="003D799E"/>
    <w:rsid w:val="003E14FE"/>
    <w:rsid w:val="003E565B"/>
    <w:rsid w:val="003F0FE7"/>
    <w:rsid w:val="003F2742"/>
    <w:rsid w:val="003F43EB"/>
    <w:rsid w:val="00402654"/>
    <w:rsid w:val="00403ED2"/>
    <w:rsid w:val="00410A6D"/>
    <w:rsid w:val="00423C71"/>
    <w:rsid w:val="004250C5"/>
    <w:rsid w:val="00425438"/>
    <w:rsid w:val="004330DF"/>
    <w:rsid w:val="00433C1E"/>
    <w:rsid w:val="004369B0"/>
    <w:rsid w:val="00440828"/>
    <w:rsid w:val="0044257C"/>
    <w:rsid w:val="00444A55"/>
    <w:rsid w:val="00446474"/>
    <w:rsid w:val="0044671E"/>
    <w:rsid w:val="00451FCA"/>
    <w:rsid w:val="004527E3"/>
    <w:rsid w:val="00452D31"/>
    <w:rsid w:val="00457CD3"/>
    <w:rsid w:val="00460000"/>
    <w:rsid w:val="00460350"/>
    <w:rsid w:val="00461A70"/>
    <w:rsid w:val="0046349D"/>
    <w:rsid w:val="00464ABB"/>
    <w:rsid w:val="004702DF"/>
    <w:rsid w:val="00470341"/>
    <w:rsid w:val="00473E10"/>
    <w:rsid w:val="00473EC9"/>
    <w:rsid w:val="00474896"/>
    <w:rsid w:val="004771B9"/>
    <w:rsid w:val="00496B2E"/>
    <w:rsid w:val="00496DD2"/>
    <w:rsid w:val="004A2432"/>
    <w:rsid w:val="004A357E"/>
    <w:rsid w:val="004A46A0"/>
    <w:rsid w:val="004A67CC"/>
    <w:rsid w:val="004A6E66"/>
    <w:rsid w:val="004B1C09"/>
    <w:rsid w:val="004C5B7C"/>
    <w:rsid w:val="004D22E1"/>
    <w:rsid w:val="004E041A"/>
    <w:rsid w:val="004E3452"/>
    <w:rsid w:val="004E4E63"/>
    <w:rsid w:val="004F2B3F"/>
    <w:rsid w:val="00501282"/>
    <w:rsid w:val="00501830"/>
    <w:rsid w:val="00504B75"/>
    <w:rsid w:val="00506EF6"/>
    <w:rsid w:val="005141F5"/>
    <w:rsid w:val="00515166"/>
    <w:rsid w:val="0051578D"/>
    <w:rsid w:val="005212AE"/>
    <w:rsid w:val="00525834"/>
    <w:rsid w:val="00533490"/>
    <w:rsid w:val="00542985"/>
    <w:rsid w:val="0054464B"/>
    <w:rsid w:val="0054477E"/>
    <w:rsid w:val="0054785C"/>
    <w:rsid w:val="00555883"/>
    <w:rsid w:val="00560F94"/>
    <w:rsid w:val="005633AD"/>
    <w:rsid w:val="00570F8C"/>
    <w:rsid w:val="005721C7"/>
    <w:rsid w:val="00575970"/>
    <w:rsid w:val="00580560"/>
    <w:rsid w:val="00582960"/>
    <w:rsid w:val="00585084"/>
    <w:rsid w:val="00592D0A"/>
    <w:rsid w:val="00592F2C"/>
    <w:rsid w:val="00594DCA"/>
    <w:rsid w:val="00595285"/>
    <w:rsid w:val="005954A4"/>
    <w:rsid w:val="00597A8E"/>
    <w:rsid w:val="005A2388"/>
    <w:rsid w:val="005A60B7"/>
    <w:rsid w:val="005B0F46"/>
    <w:rsid w:val="005B527B"/>
    <w:rsid w:val="005D0779"/>
    <w:rsid w:val="005D596C"/>
    <w:rsid w:val="005D6807"/>
    <w:rsid w:val="005E0463"/>
    <w:rsid w:val="005E05CC"/>
    <w:rsid w:val="005E2087"/>
    <w:rsid w:val="005E560C"/>
    <w:rsid w:val="005E6FA5"/>
    <w:rsid w:val="005F05D6"/>
    <w:rsid w:val="005F17EC"/>
    <w:rsid w:val="005F3F29"/>
    <w:rsid w:val="005F41D2"/>
    <w:rsid w:val="005F668B"/>
    <w:rsid w:val="005F6B28"/>
    <w:rsid w:val="0060549B"/>
    <w:rsid w:val="00613327"/>
    <w:rsid w:val="00617DD4"/>
    <w:rsid w:val="006214E4"/>
    <w:rsid w:val="00623E3A"/>
    <w:rsid w:val="006245FF"/>
    <w:rsid w:val="00630342"/>
    <w:rsid w:val="0063302E"/>
    <w:rsid w:val="00633177"/>
    <w:rsid w:val="006331F2"/>
    <w:rsid w:val="00633CF7"/>
    <w:rsid w:val="00636261"/>
    <w:rsid w:val="00636B17"/>
    <w:rsid w:val="0064191E"/>
    <w:rsid w:val="00664834"/>
    <w:rsid w:val="006724A2"/>
    <w:rsid w:val="00672BEF"/>
    <w:rsid w:val="00672C2D"/>
    <w:rsid w:val="00672D25"/>
    <w:rsid w:val="00673BA5"/>
    <w:rsid w:val="006767A8"/>
    <w:rsid w:val="00684A5A"/>
    <w:rsid w:val="0069018A"/>
    <w:rsid w:val="006911A1"/>
    <w:rsid w:val="00693EE6"/>
    <w:rsid w:val="006A1E40"/>
    <w:rsid w:val="006A2D00"/>
    <w:rsid w:val="006B4C67"/>
    <w:rsid w:val="006C671E"/>
    <w:rsid w:val="006C7553"/>
    <w:rsid w:val="006D1D53"/>
    <w:rsid w:val="006D27DD"/>
    <w:rsid w:val="006D4647"/>
    <w:rsid w:val="006D4C22"/>
    <w:rsid w:val="006E13AB"/>
    <w:rsid w:val="006E2890"/>
    <w:rsid w:val="006E3E17"/>
    <w:rsid w:val="006E470F"/>
    <w:rsid w:val="006E4EB5"/>
    <w:rsid w:val="006F1C55"/>
    <w:rsid w:val="006F3CEE"/>
    <w:rsid w:val="006F622C"/>
    <w:rsid w:val="0070378F"/>
    <w:rsid w:val="00707CB2"/>
    <w:rsid w:val="00710487"/>
    <w:rsid w:val="00714B3D"/>
    <w:rsid w:val="0071688D"/>
    <w:rsid w:val="007277D1"/>
    <w:rsid w:val="00727EA0"/>
    <w:rsid w:val="00730567"/>
    <w:rsid w:val="0073105A"/>
    <w:rsid w:val="00733AB7"/>
    <w:rsid w:val="00734B8E"/>
    <w:rsid w:val="0073602D"/>
    <w:rsid w:val="00737060"/>
    <w:rsid w:val="00741288"/>
    <w:rsid w:val="00741E1D"/>
    <w:rsid w:val="0074455F"/>
    <w:rsid w:val="00744E84"/>
    <w:rsid w:val="007521F9"/>
    <w:rsid w:val="00756489"/>
    <w:rsid w:val="00756EA2"/>
    <w:rsid w:val="00757F37"/>
    <w:rsid w:val="00762E87"/>
    <w:rsid w:val="00764CF7"/>
    <w:rsid w:val="007723FD"/>
    <w:rsid w:val="00772687"/>
    <w:rsid w:val="00774E1E"/>
    <w:rsid w:val="00780252"/>
    <w:rsid w:val="00782061"/>
    <w:rsid w:val="00785C32"/>
    <w:rsid w:val="00786879"/>
    <w:rsid w:val="00790C4E"/>
    <w:rsid w:val="007B082A"/>
    <w:rsid w:val="007B1C3E"/>
    <w:rsid w:val="007C42E5"/>
    <w:rsid w:val="007C4D1A"/>
    <w:rsid w:val="007E0C02"/>
    <w:rsid w:val="007E263D"/>
    <w:rsid w:val="007F1DE3"/>
    <w:rsid w:val="007F5A8D"/>
    <w:rsid w:val="007F7BD7"/>
    <w:rsid w:val="008056FA"/>
    <w:rsid w:val="0080769B"/>
    <w:rsid w:val="008115B6"/>
    <w:rsid w:val="00813897"/>
    <w:rsid w:val="00814461"/>
    <w:rsid w:val="00824081"/>
    <w:rsid w:val="00824D84"/>
    <w:rsid w:val="00825EA5"/>
    <w:rsid w:val="0082661C"/>
    <w:rsid w:val="00833555"/>
    <w:rsid w:val="008347B3"/>
    <w:rsid w:val="00834F7F"/>
    <w:rsid w:val="00835BDD"/>
    <w:rsid w:val="008379E2"/>
    <w:rsid w:val="00841EB4"/>
    <w:rsid w:val="00844B21"/>
    <w:rsid w:val="00852119"/>
    <w:rsid w:val="0085498E"/>
    <w:rsid w:val="00855BA5"/>
    <w:rsid w:val="0086245E"/>
    <w:rsid w:val="00880EE6"/>
    <w:rsid w:val="00882323"/>
    <w:rsid w:val="00887643"/>
    <w:rsid w:val="0089287A"/>
    <w:rsid w:val="00893021"/>
    <w:rsid w:val="008955D4"/>
    <w:rsid w:val="008A1980"/>
    <w:rsid w:val="008B17AE"/>
    <w:rsid w:val="008B23BD"/>
    <w:rsid w:val="008D0A39"/>
    <w:rsid w:val="008D2405"/>
    <w:rsid w:val="008E3415"/>
    <w:rsid w:val="008E4638"/>
    <w:rsid w:val="008E71D2"/>
    <w:rsid w:val="008F44F3"/>
    <w:rsid w:val="009004F7"/>
    <w:rsid w:val="00901503"/>
    <w:rsid w:val="00902E3F"/>
    <w:rsid w:val="00903E98"/>
    <w:rsid w:val="00906C9B"/>
    <w:rsid w:val="00907F97"/>
    <w:rsid w:val="00910FB5"/>
    <w:rsid w:val="00911C0E"/>
    <w:rsid w:val="009153D7"/>
    <w:rsid w:val="00920D1F"/>
    <w:rsid w:val="009268A2"/>
    <w:rsid w:val="00930856"/>
    <w:rsid w:val="0094213C"/>
    <w:rsid w:val="00943AFD"/>
    <w:rsid w:val="00943CEC"/>
    <w:rsid w:val="00945D45"/>
    <w:rsid w:val="00951A65"/>
    <w:rsid w:val="0095453F"/>
    <w:rsid w:val="0097021E"/>
    <w:rsid w:val="00971744"/>
    <w:rsid w:val="00971C19"/>
    <w:rsid w:val="00971D35"/>
    <w:rsid w:val="0097206C"/>
    <w:rsid w:val="00984D79"/>
    <w:rsid w:val="00985C3A"/>
    <w:rsid w:val="0099296A"/>
    <w:rsid w:val="009965A5"/>
    <w:rsid w:val="009A56D7"/>
    <w:rsid w:val="009A755D"/>
    <w:rsid w:val="009B15FD"/>
    <w:rsid w:val="009B2693"/>
    <w:rsid w:val="009B3AF9"/>
    <w:rsid w:val="009B3BAA"/>
    <w:rsid w:val="009B3C3F"/>
    <w:rsid w:val="009B3F21"/>
    <w:rsid w:val="009B4EB9"/>
    <w:rsid w:val="009B73A7"/>
    <w:rsid w:val="009C1A42"/>
    <w:rsid w:val="009D1870"/>
    <w:rsid w:val="009D3E05"/>
    <w:rsid w:val="009D54AB"/>
    <w:rsid w:val="009D60EB"/>
    <w:rsid w:val="009D74FC"/>
    <w:rsid w:val="009E07F4"/>
    <w:rsid w:val="009E2BAA"/>
    <w:rsid w:val="009E2CEC"/>
    <w:rsid w:val="009E3E0B"/>
    <w:rsid w:val="009F480F"/>
    <w:rsid w:val="009F4A7B"/>
    <w:rsid w:val="00A01505"/>
    <w:rsid w:val="00A1530B"/>
    <w:rsid w:val="00A16747"/>
    <w:rsid w:val="00A16D78"/>
    <w:rsid w:val="00A21753"/>
    <w:rsid w:val="00A21EC2"/>
    <w:rsid w:val="00A24DC0"/>
    <w:rsid w:val="00A33AA8"/>
    <w:rsid w:val="00A42A96"/>
    <w:rsid w:val="00A44046"/>
    <w:rsid w:val="00A455A0"/>
    <w:rsid w:val="00A50D92"/>
    <w:rsid w:val="00A53C6C"/>
    <w:rsid w:val="00A55038"/>
    <w:rsid w:val="00A575D2"/>
    <w:rsid w:val="00A62469"/>
    <w:rsid w:val="00A62DD4"/>
    <w:rsid w:val="00A65A66"/>
    <w:rsid w:val="00A7219D"/>
    <w:rsid w:val="00A76B36"/>
    <w:rsid w:val="00A805BC"/>
    <w:rsid w:val="00A80F9F"/>
    <w:rsid w:val="00A81075"/>
    <w:rsid w:val="00A83050"/>
    <w:rsid w:val="00A83F4B"/>
    <w:rsid w:val="00A87550"/>
    <w:rsid w:val="00A948C3"/>
    <w:rsid w:val="00A95FA9"/>
    <w:rsid w:val="00A96BCD"/>
    <w:rsid w:val="00AA1DFA"/>
    <w:rsid w:val="00AA5B03"/>
    <w:rsid w:val="00AA68D4"/>
    <w:rsid w:val="00AB373C"/>
    <w:rsid w:val="00AB5159"/>
    <w:rsid w:val="00AC2ACF"/>
    <w:rsid w:val="00AC2B47"/>
    <w:rsid w:val="00AC3D9E"/>
    <w:rsid w:val="00AC446F"/>
    <w:rsid w:val="00AC6C3D"/>
    <w:rsid w:val="00AD1ADB"/>
    <w:rsid w:val="00AD2F16"/>
    <w:rsid w:val="00AD30B2"/>
    <w:rsid w:val="00AD68B9"/>
    <w:rsid w:val="00AE17F1"/>
    <w:rsid w:val="00AE2FB9"/>
    <w:rsid w:val="00AE342F"/>
    <w:rsid w:val="00AE4F96"/>
    <w:rsid w:val="00AE6D9A"/>
    <w:rsid w:val="00AE7435"/>
    <w:rsid w:val="00AF2397"/>
    <w:rsid w:val="00AF27F9"/>
    <w:rsid w:val="00AF3D19"/>
    <w:rsid w:val="00AF60BA"/>
    <w:rsid w:val="00B040BC"/>
    <w:rsid w:val="00B0441A"/>
    <w:rsid w:val="00B044FC"/>
    <w:rsid w:val="00B06458"/>
    <w:rsid w:val="00B071B2"/>
    <w:rsid w:val="00B07C45"/>
    <w:rsid w:val="00B11578"/>
    <w:rsid w:val="00B12EB2"/>
    <w:rsid w:val="00B13F60"/>
    <w:rsid w:val="00B2239A"/>
    <w:rsid w:val="00B25119"/>
    <w:rsid w:val="00B26FE5"/>
    <w:rsid w:val="00B27004"/>
    <w:rsid w:val="00B33F45"/>
    <w:rsid w:val="00B33FA5"/>
    <w:rsid w:val="00B40443"/>
    <w:rsid w:val="00B415B8"/>
    <w:rsid w:val="00B420AC"/>
    <w:rsid w:val="00B4354A"/>
    <w:rsid w:val="00B54CC5"/>
    <w:rsid w:val="00B60E27"/>
    <w:rsid w:val="00B64D62"/>
    <w:rsid w:val="00B6632C"/>
    <w:rsid w:val="00B81F61"/>
    <w:rsid w:val="00B83944"/>
    <w:rsid w:val="00B86A3F"/>
    <w:rsid w:val="00B92FD1"/>
    <w:rsid w:val="00B94B49"/>
    <w:rsid w:val="00BA1773"/>
    <w:rsid w:val="00BA7AF1"/>
    <w:rsid w:val="00BB03CC"/>
    <w:rsid w:val="00BB252C"/>
    <w:rsid w:val="00BB5126"/>
    <w:rsid w:val="00BB7518"/>
    <w:rsid w:val="00BC0205"/>
    <w:rsid w:val="00BC14F5"/>
    <w:rsid w:val="00BC2146"/>
    <w:rsid w:val="00BD4710"/>
    <w:rsid w:val="00BD4DEE"/>
    <w:rsid w:val="00BD6918"/>
    <w:rsid w:val="00BD7053"/>
    <w:rsid w:val="00BE33B1"/>
    <w:rsid w:val="00BE3EB8"/>
    <w:rsid w:val="00BE439F"/>
    <w:rsid w:val="00BE52AF"/>
    <w:rsid w:val="00BE5584"/>
    <w:rsid w:val="00BF1111"/>
    <w:rsid w:val="00BF3886"/>
    <w:rsid w:val="00C009AF"/>
    <w:rsid w:val="00C03EF8"/>
    <w:rsid w:val="00C06606"/>
    <w:rsid w:val="00C1039C"/>
    <w:rsid w:val="00C17098"/>
    <w:rsid w:val="00C2005E"/>
    <w:rsid w:val="00C205E4"/>
    <w:rsid w:val="00C26FF6"/>
    <w:rsid w:val="00C2782D"/>
    <w:rsid w:val="00C3040F"/>
    <w:rsid w:val="00C31398"/>
    <w:rsid w:val="00C31708"/>
    <w:rsid w:val="00C31F37"/>
    <w:rsid w:val="00C36C15"/>
    <w:rsid w:val="00C4213A"/>
    <w:rsid w:val="00C4371A"/>
    <w:rsid w:val="00C4627A"/>
    <w:rsid w:val="00C54ED4"/>
    <w:rsid w:val="00C637D1"/>
    <w:rsid w:val="00C640B8"/>
    <w:rsid w:val="00C7033B"/>
    <w:rsid w:val="00C83157"/>
    <w:rsid w:val="00C8683C"/>
    <w:rsid w:val="00C86E1D"/>
    <w:rsid w:val="00C927D5"/>
    <w:rsid w:val="00C97508"/>
    <w:rsid w:val="00CA0730"/>
    <w:rsid w:val="00CA091E"/>
    <w:rsid w:val="00CA1C04"/>
    <w:rsid w:val="00CA3808"/>
    <w:rsid w:val="00CA65DD"/>
    <w:rsid w:val="00CB0E8A"/>
    <w:rsid w:val="00CB7680"/>
    <w:rsid w:val="00CC05B9"/>
    <w:rsid w:val="00CC3F83"/>
    <w:rsid w:val="00CC57FC"/>
    <w:rsid w:val="00CC7DB0"/>
    <w:rsid w:val="00CD5F24"/>
    <w:rsid w:val="00CD6E50"/>
    <w:rsid w:val="00CE0E18"/>
    <w:rsid w:val="00CE193A"/>
    <w:rsid w:val="00CE25BB"/>
    <w:rsid w:val="00CE6A71"/>
    <w:rsid w:val="00CF21C5"/>
    <w:rsid w:val="00CF6DF0"/>
    <w:rsid w:val="00D06255"/>
    <w:rsid w:val="00D12B02"/>
    <w:rsid w:val="00D15D82"/>
    <w:rsid w:val="00D1705E"/>
    <w:rsid w:val="00D25602"/>
    <w:rsid w:val="00D30BD3"/>
    <w:rsid w:val="00D33791"/>
    <w:rsid w:val="00D33BA8"/>
    <w:rsid w:val="00D364EB"/>
    <w:rsid w:val="00D40363"/>
    <w:rsid w:val="00D451BC"/>
    <w:rsid w:val="00D51E96"/>
    <w:rsid w:val="00D5661A"/>
    <w:rsid w:val="00D568BB"/>
    <w:rsid w:val="00D63B9E"/>
    <w:rsid w:val="00D6565D"/>
    <w:rsid w:val="00D65D90"/>
    <w:rsid w:val="00D66016"/>
    <w:rsid w:val="00D769BA"/>
    <w:rsid w:val="00D8034F"/>
    <w:rsid w:val="00D81755"/>
    <w:rsid w:val="00D8505A"/>
    <w:rsid w:val="00D85266"/>
    <w:rsid w:val="00D8617C"/>
    <w:rsid w:val="00D87D00"/>
    <w:rsid w:val="00D92498"/>
    <w:rsid w:val="00D94E23"/>
    <w:rsid w:val="00DA1983"/>
    <w:rsid w:val="00DA2F1E"/>
    <w:rsid w:val="00DA329B"/>
    <w:rsid w:val="00DA5831"/>
    <w:rsid w:val="00DB2873"/>
    <w:rsid w:val="00DB6417"/>
    <w:rsid w:val="00DC4482"/>
    <w:rsid w:val="00DC6D2A"/>
    <w:rsid w:val="00DD1CEE"/>
    <w:rsid w:val="00DD2C3B"/>
    <w:rsid w:val="00DD5028"/>
    <w:rsid w:val="00DE7C60"/>
    <w:rsid w:val="00DF1198"/>
    <w:rsid w:val="00DF2D90"/>
    <w:rsid w:val="00E12082"/>
    <w:rsid w:val="00E21589"/>
    <w:rsid w:val="00E24D9E"/>
    <w:rsid w:val="00E257C8"/>
    <w:rsid w:val="00E26581"/>
    <w:rsid w:val="00E269C1"/>
    <w:rsid w:val="00E2722E"/>
    <w:rsid w:val="00E27752"/>
    <w:rsid w:val="00E3447D"/>
    <w:rsid w:val="00E428F6"/>
    <w:rsid w:val="00E431CE"/>
    <w:rsid w:val="00E445F8"/>
    <w:rsid w:val="00E503E4"/>
    <w:rsid w:val="00E5134D"/>
    <w:rsid w:val="00E55E02"/>
    <w:rsid w:val="00E571C4"/>
    <w:rsid w:val="00E5775C"/>
    <w:rsid w:val="00E62A84"/>
    <w:rsid w:val="00E63B3D"/>
    <w:rsid w:val="00E64272"/>
    <w:rsid w:val="00E64479"/>
    <w:rsid w:val="00E66A12"/>
    <w:rsid w:val="00E67D99"/>
    <w:rsid w:val="00E70E8B"/>
    <w:rsid w:val="00E75556"/>
    <w:rsid w:val="00E76F1F"/>
    <w:rsid w:val="00E80BE2"/>
    <w:rsid w:val="00E8309D"/>
    <w:rsid w:val="00E90A9C"/>
    <w:rsid w:val="00E912B7"/>
    <w:rsid w:val="00E95356"/>
    <w:rsid w:val="00E966E5"/>
    <w:rsid w:val="00E96898"/>
    <w:rsid w:val="00E9710E"/>
    <w:rsid w:val="00E97D49"/>
    <w:rsid w:val="00EA3D96"/>
    <w:rsid w:val="00EA4C82"/>
    <w:rsid w:val="00EA6B69"/>
    <w:rsid w:val="00EA6B7B"/>
    <w:rsid w:val="00EB25E4"/>
    <w:rsid w:val="00EB3D8B"/>
    <w:rsid w:val="00ED1B77"/>
    <w:rsid w:val="00ED1E31"/>
    <w:rsid w:val="00ED5511"/>
    <w:rsid w:val="00ED57D1"/>
    <w:rsid w:val="00EE2130"/>
    <w:rsid w:val="00EE7A0B"/>
    <w:rsid w:val="00EF3B7C"/>
    <w:rsid w:val="00EF4DD2"/>
    <w:rsid w:val="00EF568A"/>
    <w:rsid w:val="00EF56FA"/>
    <w:rsid w:val="00EF6216"/>
    <w:rsid w:val="00EF6E42"/>
    <w:rsid w:val="00F046FB"/>
    <w:rsid w:val="00F0613C"/>
    <w:rsid w:val="00F06EDE"/>
    <w:rsid w:val="00F10508"/>
    <w:rsid w:val="00F11244"/>
    <w:rsid w:val="00F120D4"/>
    <w:rsid w:val="00F14672"/>
    <w:rsid w:val="00F14A7B"/>
    <w:rsid w:val="00F1658B"/>
    <w:rsid w:val="00F2540D"/>
    <w:rsid w:val="00F26602"/>
    <w:rsid w:val="00F31380"/>
    <w:rsid w:val="00F333BF"/>
    <w:rsid w:val="00F34483"/>
    <w:rsid w:val="00F34499"/>
    <w:rsid w:val="00F365C9"/>
    <w:rsid w:val="00F406E3"/>
    <w:rsid w:val="00F40C82"/>
    <w:rsid w:val="00F41AA6"/>
    <w:rsid w:val="00F5114E"/>
    <w:rsid w:val="00F53B1A"/>
    <w:rsid w:val="00F54568"/>
    <w:rsid w:val="00F57249"/>
    <w:rsid w:val="00F60094"/>
    <w:rsid w:val="00F6042F"/>
    <w:rsid w:val="00F62DE3"/>
    <w:rsid w:val="00F77131"/>
    <w:rsid w:val="00F7796E"/>
    <w:rsid w:val="00F85CBF"/>
    <w:rsid w:val="00F85D7E"/>
    <w:rsid w:val="00F92B0F"/>
    <w:rsid w:val="00F94C5A"/>
    <w:rsid w:val="00F9749C"/>
    <w:rsid w:val="00FA379D"/>
    <w:rsid w:val="00FA4C13"/>
    <w:rsid w:val="00FA6E20"/>
    <w:rsid w:val="00FB345F"/>
    <w:rsid w:val="00FB4DA5"/>
    <w:rsid w:val="00FB7A18"/>
    <w:rsid w:val="00FC3236"/>
    <w:rsid w:val="00FC57A1"/>
    <w:rsid w:val="00FD3820"/>
    <w:rsid w:val="00FE2508"/>
    <w:rsid w:val="00FE3301"/>
    <w:rsid w:val="00FE3EEE"/>
    <w:rsid w:val="00FE6E6D"/>
    <w:rsid w:val="00FF0DAE"/>
    <w:rsid w:val="00FF3092"/>
    <w:rsid w:val="00FF6C89"/>
    <w:rsid w:val="00FF721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2049" v:ext="edit"/>
    <o:shapelayout v:ext="edit">
      <o:idmap data="1" v:ext="edit"/>
    </o:shapelayout>
  </w:shapeDefaults>
  <w:doNotEmbedSmartTags/>
  <w:decimalSymbol w:val="."/>
  <w:listSeparator w:val=","/>
  <w15:docId w15:val="{9CE9F10A-D266-40C6-AA50-04DD1132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075BBB"/>
    <w:pPr>
      <w:widowControl w:val="0"/>
      <w:jc w:val="both"/>
    </w:pPr>
    <w:rPr>
      <w:kern w:val="2"/>
      <w:sz w:val="21"/>
      <w:szCs w:val="24"/>
    </w:rPr>
  </w:style>
  <w:style w:styleId="1" w:type="paragraph">
    <w:name w:val="heading 1"/>
    <w:basedOn w:val="a"/>
    <w:next w:val="a"/>
    <w:link w:val="1Char"/>
    <w:qFormat/>
    <w:rsid w:val="00CA65DD"/>
    <w:pPr>
      <w:keepNext/>
      <w:keepLines/>
      <w:spacing w:after="330" w:before="340" w:line="578" w:lineRule="auto"/>
      <w:outlineLvl w:val="0"/>
    </w:pPr>
    <w:rPr>
      <w:b/>
      <w:bCs/>
      <w:kern w:val="44"/>
      <w:sz w:val="44"/>
      <w:szCs w:val="44"/>
    </w:rPr>
  </w:style>
  <w:style w:styleId="2" w:type="paragraph">
    <w:name w:val="heading 2"/>
    <w:basedOn w:val="a"/>
    <w:next w:val="a0"/>
    <w:qFormat/>
    <w:rsid w:val="009D74FC"/>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4" w:type="paragraph">
    <w:name w:val="header"/>
    <w:basedOn w:val="a"/>
    <w:link w:val="Char"/>
    <w:uiPriority w:val="99"/>
    <w:rsid w:val="00613327"/>
    <w:pPr>
      <w:pBdr>
        <w:bottom w:color="auto" w:space="1" w:sz="6" w:val="single"/>
      </w:pBdr>
      <w:tabs>
        <w:tab w:pos="4153" w:val="center"/>
        <w:tab w:pos="8306" w:val="right"/>
      </w:tabs>
      <w:snapToGrid w:val="0"/>
      <w:jc w:val="center"/>
    </w:pPr>
    <w:rPr>
      <w:sz w:val="18"/>
      <w:szCs w:val="18"/>
    </w:rPr>
  </w:style>
  <w:style w:styleId="a5" w:type="paragraph">
    <w:name w:val="footer"/>
    <w:basedOn w:val="a"/>
    <w:rsid w:val="00613327"/>
    <w:pPr>
      <w:tabs>
        <w:tab w:pos="4153" w:val="center"/>
        <w:tab w:pos="8306" w:val="right"/>
      </w:tabs>
      <w:snapToGrid w:val="0"/>
      <w:jc w:val="left"/>
    </w:pPr>
    <w:rPr>
      <w:sz w:val="18"/>
      <w:szCs w:val="18"/>
    </w:rPr>
  </w:style>
  <w:style w:customStyle="1" w:styleId="Char0" w:type="paragraph">
    <w:name w:val="Char"/>
    <w:basedOn w:val="a"/>
    <w:rsid w:val="00186667"/>
  </w:style>
  <w:style w:styleId="20" w:type="paragraph">
    <w:name w:val="Body Text Indent 2"/>
    <w:basedOn w:val="a"/>
    <w:rsid w:val="00186667"/>
    <w:pPr>
      <w:spacing w:line="560" w:lineRule="exact"/>
      <w:ind w:firstLine="480" w:firstLineChars="200"/>
    </w:pPr>
    <w:rPr>
      <w:rFonts w:ascii="宋体" w:hAnsi="宋体"/>
      <w:color w:val="FF0000"/>
      <w:sz w:val="24"/>
    </w:rPr>
  </w:style>
  <w:style w:styleId="a6" w:type="paragraph">
    <w:name w:val="Plain Text"/>
    <w:basedOn w:val="a"/>
    <w:link w:val="Char1"/>
    <w:uiPriority w:val="99"/>
    <w:rsid w:val="004771B9"/>
    <w:rPr>
      <w:rFonts w:ascii="宋体" w:hAnsi="Courier New"/>
      <w:szCs w:val="21"/>
    </w:rPr>
  </w:style>
  <w:style w:styleId="3" w:type="paragraph">
    <w:name w:val="Body Text Indent 3"/>
    <w:basedOn w:val="a"/>
    <w:rsid w:val="004771B9"/>
    <w:pPr>
      <w:spacing w:after="120"/>
      <w:ind w:left="420" w:leftChars="200"/>
    </w:pPr>
    <w:rPr>
      <w:sz w:val="16"/>
      <w:szCs w:val="16"/>
    </w:rPr>
  </w:style>
  <w:style w:styleId="a0" w:type="paragraph">
    <w:name w:val="Normal Indent"/>
    <w:basedOn w:val="a"/>
    <w:rsid w:val="009D74FC"/>
    <w:pPr>
      <w:ind w:firstLine="420" w:firstLineChars="200"/>
    </w:pPr>
  </w:style>
  <w:style w:styleId="a7" w:type="paragraph">
    <w:name w:val="Document Map"/>
    <w:basedOn w:val="a"/>
    <w:semiHidden/>
    <w:rsid w:val="005212AE"/>
    <w:pPr>
      <w:shd w:color="auto" w:fill="000080" w:val="clear"/>
    </w:pPr>
  </w:style>
  <w:style w:customStyle="1" w:styleId="Char1" w:type="character">
    <w:name w:val="纯文本 Char"/>
    <w:link w:val="a6"/>
    <w:uiPriority w:val="99"/>
    <w:rsid w:val="00E63B3D"/>
    <w:rPr>
      <w:rFonts w:ascii="宋体" w:hAnsi="Courier New"/>
      <w:kern w:val="2"/>
      <w:sz w:val="21"/>
      <w:szCs w:val="21"/>
    </w:rPr>
  </w:style>
  <w:style w:styleId="a8" w:type="paragraph">
    <w:name w:val="Balloon Text"/>
    <w:basedOn w:val="a"/>
    <w:link w:val="Char2"/>
    <w:rsid w:val="00E63B3D"/>
    <w:rPr>
      <w:sz w:val="18"/>
      <w:szCs w:val="18"/>
    </w:rPr>
  </w:style>
  <w:style w:customStyle="1" w:styleId="Char2" w:type="character">
    <w:name w:val="批注框文本 Char"/>
    <w:basedOn w:val="a1"/>
    <w:link w:val="a8"/>
    <w:rsid w:val="00E63B3D"/>
    <w:rPr>
      <w:kern w:val="2"/>
      <w:sz w:val="18"/>
      <w:szCs w:val="18"/>
    </w:rPr>
  </w:style>
  <w:style w:styleId="a9" w:type="paragraph">
    <w:name w:val="List Paragraph"/>
    <w:basedOn w:val="a"/>
    <w:uiPriority w:val="34"/>
    <w:qFormat/>
    <w:rsid w:val="005F668B"/>
    <w:pPr>
      <w:ind w:firstLine="420" w:firstLineChars="200"/>
    </w:pPr>
  </w:style>
  <w:style w:styleId="aa" w:type="table">
    <w:name w:val="Table Grid"/>
    <w:basedOn w:val="a2"/>
    <w:qFormat/>
    <w:rsid w:val="005A60B7"/>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styleId="ab" w:type="paragraph">
    <w:name w:val="Normal (Web)"/>
    <w:basedOn w:val="a"/>
    <w:rsid w:val="008B23BD"/>
    <w:pPr>
      <w:widowControl/>
      <w:spacing w:after="100" w:afterAutospacing="1" w:before="100" w:beforeAutospacing="1"/>
    </w:pPr>
    <w:rPr>
      <w:rFonts w:ascii="宋体" w:hAnsi="宋体"/>
      <w:kern w:val="0"/>
      <w:sz w:val="24"/>
      <w:szCs w:val="20"/>
    </w:rPr>
  </w:style>
  <w:style w:customStyle="1" w:styleId="Char" w:type="character">
    <w:name w:val="页眉 Char"/>
    <w:basedOn w:val="a1"/>
    <w:link w:val="a4"/>
    <w:uiPriority w:val="99"/>
    <w:rsid w:val="008379E2"/>
    <w:rPr>
      <w:kern w:val="2"/>
      <w:sz w:val="18"/>
      <w:szCs w:val="18"/>
    </w:rPr>
  </w:style>
  <w:style w:customStyle="1" w:styleId="1Char" w:type="character">
    <w:name w:val="标题 1 Char"/>
    <w:basedOn w:val="a1"/>
    <w:link w:val="1"/>
    <w:rsid w:val="00CA65DD"/>
    <w:rPr>
      <w:b/>
      <w:bCs/>
      <w:kern w:val="44"/>
      <w:sz w:val="44"/>
      <w:szCs w:val="44"/>
    </w:rPr>
  </w:style>
  <w:style w:styleId="ac" w:type="paragraph">
    <w:name w:val="Date"/>
    <w:basedOn w:val="a"/>
    <w:next w:val="a"/>
    <w:link w:val="Char3"/>
    <w:rsid w:val="00D66016"/>
    <w:rPr>
      <w:sz w:val="24"/>
      <w:szCs w:val="20"/>
    </w:rPr>
  </w:style>
  <w:style w:customStyle="1" w:styleId="Char3" w:type="character">
    <w:name w:val="日期 Char"/>
    <w:basedOn w:val="a1"/>
    <w:link w:val="ac"/>
    <w:rsid w:val="00D66016"/>
    <w:rPr>
      <w:kern w:val="2"/>
      <w:sz w:val="24"/>
    </w:rPr>
  </w:style>
  <w:style w:styleId="ad" w:type="character">
    <w:name w:val="Strong"/>
    <w:basedOn w:val="a1"/>
    <w:uiPriority w:val="22"/>
    <w:qFormat/>
    <w:rsid w:val="00A21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7842">
      <w:bodyDiv w:val="1"/>
      <w:marLeft w:val="0"/>
      <w:marRight w:val="0"/>
      <w:marTop w:val="0"/>
      <w:marBottom w:val="0"/>
      <w:divBdr>
        <w:top w:val="none" w:sz="0" w:space="0" w:color="auto"/>
        <w:left w:val="none" w:sz="0" w:space="0" w:color="auto"/>
        <w:bottom w:val="none" w:sz="0" w:space="0" w:color="auto"/>
        <w:right w:val="none" w:sz="0" w:space="0" w:color="auto"/>
      </w:divBdr>
    </w:div>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 w:id="1338926825">
      <w:bodyDiv w:val="1"/>
      <w:marLeft w:val="0"/>
      <w:marRight w:val="0"/>
      <w:marTop w:val="0"/>
      <w:marBottom w:val="0"/>
      <w:divBdr>
        <w:top w:val="none" w:sz="0" w:space="0" w:color="auto"/>
        <w:left w:val="none" w:sz="0" w:space="0" w:color="auto"/>
        <w:bottom w:val="none" w:sz="0" w:space="0" w:color="auto"/>
        <w:right w:val="none" w:sz="0" w:space="0" w:color="auto"/>
      </w:divBdr>
    </w:div>
    <w:div w:id="1455054290">
      <w:bodyDiv w:val="1"/>
      <w:marLeft w:val="0"/>
      <w:marRight w:val="0"/>
      <w:marTop w:val="0"/>
      <w:marBottom w:val="0"/>
      <w:divBdr>
        <w:top w:val="none" w:sz="0" w:space="0" w:color="auto"/>
        <w:left w:val="none" w:sz="0" w:space="0" w:color="auto"/>
        <w:bottom w:val="none" w:sz="0" w:space="0" w:color="auto"/>
        <w:right w:val="none" w:sz="0" w:space="0" w:color="auto"/>
      </w:divBdr>
    </w:div>
    <w:div w:id="1487357562">
      <w:bodyDiv w:val="1"/>
      <w:marLeft w:val="0"/>
      <w:marRight w:val="0"/>
      <w:marTop w:val="0"/>
      <w:marBottom w:val="0"/>
      <w:divBdr>
        <w:top w:val="none" w:sz="0" w:space="0" w:color="auto"/>
        <w:left w:val="none" w:sz="0" w:space="0" w:color="auto"/>
        <w:bottom w:val="none" w:sz="0" w:space="0" w:color="auto"/>
        <w:right w:val="none" w:sz="0" w:space="0" w:color="auto"/>
      </w:divBdr>
    </w:div>
    <w:div w:id="1707101621">
      <w:bodyDiv w:val="1"/>
      <w:marLeft w:val="0"/>
      <w:marRight w:val="0"/>
      <w:marTop w:val="0"/>
      <w:marBottom w:val="0"/>
      <w:divBdr>
        <w:top w:val="none" w:sz="0" w:space="0" w:color="auto"/>
        <w:left w:val="none" w:sz="0" w:space="0" w:color="auto"/>
        <w:bottom w:val="none" w:sz="0" w:space="0" w:color="auto"/>
        <w:right w:val="none" w:sz="0" w:space="0" w:color="auto"/>
      </w:divBdr>
    </w:div>
    <w:div w:id="19713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ntTable.xml" Type="http://schemas.openxmlformats.org/officeDocument/2006/relationships/fontTable"/>
<Relationship Id="rId17"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5C4DA2-A388-404C-A21B-6B2BD1FD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23</Pages>
  <Words>3613</Words>
  <Characters>20597</Characters>
  <Application>Microsoft Office Word</Application>
  <DocSecurity>0</DocSecurity>
  <Lines>171</Lines>
  <Paragraphs>48</Paragraphs>
  <ScaleCrop>false</ScaleCrop>
  <Company>jysld</Company>
  <LinksUpToDate>false</LinksUpToDate>
  <CharactersWithSpaces>24162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2012-11-21T05:49:00Z</dcterms:created>
  <cp:lastModifiedBy>业务系统</cp:lastModifiedBy>
  <cp:lastPrinted>2009-01-22T10:11:00Z</cp:lastPrinted>
  <dcterms:modified xsi:type="dcterms:W3CDTF">2019-08-22T08:33:00Z</dcterms:modified>
  <cp:revision>331</cp:revision>
</cp:coreProperties>
</file>