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交银施罗德天鑫宝货币市场基金</w:t>
      </w:r>
    </w:p>
    <w:p w:rsidP="00281564" w:rsidR="00B60E27" w:rsidRDefault="00B60E27" w:rsidRPr="001E1B20">
      <w:pPr>
        <w:spacing w:before="29" w:line="288" w:lineRule="auto"/>
        <w:jc w:val="center"/>
        <w:rPr>
          <w:b/>
          <w:sz w:val="36"/>
          <w:szCs w:val="36"/>
        </w:rPr>
      </w:pPr>
      <w:r w:rsidRPr="001E1B20">
        <w:rPr>
          <w:b/>
          <w:sz w:val="36"/>
          <w:szCs w:val="36"/>
        </w:rPr>
        <w:t>2019年第3季度报告</w:t>
      </w:r>
    </w:p>
    <w:p w:rsidP="00281564" w:rsidR="002B45A4" w:rsidRDefault="00D87D00" w:rsidRPr="001E1B20">
      <w:pPr>
        <w:spacing w:before="29" w:line="288" w:lineRule="auto"/>
        <w:jc w:val="center"/>
        <w:rPr>
          <w:b/>
          <w:sz w:val="36"/>
          <w:szCs w:val="36"/>
        </w:rPr>
      </w:pPr>
      <w:r w:rsidRPr="001E1B20">
        <w:rPr>
          <w:b/>
          <w:sz w:val="36"/>
          <w:szCs w:val="36"/>
        </w:rPr>
        <w:t>2019年9月30日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兴业银行股份有限公司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二〇一九年十月二十二日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基金托管人兴业银行股份有限公司根据本基金合同规定，于2019年10月21日复核了本报告中的财务指标、净值表现和投资组合报告等内容，保证复核内容不存在虚假记载、误导性陈述或者重大遗漏。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本报告期自2019年7月1日起至9月30日止。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2016年12月7日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7,647,420,656.28</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交银天鑫宝货币A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交银天鑫宝货币E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003482</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003483</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16,809,299.89</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7,630,611,356.39</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(2019年7月1日-2019年9月30日)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交银天鑫宝货币A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交银天鑫宝货币E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110,133.90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56,346,464.46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110,133.90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56,346,464.46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16,809,299.89</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7,630,611,356.39</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交银天鑫宝货币A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0.6111%</w:t>
            </w:r>
          </w:p>
        </w:tc>
        <w:tc>
          <w:tcPr>
            <w:vAlign w:val="center"/>
          </w:tcPr>
          <w:p>
            <w:pPr>
              <w:jc w:val="center"/>
            </w:pPr>
            <w:r>
              <w:rPr>
                <w:rFonts w:ascii="Times New Roman" w:hAnsi="Times New Roman"/>
                <w:color w:val="000000"/>
              </w:rPr>
              <w:t>0.0004%</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0.5229%</w:t>
            </w:r>
          </w:p>
        </w:tc>
        <w:tc>
          <w:tcPr>
            <w:vAlign w:val="center"/>
          </w:tcPr>
          <w:p>
            <w:pPr>
              <w:jc w:val="center"/>
            </w:pPr>
            <w:r>
              <w:rPr>
                <w:rFonts w:ascii="Times New Roman" w:hAnsi="Times New Roman"/>
                <w:color w:val="000000"/>
              </w:rPr>
              <w:t>0.0004%</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交银天鑫宝货币E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0.6721%</w:t>
            </w:r>
          </w:p>
        </w:tc>
        <w:tc>
          <w:tcPr>
            <w:vAlign w:val="center"/>
          </w:tcPr>
          <w:p>
            <w:pPr>
              <w:jc w:val="center"/>
            </w:pPr>
            <w:r>
              <w:rPr>
                <w:rFonts w:ascii="Times New Roman" w:hAnsi="Times New Roman"/>
                <w:color w:val="000000"/>
              </w:rPr>
              <w:t>0.0004%</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0.5839%</w:t>
            </w:r>
          </w:p>
        </w:tc>
        <w:tc>
          <w:tcPr>
            <w:vAlign w:val="center"/>
          </w:tcPr>
          <w:p>
            <w:pPr>
              <w:jc w:val="center"/>
            </w:pPr>
            <w:r>
              <w:rPr>
                <w:rFonts w:ascii="Times New Roman" w:hAnsi="Times New Roman"/>
                <w:color w:val="000000"/>
              </w:rPr>
              <w:t>0.0004%</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交银施罗德天鑫宝货币市场基金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2016年12月7日</w:t>
      </w:r>
      <w:r w:rsidR="00A7219D" w:rsidRPr="000E4C40">
        <w:rPr>
          <w:rFonts w:hAnsi="宋体"/>
          <w:color w:val="000000"/>
          <w:kern w:val="0"/>
          <w:sz w:val="24"/>
        </w:rPr>
        <w:t>至</w:t>
      </w:r>
      <w:r w:rsidR="00A7219D" w:rsidRPr="000E4C40">
        <w:rPr>
          <w:color w:val="000000"/>
          <w:kern w:val="0"/>
          <w:sz w:val="24"/>
        </w:rPr>
        <w:t>2019年9月30日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交银天鑫宝货币A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交银天鑫宝货币E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交银理财21天债券、交银丰享收益债券、交银裕通纯债债券、交银活期通货币、交银天利宝货币、交银裕隆纯债债券、交银天益宝货币、交银境尚收益债券、交银稳鑫短债债券的基金经理</w:t>
            </w:r>
          </w:p>
        </w:tc>
        <w:tc>
          <w:tcPr>
            <w:vAlign w:val="center"/>
          </w:tcPr>
          <w:p>
            <w:pPr>
              <w:jc w:val="center"/>
            </w:pPr>
            <w:r>
              <w:rPr>
                <w:color w:val="000000"/>
                <w:sz w:val="24"/>
              </w:rPr>
              <w:t>2016-12-07</w:t>
            </w:r>
          </w:p>
        </w:tc>
        <w:tc>
          <w:tcPr>
            <w:vAlign w:val="center"/>
          </w:tcPr>
          <w:p>
            <w:pPr>
              <w:jc w:val="center"/>
            </w:pPr>
            <w:r>
              <w:rPr>
                <w:color w:val="000000"/>
                <w:sz w:val="24"/>
              </w:rPr>
              <w:t>2019-08-03</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2016-12-07</w:t>
            </w:r>
          </w:p>
        </w:tc>
        <w:tc>
          <w:tcPr>
            <w:vAlign w:val="center"/>
          </w:tcPr>
          <w:p>
            <w:pPr>
              <w:jc w:val="center"/>
            </w:pPr>
            <w:r>
              <w:rPr>
                <w:color w:val="000000"/>
                <w:sz w:val="24"/>
              </w:rPr>
              <w:t>2019-08-03</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r>
        <w:tc>
          <w:tcPr>
            <w:vAlign w:val="center"/>
          </w:tcPr>
          <w:p>
            <w:pPr>
              <w:jc w:val="center"/>
            </w:pPr>
            <w:r>
              <w:rPr>
                <w:color w:val="000000"/>
                <w:sz w:val="24"/>
              </w:rPr>
              <w:t>季参平</w:t>
            </w:r>
          </w:p>
        </w:tc>
        <w:tc>
          <w:tcPr>
            <w:vAlign w:val="center"/>
          </w:tcPr>
          <w:p>
            <w:pPr>
              <w:jc w:val="center"/>
            </w:pPr>
            <w:r>
              <w:rPr>
                <w:color w:val="000000"/>
                <w:sz w:val="24"/>
              </w:rPr>
              <w:t>交银货币、交银现金宝货币、交银天鑫宝货币的基金经理</w:t>
            </w:r>
          </w:p>
        </w:tc>
        <w:tc>
          <w:tcPr>
            <w:vAlign w:val="center"/>
          </w:tcPr>
          <w:p>
            <w:pPr>
              <w:jc w:val="center"/>
            </w:pPr>
            <w:r>
              <w:rPr>
                <w:color w:val="000000"/>
                <w:sz w:val="24"/>
              </w:rPr>
              <w:t>2019-07-26</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季参平先生，美国密歇根大学金融工程硕士、对外经济贸易大学经济学学士。2012年3月至2017年7月任瑞士银行外汇和利率交易员、联席董事。2017年加入交银施罗德基金管理有限公司，历任基金经理助理。2019年7月26日至2019年9月18日担任交银施罗德天运宝货币市场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货币市场资金水平总体保持平衡的态势。七月初隔夜回购利率一度下降到1%以下，三个月上海银行间拆借利率回落到整个三季度的低点2.60%，随后跟随短端利率开始缓幅回升。八月隔夜利率基本稳定在2.55%的水平附近，呈现低波动率地窄幅震荡。九月央行降准后，隔夜利率不仅没有大幅下行，反而在缴税缴准跨假期的影响下攀升至3.2%上方。直到节前最后一周，货币市场资金逐步宽松。存单存款市场收益率较二季度整体下行，AAA级别股份制银行三个月存单发行意愿和收益率均低于上个季度，不同评级、不同地区银行之间的发行状况出现比较明显的分化，总体来看高评级、大银行的存单受到货币基金追捧。货币政策角度来看，央行在国常会后实施降准，但在货币市场保持了均衡的资金水平，态度较为中性。报告期内，三个月上海银行间拆借利率上行约2bps到2.73%。</w:t>
      </w:r>
    </w:p>
    <w:p>
      <w:pPr>
        <w:spacing w:before="29" w:line="288" w:lineRule="auto"/>
        <w:ind w:firstLine="480" w:firstLineChars="200"/>
        <w:rPr>
          <w:color w:val="000000"/>
          <w:sz w:val="24"/>
        </w:rPr>
      </w:pPr>
      <w:r>
        <w:rPr>
          <w:color w:val="000000"/>
          <w:sz w:val="24"/>
        </w:rPr>
        <w:t>基金操作方面，我们仍旧维持低杠杆、短久期的操作思路，多投资于估值波动较小的银行存款与回购等，组合整体流动性良好。九月末我们视组合流动性和市场情况，增配了高评级的同业存单、同业存款等，维持组合收益水平。</w:t>
      </w:r>
    </w:p>
    <w:p>
      <w:pPr>
        <w:spacing w:before="29" w:line="288" w:lineRule="auto"/>
        <w:ind w:firstLine="480" w:firstLineChars="200"/>
        <w:rPr>
          <w:color w:val="000000"/>
          <w:sz w:val="24"/>
        </w:rPr>
      </w:pPr>
      <w:r>
        <w:rPr>
          <w:color w:val="000000"/>
          <w:sz w:val="24"/>
        </w:rPr>
        <w:t>展望2019年四季度，我们将关注央行降准后、专项债提前发行下的银行间流动性和信用风险定价状况，警惕2019年末的通胀压力带来可能的货币政策微调，继续观察银行理财子公司的发展以及类货币型理财产品对行业生态的影响。我们认为，美联储九月降息靴子落地和中国央行中性降准后，使得中美利差处于合理空间，中国的政策将更多着眼于国内的经济情况，货币政策应该会延续稳健的状态，而财政政策将会持续发力。</w:t>
      </w:r>
    </w:p>
    <w:p w:rsidP="00281564" w:rsidR="00C4627A" w:rsidRDefault="00C4627A" w:rsidRPr="000E4C40">
      <w:pPr>
        <w:spacing w:before="29" w:line="288" w:lineRule="auto"/>
        <w:ind w:firstLine="480" w:firstLineChars="20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2,745,324,372.90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31.51</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2,655,324,372.90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30.48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90,000,000.00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1.03</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3,042,122,843.18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34.92</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2,901,270,449.37</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33.30</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23,959,720.57</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0.27</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8,712,677,386.02</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3.26</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1,062,344,296.53</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13.89</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56</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60</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37</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37.18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13.89</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31.47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30.81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3.78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10.38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113.62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13.89</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338,941,593.09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4.43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90,010,934.36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1.18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90,010,934.36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1.18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410,000,823.17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5.36</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1,816,371,022.28</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23.75</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2,655,324,372.90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34.72</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071900096</w:t>
            </w:r>
          </w:p>
        </w:tc>
        <w:tc>
          <w:tcPr>
            <w:vAlign w:val="center"/>
          </w:tcPr>
          <w:p>
            <w:pPr>
              <w:jc w:val="center"/>
            </w:pPr>
            <w:r>
              <w:rPr>
                <w:color w:val="000000"/>
                <w:sz w:val="24"/>
              </w:rPr>
              <w:t>19国元证券CP002</w:t>
            </w:r>
          </w:p>
        </w:tc>
        <w:tc>
          <w:tcPr>
            <w:vAlign w:val="center"/>
          </w:tcPr>
          <w:p>
            <w:pPr>
              <w:jc w:val="right"/>
            </w:pPr>
            <w:r>
              <w:rPr>
                <w:color w:val="000000"/>
                <w:sz w:val="24"/>
              </w:rPr>
              <w:t>1,000,000</w:t>
            </w:r>
          </w:p>
        </w:tc>
        <w:tc>
          <w:tcPr>
            <w:vAlign w:val="center"/>
          </w:tcPr>
          <w:p>
            <w:pPr>
              <w:jc w:val="right"/>
            </w:pPr>
            <w:r>
              <w:rPr>
                <w:color w:val="000000"/>
                <w:sz w:val="24"/>
              </w:rPr>
              <w:t>100,000,115.13</w:t>
            </w:r>
          </w:p>
        </w:tc>
        <w:tc>
          <w:tcPr>
            <w:vAlign w:val="center"/>
          </w:tcPr>
          <w:p>
            <w:pPr>
              <w:jc w:val="right"/>
            </w:pPr>
            <w:r>
              <w:rPr>
                <w:color w:val="000000"/>
                <w:sz w:val="24"/>
              </w:rPr>
              <w:t>1.31</w:t>
            </w:r>
          </w:p>
        </w:tc>
      </w:tr>
      <w:tr>
        <w:tc>
          <w:tcPr>
            <w:vAlign w:val="center"/>
          </w:tcPr>
          <w:p>
            <w:pPr>
              <w:jc w:val="center"/>
            </w:pPr>
            <w:r>
              <w:rPr>
                <w:color w:val="000000"/>
                <w:sz w:val="24"/>
              </w:rPr>
              <w:t>2</w:t>
            </w:r>
          </w:p>
        </w:tc>
        <w:tc>
          <w:tcPr>
            <w:vAlign w:val="center"/>
          </w:tcPr>
          <w:p>
            <w:pPr>
              <w:jc w:val="center"/>
            </w:pPr>
            <w:r>
              <w:rPr>
                <w:color w:val="000000"/>
                <w:sz w:val="24"/>
              </w:rPr>
              <w:t>071900094</w:t>
            </w:r>
          </w:p>
        </w:tc>
        <w:tc>
          <w:tcPr>
            <w:vAlign w:val="center"/>
          </w:tcPr>
          <w:p>
            <w:pPr>
              <w:jc w:val="center"/>
            </w:pPr>
            <w:r>
              <w:rPr>
                <w:color w:val="000000"/>
                <w:sz w:val="24"/>
              </w:rPr>
              <w:t>19招商证券CP011BC</w:t>
            </w:r>
          </w:p>
        </w:tc>
        <w:tc>
          <w:tcPr>
            <w:vAlign w:val="center"/>
          </w:tcPr>
          <w:p>
            <w:pPr>
              <w:jc w:val="right"/>
            </w:pPr>
            <w:r>
              <w:rPr>
                <w:color w:val="000000"/>
                <w:sz w:val="24"/>
              </w:rPr>
              <w:t>1,000,000</w:t>
            </w:r>
          </w:p>
        </w:tc>
        <w:tc>
          <w:tcPr>
            <w:vAlign w:val="center"/>
          </w:tcPr>
          <w:p>
            <w:pPr>
              <w:jc w:val="right"/>
            </w:pPr>
            <w:r>
              <w:rPr>
                <w:color w:val="000000"/>
                <w:sz w:val="24"/>
              </w:rPr>
              <w:t>100,000,108.42</w:t>
            </w:r>
          </w:p>
        </w:tc>
        <w:tc>
          <w:tcPr>
            <w:vAlign w:val="center"/>
          </w:tcPr>
          <w:p>
            <w:pPr>
              <w:jc w:val="right"/>
            </w:pPr>
            <w:r>
              <w:rPr>
                <w:color w:val="000000"/>
                <w:sz w:val="24"/>
              </w:rPr>
              <w:t>1.31</w:t>
            </w:r>
          </w:p>
        </w:tc>
      </w:tr>
      <w:tr>
        <w:tc>
          <w:tcPr>
            <w:vAlign w:val="center"/>
          </w:tcPr>
          <w:p>
            <w:pPr>
              <w:jc w:val="center"/>
            </w:pPr>
            <w:r>
              <w:rPr>
                <w:color w:val="000000"/>
                <w:sz w:val="24"/>
              </w:rPr>
              <w:t>3</w:t>
            </w:r>
          </w:p>
        </w:tc>
        <w:tc>
          <w:tcPr>
            <w:vAlign w:val="center"/>
          </w:tcPr>
          <w:p>
            <w:pPr>
              <w:jc w:val="center"/>
            </w:pPr>
            <w:r>
              <w:rPr>
                <w:color w:val="000000"/>
                <w:sz w:val="24"/>
              </w:rPr>
              <w:t>199936</w:t>
            </w:r>
          </w:p>
        </w:tc>
        <w:tc>
          <w:tcPr>
            <w:vAlign w:val="center"/>
          </w:tcPr>
          <w:p>
            <w:pPr>
              <w:jc w:val="center"/>
            </w:pPr>
            <w:r>
              <w:rPr>
                <w:color w:val="000000"/>
                <w:sz w:val="24"/>
              </w:rPr>
              <w:t>19贴现国债36</w:t>
            </w:r>
          </w:p>
        </w:tc>
        <w:tc>
          <w:tcPr>
            <w:vAlign w:val="center"/>
          </w:tcPr>
          <w:p>
            <w:pPr>
              <w:jc w:val="right"/>
            </w:pPr>
            <w:r>
              <w:rPr>
                <w:color w:val="000000"/>
                <w:sz w:val="24"/>
              </w:rPr>
              <w:t>1,000,000</w:t>
            </w:r>
          </w:p>
        </w:tc>
        <w:tc>
          <w:tcPr>
            <w:vAlign w:val="center"/>
          </w:tcPr>
          <w:p>
            <w:pPr>
              <w:jc w:val="right"/>
            </w:pPr>
            <w:r>
              <w:rPr>
                <w:color w:val="000000"/>
                <w:sz w:val="24"/>
              </w:rPr>
              <w:t>99,650,032.06</w:t>
            </w:r>
          </w:p>
        </w:tc>
        <w:tc>
          <w:tcPr>
            <w:vAlign w:val="center"/>
          </w:tcPr>
          <w:p>
            <w:pPr>
              <w:jc w:val="right"/>
            </w:pPr>
            <w:r>
              <w:rPr>
                <w:color w:val="000000"/>
                <w:sz w:val="24"/>
              </w:rPr>
              <w:t>1.30</w:t>
            </w:r>
          </w:p>
        </w:tc>
      </w:tr>
      <w:tr>
        <w:tc>
          <w:tcPr>
            <w:vAlign w:val="center"/>
          </w:tcPr>
          <w:p>
            <w:pPr>
              <w:jc w:val="center"/>
            </w:pPr>
            <w:r>
              <w:rPr>
                <w:color w:val="000000"/>
                <w:sz w:val="24"/>
              </w:rPr>
              <w:t>4</w:t>
            </w:r>
          </w:p>
        </w:tc>
        <w:tc>
          <w:tcPr>
            <w:vAlign w:val="center"/>
          </w:tcPr>
          <w:p>
            <w:pPr>
              <w:jc w:val="center"/>
            </w:pPr>
            <w:r>
              <w:rPr>
                <w:color w:val="000000"/>
                <w:sz w:val="24"/>
              </w:rPr>
              <w:t>111987273</w:t>
            </w:r>
          </w:p>
        </w:tc>
        <w:tc>
          <w:tcPr>
            <w:vAlign w:val="center"/>
          </w:tcPr>
          <w:p>
            <w:pPr>
              <w:jc w:val="center"/>
            </w:pPr>
            <w:r>
              <w:rPr>
                <w:color w:val="000000"/>
                <w:sz w:val="24"/>
              </w:rPr>
              <w:t>19昆仑银行CD055</w:t>
            </w:r>
          </w:p>
        </w:tc>
        <w:tc>
          <w:tcPr>
            <w:vAlign w:val="center"/>
          </w:tcPr>
          <w:p>
            <w:pPr>
              <w:jc w:val="right"/>
            </w:pPr>
            <w:r>
              <w:rPr>
                <w:color w:val="000000"/>
                <w:sz w:val="24"/>
              </w:rPr>
              <w:t>1,000,000</w:t>
            </w:r>
          </w:p>
        </w:tc>
        <w:tc>
          <w:tcPr>
            <w:vAlign w:val="center"/>
          </w:tcPr>
          <w:p>
            <w:pPr>
              <w:jc w:val="right"/>
            </w:pPr>
            <w:r>
              <w:rPr>
                <w:color w:val="000000"/>
                <w:sz w:val="24"/>
              </w:rPr>
              <w:t>99,466,046.03</w:t>
            </w:r>
          </w:p>
        </w:tc>
        <w:tc>
          <w:tcPr>
            <w:vAlign w:val="center"/>
          </w:tcPr>
          <w:p>
            <w:pPr>
              <w:jc w:val="right"/>
            </w:pPr>
            <w:r>
              <w:rPr>
                <w:color w:val="000000"/>
                <w:sz w:val="24"/>
              </w:rPr>
              <w:t>1.30</w:t>
            </w:r>
          </w:p>
        </w:tc>
      </w:tr>
      <w:tr>
        <w:tc>
          <w:tcPr>
            <w:vAlign w:val="center"/>
          </w:tcPr>
          <w:p>
            <w:pPr>
              <w:jc w:val="center"/>
            </w:pPr>
            <w:r>
              <w:rPr>
                <w:color w:val="000000"/>
                <w:sz w:val="24"/>
              </w:rPr>
              <w:t>5</w:t>
            </w:r>
          </w:p>
        </w:tc>
        <w:tc>
          <w:tcPr>
            <w:vAlign w:val="center"/>
          </w:tcPr>
          <w:p>
            <w:pPr>
              <w:jc w:val="center"/>
            </w:pPr>
            <w:r>
              <w:rPr>
                <w:color w:val="000000"/>
                <w:sz w:val="24"/>
              </w:rPr>
              <w:t>111987404</w:t>
            </w:r>
          </w:p>
        </w:tc>
        <w:tc>
          <w:tcPr>
            <w:vAlign w:val="center"/>
          </w:tcPr>
          <w:p>
            <w:pPr>
              <w:jc w:val="center"/>
            </w:pPr>
            <w:r>
              <w:rPr>
                <w:color w:val="000000"/>
                <w:sz w:val="24"/>
              </w:rPr>
              <w:t>19兰州银行CD057</w:t>
            </w:r>
          </w:p>
        </w:tc>
        <w:tc>
          <w:tcPr>
            <w:vAlign w:val="center"/>
          </w:tcPr>
          <w:p>
            <w:pPr>
              <w:jc w:val="right"/>
            </w:pPr>
            <w:r>
              <w:rPr>
                <w:color w:val="000000"/>
                <w:sz w:val="24"/>
              </w:rPr>
              <w:t>1,000,000</w:t>
            </w:r>
          </w:p>
        </w:tc>
        <w:tc>
          <w:tcPr>
            <w:vAlign w:val="center"/>
          </w:tcPr>
          <w:p>
            <w:pPr>
              <w:jc w:val="right"/>
            </w:pPr>
            <w:r>
              <w:rPr>
                <w:color w:val="000000"/>
                <w:sz w:val="24"/>
              </w:rPr>
              <w:t>99,448,851.44</w:t>
            </w:r>
          </w:p>
        </w:tc>
        <w:tc>
          <w:tcPr>
            <w:vAlign w:val="center"/>
          </w:tcPr>
          <w:p>
            <w:pPr>
              <w:jc w:val="right"/>
            </w:pPr>
            <w:r>
              <w:rPr>
                <w:color w:val="000000"/>
                <w:sz w:val="24"/>
              </w:rPr>
              <w:t>1.30</w:t>
            </w:r>
          </w:p>
        </w:tc>
      </w:tr>
      <w:tr>
        <w:tc>
          <w:tcPr>
            <w:vAlign w:val="center"/>
          </w:tcPr>
          <w:p>
            <w:pPr>
              <w:jc w:val="center"/>
            </w:pPr>
            <w:r>
              <w:rPr>
                <w:color w:val="000000"/>
                <w:sz w:val="24"/>
              </w:rPr>
              <w:t>6</w:t>
            </w:r>
          </w:p>
        </w:tc>
        <w:tc>
          <w:tcPr>
            <w:vAlign w:val="center"/>
          </w:tcPr>
          <w:p>
            <w:pPr>
              <w:jc w:val="center"/>
            </w:pPr>
            <w:r>
              <w:rPr>
                <w:color w:val="000000"/>
                <w:sz w:val="24"/>
              </w:rPr>
              <w:t>111988108</w:t>
            </w:r>
          </w:p>
        </w:tc>
        <w:tc>
          <w:tcPr>
            <w:vAlign w:val="center"/>
          </w:tcPr>
          <w:p>
            <w:pPr>
              <w:jc w:val="center"/>
            </w:pPr>
            <w:r>
              <w:rPr>
                <w:color w:val="000000"/>
                <w:sz w:val="24"/>
              </w:rPr>
              <w:t>19长沙银行CD197</w:t>
            </w:r>
          </w:p>
        </w:tc>
        <w:tc>
          <w:tcPr>
            <w:vAlign w:val="center"/>
          </w:tcPr>
          <w:p>
            <w:pPr>
              <w:jc w:val="right"/>
            </w:pPr>
            <w:r>
              <w:rPr>
                <w:color w:val="000000"/>
                <w:sz w:val="24"/>
              </w:rPr>
              <w:t>1,000,000</w:t>
            </w:r>
          </w:p>
        </w:tc>
        <w:tc>
          <w:tcPr>
            <w:vAlign w:val="center"/>
          </w:tcPr>
          <w:p>
            <w:pPr>
              <w:jc w:val="right"/>
            </w:pPr>
            <w:r>
              <w:rPr>
                <w:color w:val="000000"/>
                <w:sz w:val="24"/>
              </w:rPr>
              <w:t>99,420,144.75</w:t>
            </w:r>
          </w:p>
        </w:tc>
        <w:tc>
          <w:tcPr>
            <w:vAlign w:val="center"/>
          </w:tcPr>
          <w:p>
            <w:pPr>
              <w:jc w:val="right"/>
            </w:pPr>
            <w:r>
              <w:rPr>
                <w:color w:val="000000"/>
                <w:sz w:val="24"/>
              </w:rPr>
              <w:t>1.30</w:t>
            </w:r>
          </w:p>
        </w:tc>
      </w:tr>
      <w:tr>
        <w:tc>
          <w:tcPr>
            <w:vAlign w:val="center"/>
          </w:tcPr>
          <w:p>
            <w:pPr>
              <w:jc w:val="center"/>
            </w:pPr>
            <w:r>
              <w:rPr>
                <w:color w:val="000000"/>
                <w:sz w:val="24"/>
              </w:rPr>
              <w:t>7</w:t>
            </w:r>
          </w:p>
        </w:tc>
        <w:tc>
          <w:tcPr>
            <w:vAlign w:val="center"/>
          </w:tcPr>
          <w:p>
            <w:pPr>
              <w:jc w:val="center"/>
            </w:pPr>
            <w:r>
              <w:rPr>
                <w:color w:val="000000"/>
                <w:sz w:val="24"/>
              </w:rPr>
              <w:t>111921242</w:t>
            </w:r>
          </w:p>
        </w:tc>
        <w:tc>
          <w:tcPr>
            <w:vAlign w:val="center"/>
          </w:tcPr>
          <w:p>
            <w:pPr>
              <w:jc w:val="center"/>
            </w:pPr>
            <w:r>
              <w:rPr>
                <w:color w:val="000000"/>
                <w:sz w:val="24"/>
              </w:rPr>
              <w:t>19渤海银行CD242</w:t>
            </w:r>
          </w:p>
        </w:tc>
        <w:tc>
          <w:tcPr>
            <w:vAlign w:val="center"/>
          </w:tcPr>
          <w:p>
            <w:pPr>
              <w:jc w:val="right"/>
            </w:pPr>
            <w:r>
              <w:rPr>
                <w:color w:val="000000"/>
                <w:sz w:val="24"/>
              </w:rPr>
              <w:t>900,000</w:t>
            </w:r>
          </w:p>
        </w:tc>
        <w:tc>
          <w:tcPr>
            <w:vAlign w:val="center"/>
          </w:tcPr>
          <w:p>
            <w:pPr>
              <w:jc w:val="right"/>
            </w:pPr>
            <w:r>
              <w:rPr>
                <w:color w:val="000000"/>
                <w:sz w:val="24"/>
              </w:rPr>
              <w:t>89,212,684.51</w:t>
            </w:r>
          </w:p>
        </w:tc>
        <w:tc>
          <w:tcPr>
            <w:vAlign w:val="center"/>
          </w:tcPr>
          <w:p>
            <w:pPr>
              <w:jc w:val="right"/>
            </w:pPr>
            <w:r>
              <w:rPr>
                <w:color w:val="000000"/>
                <w:sz w:val="24"/>
              </w:rPr>
              <w:t>1.17</w:t>
            </w:r>
          </w:p>
        </w:tc>
      </w:tr>
      <w:tr>
        <w:tc>
          <w:tcPr>
            <w:vAlign w:val="center"/>
          </w:tcPr>
          <w:p>
            <w:pPr>
              <w:jc w:val="center"/>
            </w:pPr>
            <w:r>
              <w:rPr>
                <w:color w:val="000000"/>
                <w:sz w:val="24"/>
              </w:rPr>
              <w:t>8</w:t>
            </w:r>
          </w:p>
        </w:tc>
        <w:tc>
          <w:tcPr>
            <w:vAlign w:val="center"/>
          </w:tcPr>
          <w:p>
            <w:pPr>
              <w:jc w:val="center"/>
            </w:pPr>
            <w:r>
              <w:rPr>
                <w:color w:val="000000"/>
                <w:sz w:val="24"/>
              </w:rPr>
              <w:t>071900093</w:t>
            </w:r>
          </w:p>
        </w:tc>
        <w:tc>
          <w:tcPr>
            <w:vAlign w:val="center"/>
          </w:tcPr>
          <w:p>
            <w:pPr>
              <w:jc w:val="center"/>
            </w:pPr>
            <w:r>
              <w:rPr>
                <w:color w:val="000000"/>
                <w:sz w:val="24"/>
              </w:rPr>
              <w:t>19东方证券CP003</w:t>
            </w:r>
          </w:p>
        </w:tc>
        <w:tc>
          <w:tcPr>
            <w:vAlign w:val="center"/>
          </w:tcPr>
          <w:p>
            <w:pPr>
              <w:jc w:val="right"/>
            </w:pPr>
            <w:r>
              <w:rPr>
                <w:color w:val="000000"/>
                <w:sz w:val="24"/>
              </w:rPr>
              <w:t>800,000</w:t>
            </w:r>
          </w:p>
        </w:tc>
        <w:tc>
          <w:tcPr>
            <w:vAlign w:val="center"/>
          </w:tcPr>
          <w:p>
            <w:pPr>
              <w:jc w:val="right"/>
            </w:pPr>
            <w:r>
              <w:rPr>
                <w:color w:val="000000"/>
                <w:sz w:val="24"/>
              </w:rPr>
              <w:t>80,000,108.36</w:t>
            </w:r>
          </w:p>
        </w:tc>
        <w:tc>
          <w:tcPr>
            <w:vAlign w:val="center"/>
          </w:tcPr>
          <w:p>
            <w:pPr>
              <w:jc w:val="right"/>
            </w:pPr>
            <w:r>
              <w:rPr>
                <w:color w:val="000000"/>
                <w:sz w:val="24"/>
              </w:rPr>
              <w:t>1.05</w:t>
            </w:r>
          </w:p>
        </w:tc>
      </w:tr>
      <w:tr>
        <w:tc>
          <w:tcPr>
            <w:vAlign w:val="center"/>
          </w:tcPr>
          <w:p>
            <w:pPr>
              <w:jc w:val="center"/>
            </w:pPr>
            <w:r>
              <w:rPr>
                <w:color w:val="000000"/>
                <w:sz w:val="24"/>
              </w:rPr>
              <w:t>9</w:t>
            </w:r>
          </w:p>
        </w:tc>
        <w:tc>
          <w:tcPr>
            <w:vAlign w:val="center"/>
          </w:tcPr>
          <w:p>
            <w:pPr>
              <w:jc w:val="center"/>
            </w:pPr>
            <w:r>
              <w:rPr>
                <w:color w:val="000000"/>
                <w:sz w:val="24"/>
              </w:rPr>
              <w:t>111921290</w:t>
            </w:r>
          </w:p>
        </w:tc>
        <w:tc>
          <w:tcPr>
            <w:vAlign w:val="center"/>
          </w:tcPr>
          <w:p>
            <w:pPr>
              <w:jc w:val="center"/>
            </w:pPr>
            <w:r>
              <w:rPr>
                <w:color w:val="000000"/>
                <w:sz w:val="24"/>
              </w:rPr>
              <w:t>19渤海银行CD290</w:t>
            </w:r>
          </w:p>
        </w:tc>
        <w:tc>
          <w:tcPr>
            <w:vAlign w:val="center"/>
          </w:tcPr>
          <w:p>
            <w:pPr>
              <w:jc w:val="right"/>
            </w:pPr>
            <w:r>
              <w:rPr>
                <w:color w:val="000000"/>
                <w:sz w:val="24"/>
              </w:rPr>
              <w:t>800,000</w:t>
            </w:r>
          </w:p>
        </w:tc>
        <w:tc>
          <w:tcPr>
            <w:vAlign w:val="center"/>
          </w:tcPr>
          <w:p>
            <w:pPr>
              <w:jc w:val="right"/>
            </w:pPr>
            <w:r>
              <w:rPr>
                <w:color w:val="000000"/>
                <w:sz w:val="24"/>
              </w:rPr>
              <w:t>79,733,530.02</w:t>
            </w:r>
          </w:p>
        </w:tc>
        <w:tc>
          <w:tcPr>
            <w:vAlign w:val="center"/>
          </w:tcPr>
          <w:p>
            <w:pPr>
              <w:jc w:val="right"/>
            </w:pPr>
            <w:r>
              <w:rPr>
                <w:color w:val="000000"/>
                <w:sz w:val="24"/>
              </w:rPr>
              <w:t>1.04</w:t>
            </w:r>
          </w:p>
        </w:tc>
      </w:tr>
      <w:tr>
        <w:tc>
          <w:tcPr>
            <w:vAlign w:val="center"/>
          </w:tcPr>
          <w:p>
            <w:pPr>
              <w:jc w:val="center"/>
            </w:pPr>
            <w:r>
              <w:rPr>
                <w:color w:val="000000"/>
                <w:sz w:val="24"/>
              </w:rPr>
              <w:t>10</w:t>
            </w:r>
          </w:p>
        </w:tc>
        <w:tc>
          <w:tcPr>
            <w:vAlign w:val="center"/>
          </w:tcPr>
          <w:p>
            <w:pPr>
              <w:jc w:val="center"/>
            </w:pPr>
            <w:r>
              <w:rPr>
                <w:color w:val="000000"/>
                <w:sz w:val="24"/>
              </w:rPr>
              <w:t>111921301</w:t>
            </w:r>
          </w:p>
        </w:tc>
        <w:tc>
          <w:tcPr>
            <w:vAlign w:val="center"/>
          </w:tcPr>
          <w:p>
            <w:pPr>
              <w:jc w:val="center"/>
            </w:pPr>
            <w:r>
              <w:rPr>
                <w:color w:val="000000"/>
                <w:sz w:val="24"/>
              </w:rPr>
              <w:t>19渤海银行CD301</w:t>
            </w:r>
          </w:p>
        </w:tc>
        <w:tc>
          <w:tcPr>
            <w:vAlign w:val="center"/>
          </w:tcPr>
          <w:p>
            <w:pPr>
              <w:jc w:val="right"/>
            </w:pPr>
            <w:r>
              <w:rPr>
                <w:color w:val="000000"/>
                <w:sz w:val="24"/>
              </w:rPr>
              <w:t>800,000</w:t>
            </w:r>
          </w:p>
        </w:tc>
        <w:tc>
          <w:tcPr>
            <w:vAlign w:val="center"/>
          </w:tcPr>
          <w:p>
            <w:pPr>
              <w:jc w:val="right"/>
            </w:pPr>
            <w:r>
              <w:rPr>
                <w:color w:val="000000"/>
                <w:sz w:val="24"/>
              </w:rPr>
              <w:t>79,691,117.49</w:t>
            </w:r>
          </w:p>
        </w:tc>
        <w:tc>
          <w:tcPr>
            <w:vAlign w:val="center"/>
          </w:tcPr>
          <w:p>
            <w:pPr>
              <w:jc w:val="right"/>
            </w:pPr>
            <w:r>
              <w:rPr>
                <w:color w:val="000000"/>
                <w:sz w:val="24"/>
              </w:rPr>
              <w:t>1.04</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0.0319%</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0.0041%</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0.0136%</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8868"/>
        <w:jc w:val="center"/>
        <w:tblCellMar>
          <w:top w:type="dxa" w:w="57"/>
          <w:bottom w:type="dxa" w:w="57"/>
        </w:tblCellMar>
        <w:tblLook w:firstColumn="1" w:firstRow="1" w:lastColumn="0" w:lastRow="0" w:noHBand="0" w:noVBand="1" w:val="04A0"/>
      </w:tblPr>
      <w:tblGrid>
        <w:gridCol w:w="1519"/>
        <w:gridCol w:w="1519"/>
        <w:gridCol w:w="1519"/>
        <w:gridCol w:w="1626"/>
        <w:gridCol w:w="1519"/>
        <w:gridCol w:w="1600"/>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type="dxa" w:w="1548"/>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159531</w:t>
            </w:r>
          </w:p>
        </w:tc>
        <w:tc>
          <w:tcPr>
            <w:vAlign w:val="center"/>
          </w:tcPr>
          <w:p>
            <w:pPr>
              <w:jc w:val="center"/>
            </w:pPr>
            <w:r>
              <w:rPr>
                <w:color w:val="000000"/>
                <w:sz w:val="24"/>
              </w:rPr>
              <w:t>信泽04A1</w:t>
            </w:r>
          </w:p>
        </w:tc>
        <w:tc>
          <w:tcPr>
            <w:vAlign w:val="center"/>
          </w:tcPr>
          <w:p>
            <w:pPr>
              <w:jc w:val="right"/>
            </w:pPr>
            <w:r>
              <w:rPr>
                <w:color w:val="000000"/>
                <w:sz w:val="24"/>
              </w:rPr>
              <w:t>500,000</w:t>
            </w:r>
          </w:p>
        </w:tc>
        <w:tc>
          <w:tcPr>
            <w:vAlign w:val="center"/>
          </w:tcPr>
          <w:p>
            <w:pPr>
              <w:jc w:val="right"/>
            </w:pPr>
            <w:r>
              <w:rPr>
                <w:color w:val="000000"/>
                <w:sz w:val="24"/>
              </w:rPr>
              <w:t>49,995,000.00</w:t>
            </w:r>
          </w:p>
        </w:tc>
        <w:tc>
          <w:tcPr>
            <w:vAlign w:val="center"/>
          </w:tcPr>
          <w:p>
            <w:pPr>
              <w:jc w:val="right"/>
            </w:pPr>
            <w:r>
              <w:rPr>
                <w:color w:val="000000"/>
                <w:sz w:val="24"/>
              </w:rPr>
              <w:t>0.65</w:t>
            </w:r>
          </w:p>
        </w:tc>
      </w:tr>
      <w:tr>
        <w:tc>
          <w:tcPr>
            <w:vAlign w:val="center"/>
          </w:tcPr>
          <w:p>
            <w:pPr>
              <w:jc w:val="center"/>
            </w:pPr>
            <w:r>
              <w:rPr>
                <w:color w:val="000000"/>
                <w:sz w:val="24"/>
              </w:rPr>
              <w:t>2</w:t>
            </w:r>
          </w:p>
        </w:tc>
        <w:tc>
          <w:tcPr>
            <w:vAlign w:val="center"/>
          </w:tcPr>
          <w:p>
            <w:pPr>
              <w:jc w:val="center"/>
            </w:pPr>
            <w:r>
              <w:rPr>
                <w:color w:val="000000"/>
                <w:sz w:val="24"/>
              </w:rPr>
              <w:t>159180</w:t>
            </w:r>
          </w:p>
        </w:tc>
        <w:tc>
          <w:tcPr>
            <w:vAlign w:val="center"/>
          </w:tcPr>
          <w:p>
            <w:pPr>
              <w:jc w:val="center"/>
            </w:pPr>
            <w:r>
              <w:rPr>
                <w:color w:val="000000"/>
                <w:sz w:val="24"/>
              </w:rPr>
              <w:t>信泽02A1</w:t>
            </w:r>
          </w:p>
        </w:tc>
        <w:tc>
          <w:tcPr>
            <w:vAlign w:val="center"/>
          </w:tcPr>
          <w:p>
            <w:pPr>
              <w:jc w:val="right"/>
            </w:pPr>
            <w:r>
              <w:rPr>
                <w:color w:val="000000"/>
                <w:sz w:val="24"/>
              </w:rPr>
              <w:t>400,000</w:t>
            </w:r>
          </w:p>
        </w:tc>
        <w:tc>
          <w:tcPr>
            <w:vAlign w:val="center"/>
          </w:tcPr>
          <w:p>
            <w:pPr>
              <w:jc w:val="right"/>
            </w:pPr>
            <w:r>
              <w:rPr>
                <w:color w:val="000000"/>
                <w:sz w:val="24"/>
              </w:rPr>
              <w:t>40,024,000.00</w:t>
            </w:r>
          </w:p>
        </w:tc>
        <w:tc>
          <w:tcPr>
            <w:vAlign w:val="center"/>
          </w:tcPr>
          <w:p>
            <w:pPr>
              <w:jc w:val="right"/>
            </w:pPr>
            <w:r>
              <w:rPr>
                <w:color w:val="000000"/>
                <w:sz w:val="24"/>
              </w:rPr>
              <w:t>0.52</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报告期内本基金投资的前十名证券的发行主体除19招商证券CP011BC（证券代码：071900094）外，未出现被监管部门立案调查，或在报告编制日前一年内受到公开谴责、处罚的情形。</w:t>
      </w:r>
    </w:p>
    <w:p>
      <w:pPr>
        <w:adjustRightInd w:val="0"/>
        <w:spacing w:before="29" w:line="288" w:lineRule="auto"/>
        <w:ind w:left="17"/>
        <w:rPr>
          <w:color w:val="000000"/>
          <w:sz w:val="24"/>
        </w:rPr>
      </w:pPr>
      <w:r>
        <w:rPr>
          <w:color w:val="000000"/>
          <w:sz w:val="24"/>
        </w:rPr>
        <w:t>报告期内本基金投资的前十名证券之一19招商证券CP011BC（证券代码：071900094）的发行主体招商证券于2019年5月29日公告，因全资子公司招商证券（香港）有限公司在担任中国金属再生资源（控股）有限公司上市申请的联席保荐人时（2008年11月至2009年6月）没有履行其应尽的尽职审查责任，近日香港证券及期货事务监察委员会对招商证券（香港）有限公司采取纪律行动，包括处以罚款2700万元港币；公司于2019年6月1日公告，因全资子公司招商证券（香港）有限公司错误处理客户款项(发生于2011年10月至2014年9月期间)，近日香港证券及期货事务监察委员会对招商证券（香港）有限公司采取纪律行动，包括处以罚款500万元港币。</w:t>
      </w:r>
    </w:p>
    <w:p>
      <w:pPr>
        <w:adjustRightInd w:val="0"/>
        <w:spacing w:before="29" w:line="288" w:lineRule="auto"/>
        <w:ind w:left="17"/>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23,957,570.50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2,150.07</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23,959,720.57</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交银天鑫宝货币A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交银天鑫宝货币E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17,927,369.84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7,724,295,101.98</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8,926,127.88</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5,604,308,973.95</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10,044,197.83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5,697,992,719.54</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16,809,299.89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7,630,611,356.39</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1、中国证监会准予交银施罗德天鑫宝货币市场基金募集注册的文件； </w:t>
      </w:r>
    </w:p>
    <w:p>
      <w:pPr>
        <w:spacing w:before="29" w:line="288" w:lineRule="auto"/>
        <w:ind w:firstLine="480" w:firstLineChars="200"/>
        <w:rPr>
          <w:color w:val="000000"/>
          <w:sz w:val="24"/>
        </w:rPr>
      </w:pPr>
      <w:r>
        <w:rPr>
          <w:color w:val="000000"/>
          <w:sz w:val="24"/>
        </w:rPr>
        <w:t xml:space="preserve">2、《交银施罗德天鑫宝货币市场基金基金合同》； </w:t>
      </w:r>
    </w:p>
    <w:p>
      <w:pPr>
        <w:spacing w:before="29" w:line="288" w:lineRule="auto"/>
        <w:ind w:firstLine="480" w:firstLineChars="200"/>
        <w:rPr>
          <w:color w:val="000000"/>
          <w:sz w:val="24"/>
        </w:rPr>
      </w:pPr>
      <w:r>
        <w:rPr>
          <w:color w:val="000000"/>
          <w:sz w:val="24"/>
        </w:rPr>
        <w:t xml:space="preserve">3、《交银施罗德天鑫宝货币市场基金招募说明书》； </w:t>
      </w:r>
    </w:p>
    <w:p>
      <w:pPr>
        <w:spacing w:before="29" w:line="288" w:lineRule="auto"/>
        <w:ind w:firstLine="480" w:firstLineChars="200"/>
        <w:rPr>
          <w:color w:val="000000"/>
          <w:sz w:val="24"/>
        </w:rPr>
      </w:pPr>
      <w:r>
        <w:rPr>
          <w:color w:val="000000"/>
          <w:sz w:val="24"/>
        </w:rPr>
        <w:t xml:space="preserve">4、《交银施罗德天鑫宝货币市场基金托管协议》； </w:t>
      </w:r>
    </w:p>
    <w:p>
      <w:pPr>
        <w:spacing w:before="29" w:line="288" w:lineRule="auto"/>
        <w:ind w:firstLine="480" w:firstLineChars="200"/>
        <w:rPr>
          <w:color w:val="000000"/>
          <w:sz w:val="24"/>
        </w:rPr>
      </w:pPr>
      <w:r>
        <w:rPr>
          <w:color w:val="000000"/>
          <w:sz w:val="24"/>
        </w:rPr>
        <w:t xml:space="preserve">5、关于申请募集注册交银施罗德天鑫宝货币市场基金的法律意见书；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8、报告期内交银施罗德天鑫宝货币市场基金在指定报刊上各项公告的原稿。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交银施罗德天鑫宝货币市场基金2019年第3季度报告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