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40917" w:rsidRDefault="0026493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40917" w:rsidRDefault="00264930">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40917" w:rsidRDefault="0026493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40917" w:rsidRDefault="0026493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40917" w:rsidRDefault="0026493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交银成长混合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2006</w:t>
            </w:r>
            <w:r w:rsidRPr="007F52FA">
              <w:rPr>
                <w:color w:val="000000"/>
                <w:kern w:val="0"/>
                <w:sz w:val="24"/>
              </w:rPr>
              <w:t>年</w:t>
            </w:r>
            <w:r w:rsidRPr="007F52FA">
              <w:rPr>
                <w:color w:val="000000"/>
                <w:kern w:val="0"/>
                <w:sz w:val="24"/>
              </w:rPr>
              <w:t>10</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622,839,165.24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w:t>
            </w:r>
            <w:r w:rsidRPr="007F52FA">
              <w:rPr>
                <w:color w:val="000000"/>
                <w:kern w:val="0"/>
                <w:sz w:val="24"/>
              </w:rPr>
              <w:t>富时中国</w:t>
            </w:r>
            <w:r w:rsidRPr="007F52FA">
              <w:rPr>
                <w:color w:val="000000"/>
                <w:kern w:val="0"/>
                <w:sz w:val="24"/>
              </w:rPr>
              <w:t>A600</w:t>
            </w:r>
            <w:r w:rsidRPr="007F52FA">
              <w:rPr>
                <w:color w:val="000000"/>
                <w:kern w:val="0"/>
                <w:sz w:val="24"/>
              </w:rPr>
              <w:t>成长指数＋</w:t>
            </w:r>
            <w:r w:rsidRPr="007F52FA">
              <w:rPr>
                <w:color w:val="000000"/>
                <w:kern w:val="0"/>
                <w:sz w:val="24"/>
              </w:rPr>
              <w:t>25%×</w:t>
            </w:r>
            <w:r w:rsidRPr="007F52FA">
              <w:rPr>
                <w:color w:val="000000"/>
                <w:kern w:val="0"/>
                <w:sz w:val="24"/>
              </w:rPr>
              <w:t>富时中国国债指数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H</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264930" w:rsidRDefault="00264930" w:rsidP="00264930">
            <w:pPr>
              <w:spacing w:before="29" w:line="288" w:lineRule="auto"/>
              <w:jc w:val="left"/>
              <w:rPr>
                <w:color w:val="000000" w:themeColor="text1"/>
                <w:sz w:val="24"/>
              </w:rPr>
            </w:pPr>
            <w:r w:rsidRPr="007F52FA">
              <w:rPr>
                <w:color w:val="000000" w:themeColor="text1"/>
                <w:sz w:val="24"/>
              </w:rPr>
              <w:t>519692</w:t>
            </w:r>
            <w:r w:rsidRPr="007F52FA">
              <w:rPr>
                <w:color w:val="000000" w:themeColor="text1"/>
                <w:sz w:val="24"/>
              </w:rPr>
              <w:t>（前端）、</w:t>
            </w:r>
          </w:p>
          <w:p w:rsidR="00C23B30" w:rsidRPr="007F52FA" w:rsidRDefault="00264930" w:rsidP="00264930">
            <w:pPr>
              <w:spacing w:before="29" w:line="288" w:lineRule="auto"/>
              <w:jc w:val="left"/>
              <w:rPr>
                <w:sz w:val="24"/>
              </w:rPr>
            </w:pPr>
            <w:r w:rsidRPr="007F52FA">
              <w:rPr>
                <w:color w:val="000000" w:themeColor="text1"/>
                <w:sz w:val="24"/>
              </w:rPr>
              <w:t>519693</w:t>
            </w:r>
            <w:r w:rsidRPr="007F52FA">
              <w:rPr>
                <w:color w:val="000000" w:themeColor="text1"/>
                <w:sz w:val="24"/>
              </w:rPr>
              <w:t>（后端）</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960016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622,643,828.28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195,336.96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交银成长混合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交银成长混合</w:t>
            </w:r>
            <w:r w:rsidRPr="007F52FA">
              <w:rPr>
                <w:sz w:val="24"/>
              </w:rPr>
              <w:t>H</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184,603,340.50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56,828.16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242,740,254.45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73,967.59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0.3796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0.3787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2,505,788,880.45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789,929.94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4.0244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4.0439</w:t>
            </w:r>
          </w:p>
        </w:tc>
      </w:tr>
    </w:tbl>
    <w:p w:rsidR="00C40917" w:rsidRDefault="0026493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交银成长混合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40917">
        <w:trPr>
          <w:jc w:val="center"/>
        </w:trPr>
        <w:tc>
          <w:tcPr>
            <w:tcW w:w="1266" w:type="dxa"/>
            <w:vAlign w:val="center"/>
          </w:tcPr>
          <w:p w:rsidR="00C40917" w:rsidRDefault="00264930">
            <w:pPr>
              <w:jc w:val="left"/>
            </w:pPr>
            <w:r>
              <w:rPr>
                <w:color w:val="000000"/>
                <w:sz w:val="24"/>
              </w:rPr>
              <w:t>过去三个月</w:t>
            </w:r>
          </w:p>
        </w:tc>
        <w:tc>
          <w:tcPr>
            <w:tcW w:w="1267" w:type="dxa"/>
            <w:vAlign w:val="center"/>
          </w:tcPr>
          <w:p w:rsidR="00C40917" w:rsidRDefault="00264930">
            <w:pPr>
              <w:jc w:val="center"/>
            </w:pPr>
            <w:r>
              <w:rPr>
                <w:color w:val="000000"/>
                <w:sz w:val="24"/>
              </w:rPr>
              <w:t>10.32%</w:t>
            </w:r>
          </w:p>
        </w:tc>
        <w:tc>
          <w:tcPr>
            <w:tcW w:w="1267" w:type="dxa"/>
            <w:vAlign w:val="center"/>
          </w:tcPr>
          <w:p w:rsidR="00C40917" w:rsidRDefault="00264930">
            <w:pPr>
              <w:jc w:val="center"/>
            </w:pPr>
            <w:r>
              <w:rPr>
                <w:color w:val="000000"/>
                <w:sz w:val="24"/>
              </w:rPr>
              <w:t>0.94%</w:t>
            </w:r>
          </w:p>
        </w:tc>
        <w:tc>
          <w:tcPr>
            <w:tcW w:w="1267" w:type="dxa"/>
            <w:vAlign w:val="center"/>
          </w:tcPr>
          <w:p w:rsidR="00C40917" w:rsidRDefault="00264930">
            <w:pPr>
              <w:jc w:val="center"/>
            </w:pPr>
            <w:r>
              <w:rPr>
                <w:color w:val="000000"/>
                <w:sz w:val="24"/>
              </w:rPr>
              <w:t>2.51%</w:t>
            </w:r>
          </w:p>
        </w:tc>
        <w:tc>
          <w:tcPr>
            <w:tcW w:w="1267" w:type="dxa"/>
            <w:vAlign w:val="center"/>
          </w:tcPr>
          <w:p w:rsidR="00C40917" w:rsidRDefault="00264930">
            <w:pPr>
              <w:jc w:val="center"/>
            </w:pPr>
            <w:r>
              <w:rPr>
                <w:color w:val="000000"/>
                <w:sz w:val="24"/>
              </w:rPr>
              <w:t>0.78%</w:t>
            </w:r>
          </w:p>
        </w:tc>
        <w:tc>
          <w:tcPr>
            <w:tcW w:w="1267" w:type="dxa"/>
            <w:vAlign w:val="center"/>
          </w:tcPr>
          <w:p w:rsidR="00C40917" w:rsidRDefault="00264930">
            <w:pPr>
              <w:jc w:val="center"/>
            </w:pPr>
            <w:r>
              <w:rPr>
                <w:color w:val="000000"/>
                <w:sz w:val="24"/>
              </w:rPr>
              <w:t>7.81%</w:t>
            </w:r>
          </w:p>
        </w:tc>
        <w:tc>
          <w:tcPr>
            <w:tcW w:w="1267" w:type="dxa"/>
            <w:vAlign w:val="center"/>
          </w:tcPr>
          <w:p w:rsidR="00C40917" w:rsidRDefault="00264930">
            <w:pPr>
              <w:jc w:val="center"/>
            </w:pPr>
            <w:r>
              <w:rPr>
                <w:color w:val="000000"/>
                <w:sz w:val="24"/>
              </w:rPr>
              <w:t>0.16%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交银成长混合</w:t>
      </w:r>
      <w:r w:rsidR="00FE7FBD" w:rsidRPr="007F52FA">
        <w:rPr>
          <w:b/>
          <w:color w:val="000000"/>
          <w:kern w:val="0"/>
          <w:sz w:val="24"/>
        </w:rPr>
        <w:t>H</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40917">
        <w:trPr>
          <w:jc w:val="center"/>
        </w:trPr>
        <w:tc>
          <w:tcPr>
            <w:tcW w:w="1266" w:type="dxa"/>
            <w:vAlign w:val="center"/>
          </w:tcPr>
          <w:p w:rsidR="00C40917" w:rsidRDefault="00264930">
            <w:pPr>
              <w:jc w:val="left"/>
            </w:pPr>
            <w:r>
              <w:rPr>
                <w:color w:val="000000"/>
                <w:sz w:val="24"/>
              </w:rPr>
              <w:t>过去三个月</w:t>
            </w:r>
          </w:p>
        </w:tc>
        <w:tc>
          <w:tcPr>
            <w:tcW w:w="1267" w:type="dxa"/>
            <w:vAlign w:val="center"/>
          </w:tcPr>
          <w:p w:rsidR="00C40917" w:rsidRDefault="00264930">
            <w:pPr>
              <w:jc w:val="center"/>
            </w:pPr>
            <w:r>
              <w:rPr>
                <w:color w:val="000000"/>
                <w:sz w:val="24"/>
              </w:rPr>
              <w:t>10.33%</w:t>
            </w:r>
          </w:p>
        </w:tc>
        <w:tc>
          <w:tcPr>
            <w:tcW w:w="1267" w:type="dxa"/>
            <w:vAlign w:val="center"/>
          </w:tcPr>
          <w:p w:rsidR="00C40917" w:rsidRDefault="00264930">
            <w:pPr>
              <w:jc w:val="center"/>
            </w:pPr>
            <w:r>
              <w:rPr>
                <w:color w:val="000000"/>
                <w:sz w:val="24"/>
              </w:rPr>
              <w:t>0.94%</w:t>
            </w:r>
          </w:p>
        </w:tc>
        <w:tc>
          <w:tcPr>
            <w:tcW w:w="1267" w:type="dxa"/>
            <w:vAlign w:val="center"/>
          </w:tcPr>
          <w:p w:rsidR="00C40917" w:rsidRDefault="00264930">
            <w:pPr>
              <w:jc w:val="center"/>
            </w:pPr>
            <w:r>
              <w:rPr>
                <w:color w:val="000000"/>
                <w:sz w:val="24"/>
              </w:rPr>
              <w:t>2.51%</w:t>
            </w:r>
          </w:p>
        </w:tc>
        <w:tc>
          <w:tcPr>
            <w:tcW w:w="1267" w:type="dxa"/>
            <w:vAlign w:val="center"/>
          </w:tcPr>
          <w:p w:rsidR="00C40917" w:rsidRDefault="00264930">
            <w:pPr>
              <w:jc w:val="center"/>
            </w:pPr>
            <w:r>
              <w:rPr>
                <w:color w:val="000000"/>
                <w:sz w:val="24"/>
              </w:rPr>
              <w:t>0.78%</w:t>
            </w:r>
          </w:p>
        </w:tc>
        <w:tc>
          <w:tcPr>
            <w:tcW w:w="1267" w:type="dxa"/>
            <w:vAlign w:val="center"/>
          </w:tcPr>
          <w:p w:rsidR="00C40917" w:rsidRDefault="00264930">
            <w:pPr>
              <w:jc w:val="center"/>
            </w:pPr>
            <w:r>
              <w:rPr>
                <w:color w:val="000000"/>
                <w:sz w:val="24"/>
              </w:rPr>
              <w:t>7.82%</w:t>
            </w:r>
          </w:p>
        </w:tc>
        <w:tc>
          <w:tcPr>
            <w:tcW w:w="1267" w:type="dxa"/>
            <w:vAlign w:val="center"/>
          </w:tcPr>
          <w:p w:rsidR="00C40917" w:rsidRDefault="00264930">
            <w:pPr>
              <w:jc w:val="center"/>
            </w:pPr>
            <w:r>
              <w:rPr>
                <w:color w:val="000000"/>
                <w:sz w:val="24"/>
              </w:rPr>
              <w:t>0.16%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交银施罗德成长混合型证券投资基金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w:t>
      </w:r>
      <w:r w:rsidR="00D04410" w:rsidRPr="007F52FA">
        <w:rPr>
          <w:rFonts w:ascii="Times New Roman" w:hAnsi="Times New Roman"/>
          <w:sz w:val="24"/>
          <w:szCs w:val="24"/>
        </w:rPr>
        <w:t>年</w:t>
      </w:r>
      <w:r w:rsidR="00D04410" w:rsidRPr="007F52FA">
        <w:rPr>
          <w:rFonts w:ascii="Times New Roman" w:hAnsi="Times New Roman"/>
          <w:sz w:val="24"/>
          <w:szCs w:val="24"/>
        </w:rPr>
        <w:t>10</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2006</w:t>
      </w:r>
      <w:r w:rsidRPr="007F52FA">
        <w:rPr>
          <w:color w:val="000000"/>
          <w:sz w:val="24"/>
        </w:rPr>
        <w:t>年</w:t>
      </w:r>
      <w:r w:rsidRPr="007F52FA">
        <w:rPr>
          <w:color w:val="000000"/>
          <w:sz w:val="24"/>
        </w:rPr>
        <w:t>10</w:t>
      </w:r>
      <w:r w:rsidRPr="007F52FA">
        <w:rPr>
          <w:color w:val="000000"/>
          <w:sz w:val="24"/>
        </w:rPr>
        <w:t>月</w:t>
      </w:r>
      <w:r w:rsidRPr="007F52FA">
        <w:rPr>
          <w:color w:val="000000"/>
          <w:sz w:val="24"/>
        </w:rPr>
        <w:t>23</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交银成长混合</w:t>
      </w:r>
      <w:r w:rsidR="00FE7FBD" w:rsidRPr="007F52FA">
        <w:rPr>
          <w:color w:val="000000"/>
          <w:sz w:val="24"/>
        </w:rPr>
        <w:t>H</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40917">
        <w:trPr>
          <w:jc w:val="center"/>
        </w:trPr>
        <w:tc>
          <w:tcPr>
            <w:tcW w:w="946" w:type="dxa"/>
            <w:vAlign w:val="center"/>
          </w:tcPr>
          <w:p w:rsidR="00C40917" w:rsidRDefault="00264930">
            <w:pPr>
              <w:jc w:val="center"/>
            </w:pPr>
            <w:r>
              <w:rPr>
                <w:color w:val="000000"/>
                <w:sz w:val="24"/>
              </w:rPr>
              <w:t>王少成</w:t>
            </w:r>
          </w:p>
        </w:tc>
        <w:tc>
          <w:tcPr>
            <w:tcW w:w="924" w:type="dxa"/>
            <w:vAlign w:val="center"/>
          </w:tcPr>
          <w:p w:rsidR="00C40917" w:rsidRDefault="00264930">
            <w:pPr>
              <w:jc w:val="center"/>
            </w:pPr>
            <w:r>
              <w:rPr>
                <w:color w:val="000000"/>
                <w:sz w:val="24"/>
              </w:rPr>
              <w:t>交银成长混合、交银蓝筹混合的基金经理，公司权益投资总监</w:t>
            </w:r>
          </w:p>
        </w:tc>
        <w:tc>
          <w:tcPr>
            <w:tcW w:w="1202" w:type="dxa"/>
            <w:vAlign w:val="center"/>
          </w:tcPr>
          <w:p w:rsidR="00C40917" w:rsidRDefault="00264930">
            <w:pPr>
              <w:jc w:val="center"/>
            </w:pPr>
            <w:r>
              <w:rPr>
                <w:color w:val="000000"/>
                <w:sz w:val="24"/>
              </w:rPr>
              <w:t>2015-03-24</w:t>
            </w:r>
          </w:p>
        </w:tc>
        <w:tc>
          <w:tcPr>
            <w:tcW w:w="1300" w:type="dxa"/>
            <w:vAlign w:val="center"/>
          </w:tcPr>
          <w:p w:rsidR="00C40917" w:rsidRDefault="00264930">
            <w:pPr>
              <w:jc w:val="center"/>
            </w:pPr>
            <w:r>
              <w:rPr>
                <w:color w:val="000000"/>
                <w:sz w:val="24"/>
              </w:rPr>
              <w:t>-</w:t>
            </w:r>
          </w:p>
        </w:tc>
        <w:tc>
          <w:tcPr>
            <w:tcW w:w="1245" w:type="dxa"/>
            <w:vAlign w:val="center"/>
          </w:tcPr>
          <w:p w:rsidR="00C40917" w:rsidRDefault="00264930">
            <w:pPr>
              <w:jc w:val="center"/>
            </w:pPr>
            <w:r>
              <w:rPr>
                <w:color w:val="000000"/>
                <w:sz w:val="24"/>
              </w:rPr>
              <w:t>15</w:t>
            </w:r>
            <w:r>
              <w:rPr>
                <w:color w:val="000000"/>
                <w:sz w:val="24"/>
              </w:rPr>
              <w:t>年</w:t>
            </w:r>
          </w:p>
        </w:tc>
        <w:tc>
          <w:tcPr>
            <w:tcW w:w="3251" w:type="dxa"/>
            <w:vAlign w:val="center"/>
          </w:tcPr>
          <w:p w:rsidR="00C40917" w:rsidRDefault="00264930">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w:t>
            </w:r>
            <w:r>
              <w:rPr>
                <w:color w:val="000000"/>
                <w:sz w:val="24"/>
              </w:rPr>
              <w:t>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日担任交银施罗德恒益灵活配置混合型证券投资基金的基金经理。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C40917" w:rsidRDefault="0026493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40917" w:rsidRDefault="0026493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w:t>
      </w:r>
      <w:r>
        <w:rPr>
          <w:color w:val="000000"/>
          <w:sz w:val="24"/>
        </w:rPr>
        <w:t>格优先、比例分配</w:t>
      </w:r>
      <w:r>
        <w:rPr>
          <w:color w:val="000000"/>
          <w:sz w:val="24"/>
        </w:rPr>
        <w:t>”</w:t>
      </w:r>
      <w:r>
        <w:rPr>
          <w:color w:val="000000"/>
          <w:sz w:val="24"/>
        </w:rPr>
        <w:t>的原则按事前独立确定的投资方案对交易结果进行分配。</w:t>
      </w:r>
    </w:p>
    <w:p w:rsidR="00C40917" w:rsidRDefault="0026493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40917" w:rsidRDefault="00264930">
      <w:pPr>
        <w:spacing w:before="29" w:line="288" w:lineRule="auto"/>
        <w:ind w:firstLineChars="200" w:firstLine="480"/>
        <w:rPr>
          <w:color w:val="000000"/>
          <w:sz w:val="24"/>
        </w:rPr>
      </w:pPr>
      <w:r>
        <w:rPr>
          <w:color w:val="000000"/>
          <w:sz w:val="24"/>
        </w:rPr>
        <w:t>国内宏观经济尚处于探底的阶段。经济指标运行在合理区间，依然处于持续探底的阶段。考虑到宏观去杠杆和经济结构调整的压力仍在，四季度国内经济政策预计依然以托底为主，财政政策发力在明年一季度的概率更大。人民币贬值压力相对可控。从海外投资者配置行业方向来观察，对国内经济在四季度见底或者政府启动大规模的刺激性政策是有预期的，这可能成为的内外投资者在未来一段时间一个显著的分歧。供给侧的通胀风险始终需要提防。在经历了长达十年缺乏通胀的时期，投资者最容易低估的就是通胀风险。考虑到长期</w:t>
      </w:r>
      <w:r>
        <w:rPr>
          <w:color w:val="000000"/>
          <w:sz w:val="24"/>
        </w:rPr>
        <w:t>QE</w:t>
      </w:r>
      <w:r>
        <w:rPr>
          <w:color w:val="000000"/>
          <w:sz w:val="24"/>
        </w:rPr>
        <w:t>使得资本持续的追逐资产价格而较少实体投</w:t>
      </w:r>
      <w:r>
        <w:rPr>
          <w:color w:val="000000"/>
          <w:sz w:val="24"/>
        </w:rPr>
        <w:t>资，未来通胀的故事可能更多是供给端的故事。</w:t>
      </w:r>
    </w:p>
    <w:p w:rsidR="00C40917" w:rsidRDefault="00264930">
      <w:pPr>
        <w:spacing w:before="29" w:line="288" w:lineRule="auto"/>
        <w:ind w:firstLineChars="200" w:firstLine="480"/>
        <w:rPr>
          <w:color w:val="000000"/>
          <w:sz w:val="24"/>
        </w:rPr>
      </w:pPr>
      <w:r>
        <w:rPr>
          <w:color w:val="000000"/>
          <w:sz w:val="24"/>
        </w:rPr>
        <w:t>2019</w:t>
      </w:r>
      <w:r>
        <w:rPr>
          <w:color w:val="000000"/>
          <w:sz w:val="24"/>
        </w:rPr>
        <w:t>年三季度</w:t>
      </w:r>
      <w:r>
        <w:rPr>
          <w:color w:val="000000"/>
          <w:sz w:val="24"/>
        </w:rPr>
        <w:t>A</w:t>
      </w:r>
      <w:r>
        <w:rPr>
          <w:color w:val="000000"/>
          <w:sz w:val="24"/>
        </w:rPr>
        <w:t>股受益于贸易谈判的阶段性缓和，市场风险偏好持攀升，以半导体为首的科技板块成为资金持续追逐的方向。</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年四季度，中美贸易谈判持续，国内经济持续探底，</w:t>
      </w:r>
      <w:r w:rsidRPr="007F52FA">
        <w:rPr>
          <w:color w:val="000000"/>
          <w:sz w:val="24"/>
        </w:rPr>
        <w:t>A</w:t>
      </w:r>
      <w:r w:rsidRPr="007F52FA">
        <w:rPr>
          <w:color w:val="000000"/>
          <w:sz w:val="24"/>
        </w:rPr>
        <w:t>股市场大概率预计还是结构性行情，具有业绩支撑的科技板块和抵抗经济下行周期的医药和大消费板块预计还会有持续的超额收益。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2,066,097,232.43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2,066,097,232.43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82.17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119,898,000.00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4.77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119,898,000.00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4.77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325,224,546.77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12.93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3,338,881.60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0.13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2,514,558,660.80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1,498,937,328.90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59.80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27,141,030.00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213,759,043.15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8.53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38,266.20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5,902,050.00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62,505,143.68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2.49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223,085,356.58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8.90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5,519,628.00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29,209,385.92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2,066,097,232.43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82.43</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C40917">
        <w:trPr>
          <w:jc w:val="center"/>
        </w:trPr>
        <w:tc>
          <w:tcPr>
            <w:tcW w:w="850" w:type="dxa"/>
            <w:vAlign w:val="center"/>
          </w:tcPr>
          <w:p w:rsidR="00C40917" w:rsidRDefault="00264930">
            <w:pPr>
              <w:jc w:val="center"/>
            </w:pPr>
            <w:r>
              <w:rPr>
                <w:color w:val="000000"/>
                <w:sz w:val="24"/>
              </w:rPr>
              <w:t>1</w:t>
            </w:r>
          </w:p>
        </w:tc>
        <w:tc>
          <w:tcPr>
            <w:tcW w:w="1327" w:type="dxa"/>
            <w:vAlign w:val="center"/>
          </w:tcPr>
          <w:p w:rsidR="00C40917" w:rsidRDefault="00264930">
            <w:pPr>
              <w:jc w:val="center"/>
            </w:pPr>
            <w:r>
              <w:rPr>
                <w:color w:val="000000"/>
                <w:sz w:val="24"/>
              </w:rPr>
              <w:t>002216</w:t>
            </w:r>
          </w:p>
        </w:tc>
        <w:tc>
          <w:tcPr>
            <w:tcW w:w="1769" w:type="dxa"/>
            <w:vAlign w:val="center"/>
          </w:tcPr>
          <w:p w:rsidR="00C40917" w:rsidRDefault="00264930">
            <w:pPr>
              <w:jc w:val="center"/>
            </w:pPr>
            <w:r>
              <w:rPr>
                <w:color w:val="000000"/>
                <w:sz w:val="24"/>
              </w:rPr>
              <w:t>三全食品</w:t>
            </w:r>
          </w:p>
        </w:tc>
        <w:tc>
          <w:tcPr>
            <w:tcW w:w="1327" w:type="dxa"/>
            <w:vAlign w:val="center"/>
          </w:tcPr>
          <w:p w:rsidR="00C40917" w:rsidRDefault="00264930">
            <w:pPr>
              <w:jc w:val="right"/>
            </w:pPr>
            <w:r>
              <w:rPr>
                <w:color w:val="000000"/>
                <w:sz w:val="24"/>
              </w:rPr>
              <w:t>24,524,365</w:t>
            </w:r>
          </w:p>
        </w:tc>
        <w:tc>
          <w:tcPr>
            <w:tcW w:w="1915" w:type="dxa"/>
            <w:vAlign w:val="center"/>
          </w:tcPr>
          <w:p w:rsidR="00C40917" w:rsidRDefault="00264930">
            <w:pPr>
              <w:jc w:val="right"/>
            </w:pPr>
            <w:r>
              <w:rPr>
                <w:color w:val="000000"/>
                <w:sz w:val="24"/>
              </w:rPr>
              <w:t>237,150,609.55</w:t>
            </w:r>
          </w:p>
        </w:tc>
        <w:tc>
          <w:tcPr>
            <w:tcW w:w="1680" w:type="dxa"/>
            <w:vAlign w:val="center"/>
          </w:tcPr>
          <w:p w:rsidR="00C40917" w:rsidRDefault="00264930">
            <w:pPr>
              <w:jc w:val="right"/>
            </w:pPr>
            <w:r>
              <w:rPr>
                <w:color w:val="000000"/>
                <w:sz w:val="24"/>
              </w:rPr>
              <w:t>9.46</w:t>
            </w:r>
          </w:p>
        </w:tc>
      </w:tr>
      <w:tr w:rsidR="00C40917">
        <w:trPr>
          <w:jc w:val="center"/>
        </w:trPr>
        <w:tc>
          <w:tcPr>
            <w:tcW w:w="850" w:type="dxa"/>
            <w:vAlign w:val="center"/>
          </w:tcPr>
          <w:p w:rsidR="00C40917" w:rsidRDefault="00264930">
            <w:pPr>
              <w:jc w:val="center"/>
            </w:pPr>
            <w:r>
              <w:rPr>
                <w:color w:val="000000"/>
                <w:sz w:val="24"/>
              </w:rPr>
              <w:t>2</w:t>
            </w:r>
          </w:p>
        </w:tc>
        <w:tc>
          <w:tcPr>
            <w:tcW w:w="1327" w:type="dxa"/>
            <w:vAlign w:val="center"/>
          </w:tcPr>
          <w:p w:rsidR="00C40917" w:rsidRDefault="00264930">
            <w:pPr>
              <w:jc w:val="center"/>
            </w:pPr>
            <w:r>
              <w:rPr>
                <w:color w:val="000000"/>
                <w:sz w:val="24"/>
              </w:rPr>
              <w:t>002607</w:t>
            </w:r>
          </w:p>
        </w:tc>
        <w:tc>
          <w:tcPr>
            <w:tcW w:w="1769" w:type="dxa"/>
            <w:vAlign w:val="center"/>
          </w:tcPr>
          <w:p w:rsidR="00C40917" w:rsidRDefault="00264930">
            <w:pPr>
              <w:jc w:val="center"/>
            </w:pPr>
            <w:r>
              <w:rPr>
                <w:color w:val="000000"/>
                <w:sz w:val="24"/>
              </w:rPr>
              <w:t>中公教育</w:t>
            </w:r>
          </w:p>
        </w:tc>
        <w:tc>
          <w:tcPr>
            <w:tcW w:w="1327" w:type="dxa"/>
            <w:vAlign w:val="center"/>
          </w:tcPr>
          <w:p w:rsidR="00C40917" w:rsidRDefault="00264930">
            <w:pPr>
              <w:jc w:val="right"/>
            </w:pPr>
            <w:r>
              <w:rPr>
                <w:color w:val="000000"/>
                <w:sz w:val="24"/>
              </w:rPr>
              <w:t>13,711,454</w:t>
            </w:r>
          </w:p>
        </w:tc>
        <w:tc>
          <w:tcPr>
            <w:tcW w:w="1915" w:type="dxa"/>
            <w:vAlign w:val="center"/>
          </w:tcPr>
          <w:p w:rsidR="00C40917" w:rsidRDefault="00264930">
            <w:pPr>
              <w:jc w:val="right"/>
            </w:pPr>
            <w:r>
              <w:rPr>
                <w:color w:val="000000"/>
                <w:sz w:val="24"/>
              </w:rPr>
              <w:t>223,085,356.58</w:t>
            </w:r>
          </w:p>
        </w:tc>
        <w:tc>
          <w:tcPr>
            <w:tcW w:w="1680" w:type="dxa"/>
            <w:vAlign w:val="center"/>
          </w:tcPr>
          <w:p w:rsidR="00C40917" w:rsidRDefault="00264930">
            <w:pPr>
              <w:jc w:val="right"/>
            </w:pPr>
            <w:r>
              <w:rPr>
                <w:color w:val="000000"/>
                <w:sz w:val="24"/>
              </w:rPr>
              <w:t>8.90</w:t>
            </w:r>
          </w:p>
        </w:tc>
      </w:tr>
      <w:tr w:rsidR="00C40917">
        <w:trPr>
          <w:jc w:val="center"/>
        </w:trPr>
        <w:tc>
          <w:tcPr>
            <w:tcW w:w="850" w:type="dxa"/>
            <w:vAlign w:val="center"/>
          </w:tcPr>
          <w:p w:rsidR="00C40917" w:rsidRDefault="00264930">
            <w:pPr>
              <w:jc w:val="center"/>
            </w:pPr>
            <w:r>
              <w:rPr>
                <w:color w:val="000000"/>
                <w:sz w:val="24"/>
              </w:rPr>
              <w:t>3</w:t>
            </w:r>
          </w:p>
        </w:tc>
        <w:tc>
          <w:tcPr>
            <w:tcW w:w="1327" w:type="dxa"/>
            <w:vAlign w:val="center"/>
          </w:tcPr>
          <w:p w:rsidR="00C40917" w:rsidRDefault="00264930">
            <w:pPr>
              <w:jc w:val="center"/>
            </w:pPr>
            <w:r>
              <w:rPr>
                <w:color w:val="000000"/>
                <w:sz w:val="24"/>
              </w:rPr>
              <w:t>603517</w:t>
            </w:r>
          </w:p>
        </w:tc>
        <w:tc>
          <w:tcPr>
            <w:tcW w:w="1769" w:type="dxa"/>
            <w:vAlign w:val="center"/>
          </w:tcPr>
          <w:p w:rsidR="00C40917" w:rsidRDefault="00264930">
            <w:pPr>
              <w:jc w:val="center"/>
            </w:pPr>
            <w:r>
              <w:rPr>
                <w:color w:val="000000"/>
                <w:sz w:val="24"/>
              </w:rPr>
              <w:t>绝味食品</w:t>
            </w:r>
          </w:p>
        </w:tc>
        <w:tc>
          <w:tcPr>
            <w:tcW w:w="1327" w:type="dxa"/>
            <w:vAlign w:val="center"/>
          </w:tcPr>
          <w:p w:rsidR="00C40917" w:rsidRDefault="00264930">
            <w:pPr>
              <w:jc w:val="right"/>
            </w:pPr>
            <w:r>
              <w:rPr>
                <w:color w:val="000000"/>
                <w:sz w:val="24"/>
              </w:rPr>
              <w:t>5,268,825</w:t>
            </w:r>
          </w:p>
        </w:tc>
        <w:tc>
          <w:tcPr>
            <w:tcW w:w="1915" w:type="dxa"/>
            <w:vAlign w:val="center"/>
          </w:tcPr>
          <w:p w:rsidR="00C40917" w:rsidRDefault="00264930">
            <w:pPr>
              <w:jc w:val="right"/>
            </w:pPr>
            <w:r>
              <w:rPr>
                <w:color w:val="000000"/>
                <w:sz w:val="24"/>
              </w:rPr>
              <w:t>213,703,542.00</w:t>
            </w:r>
          </w:p>
        </w:tc>
        <w:tc>
          <w:tcPr>
            <w:tcW w:w="1680" w:type="dxa"/>
            <w:vAlign w:val="center"/>
          </w:tcPr>
          <w:p w:rsidR="00C40917" w:rsidRDefault="00264930">
            <w:pPr>
              <w:jc w:val="right"/>
            </w:pPr>
            <w:r>
              <w:rPr>
                <w:color w:val="000000"/>
                <w:sz w:val="24"/>
              </w:rPr>
              <w:t>8.53</w:t>
            </w:r>
          </w:p>
        </w:tc>
      </w:tr>
      <w:tr w:rsidR="00C40917">
        <w:trPr>
          <w:jc w:val="center"/>
        </w:trPr>
        <w:tc>
          <w:tcPr>
            <w:tcW w:w="850" w:type="dxa"/>
            <w:vAlign w:val="center"/>
          </w:tcPr>
          <w:p w:rsidR="00C40917" w:rsidRDefault="00264930">
            <w:pPr>
              <w:jc w:val="center"/>
            </w:pPr>
            <w:r>
              <w:rPr>
                <w:color w:val="000000"/>
                <w:sz w:val="24"/>
              </w:rPr>
              <w:t>4</w:t>
            </w:r>
          </w:p>
        </w:tc>
        <w:tc>
          <w:tcPr>
            <w:tcW w:w="1327" w:type="dxa"/>
            <w:vAlign w:val="center"/>
          </w:tcPr>
          <w:p w:rsidR="00C40917" w:rsidRDefault="00264930">
            <w:pPr>
              <w:jc w:val="center"/>
            </w:pPr>
            <w:r>
              <w:rPr>
                <w:color w:val="000000"/>
                <w:sz w:val="24"/>
              </w:rPr>
              <w:t>603707</w:t>
            </w:r>
          </w:p>
        </w:tc>
        <w:tc>
          <w:tcPr>
            <w:tcW w:w="1769" w:type="dxa"/>
            <w:vAlign w:val="center"/>
          </w:tcPr>
          <w:p w:rsidR="00C40917" w:rsidRDefault="00264930">
            <w:pPr>
              <w:jc w:val="center"/>
            </w:pPr>
            <w:r>
              <w:rPr>
                <w:color w:val="000000"/>
                <w:sz w:val="24"/>
              </w:rPr>
              <w:t>健友股份</w:t>
            </w:r>
          </w:p>
        </w:tc>
        <w:tc>
          <w:tcPr>
            <w:tcW w:w="1327" w:type="dxa"/>
            <w:vAlign w:val="center"/>
          </w:tcPr>
          <w:p w:rsidR="00C40917" w:rsidRDefault="00264930">
            <w:pPr>
              <w:jc w:val="right"/>
            </w:pPr>
            <w:r>
              <w:rPr>
                <w:color w:val="000000"/>
                <w:sz w:val="24"/>
              </w:rPr>
              <w:t>5,056,363</w:t>
            </w:r>
          </w:p>
        </w:tc>
        <w:tc>
          <w:tcPr>
            <w:tcW w:w="1915" w:type="dxa"/>
            <w:vAlign w:val="center"/>
          </w:tcPr>
          <w:p w:rsidR="00C40917" w:rsidRDefault="00264930">
            <w:pPr>
              <w:jc w:val="right"/>
            </w:pPr>
            <w:r>
              <w:rPr>
                <w:color w:val="000000"/>
                <w:sz w:val="24"/>
              </w:rPr>
              <w:t>187,843,885.45</w:t>
            </w:r>
          </w:p>
        </w:tc>
        <w:tc>
          <w:tcPr>
            <w:tcW w:w="1680" w:type="dxa"/>
            <w:vAlign w:val="center"/>
          </w:tcPr>
          <w:p w:rsidR="00C40917" w:rsidRDefault="00264930">
            <w:pPr>
              <w:jc w:val="right"/>
            </w:pPr>
            <w:r>
              <w:rPr>
                <w:color w:val="000000"/>
                <w:sz w:val="24"/>
              </w:rPr>
              <w:t>7.49</w:t>
            </w:r>
          </w:p>
        </w:tc>
      </w:tr>
      <w:tr w:rsidR="00C40917">
        <w:trPr>
          <w:jc w:val="center"/>
        </w:trPr>
        <w:tc>
          <w:tcPr>
            <w:tcW w:w="850" w:type="dxa"/>
            <w:vAlign w:val="center"/>
          </w:tcPr>
          <w:p w:rsidR="00C40917" w:rsidRDefault="00264930">
            <w:pPr>
              <w:jc w:val="center"/>
            </w:pPr>
            <w:r>
              <w:rPr>
                <w:color w:val="000000"/>
                <w:sz w:val="24"/>
              </w:rPr>
              <w:t>5</w:t>
            </w:r>
          </w:p>
        </w:tc>
        <w:tc>
          <w:tcPr>
            <w:tcW w:w="1327" w:type="dxa"/>
            <w:vAlign w:val="center"/>
          </w:tcPr>
          <w:p w:rsidR="00C40917" w:rsidRDefault="00264930">
            <w:pPr>
              <w:jc w:val="center"/>
            </w:pPr>
            <w:r>
              <w:rPr>
                <w:color w:val="000000"/>
                <w:sz w:val="24"/>
              </w:rPr>
              <w:t>002180</w:t>
            </w:r>
          </w:p>
        </w:tc>
        <w:tc>
          <w:tcPr>
            <w:tcW w:w="1769" w:type="dxa"/>
            <w:vAlign w:val="center"/>
          </w:tcPr>
          <w:p w:rsidR="00C40917" w:rsidRDefault="00264930">
            <w:pPr>
              <w:jc w:val="center"/>
            </w:pPr>
            <w:r>
              <w:rPr>
                <w:color w:val="000000"/>
                <w:sz w:val="24"/>
              </w:rPr>
              <w:t>纳思达</w:t>
            </w:r>
          </w:p>
        </w:tc>
        <w:tc>
          <w:tcPr>
            <w:tcW w:w="1327" w:type="dxa"/>
            <w:vAlign w:val="center"/>
          </w:tcPr>
          <w:p w:rsidR="00C40917" w:rsidRDefault="00264930">
            <w:pPr>
              <w:jc w:val="right"/>
            </w:pPr>
            <w:r>
              <w:rPr>
                <w:color w:val="000000"/>
                <w:sz w:val="24"/>
              </w:rPr>
              <w:t>4,121,738</w:t>
            </w:r>
          </w:p>
        </w:tc>
        <w:tc>
          <w:tcPr>
            <w:tcW w:w="1915" w:type="dxa"/>
            <w:vAlign w:val="center"/>
          </w:tcPr>
          <w:p w:rsidR="00C40917" w:rsidRDefault="00264930">
            <w:pPr>
              <w:jc w:val="right"/>
            </w:pPr>
            <w:r>
              <w:rPr>
                <w:color w:val="000000"/>
                <w:sz w:val="24"/>
              </w:rPr>
              <w:t>122,498,053.36</w:t>
            </w:r>
          </w:p>
        </w:tc>
        <w:tc>
          <w:tcPr>
            <w:tcW w:w="1680" w:type="dxa"/>
            <w:vAlign w:val="center"/>
          </w:tcPr>
          <w:p w:rsidR="00C40917" w:rsidRDefault="00264930">
            <w:pPr>
              <w:jc w:val="right"/>
            </w:pPr>
            <w:r>
              <w:rPr>
                <w:color w:val="000000"/>
                <w:sz w:val="24"/>
              </w:rPr>
              <w:t>4.89</w:t>
            </w:r>
          </w:p>
        </w:tc>
      </w:tr>
      <w:tr w:rsidR="00C40917">
        <w:trPr>
          <w:jc w:val="center"/>
        </w:trPr>
        <w:tc>
          <w:tcPr>
            <w:tcW w:w="850" w:type="dxa"/>
            <w:vAlign w:val="center"/>
          </w:tcPr>
          <w:p w:rsidR="00C40917" w:rsidRDefault="00264930">
            <w:pPr>
              <w:jc w:val="center"/>
            </w:pPr>
            <w:r>
              <w:rPr>
                <w:color w:val="000000"/>
                <w:sz w:val="24"/>
              </w:rPr>
              <w:t>6</w:t>
            </w:r>
          </w:p>
        </w:tc>
        <w:tc>
          <w:tcPr>
            <w:tcW w:w="1327" w:type="dxa"/>
            <w:vAlign w:val="center"/>
          </w:tcPr>
          <w:p w:rsidR="00C40917" w:rsidRDefault="00264930">
            <w:pPr>
              <w:jc w:val="center"/>
            </w:pPr>
            <w:r>
              <w:rPr>
                <w:color w:val="000000"/>
                <w:sz w:val="24"/>
              </w:rPr>
              <w:t>002230</w:t>
            </w:r>
          </w:p>
        </w:tc>
        <w:tc>
          <w:tcPr>
            <w:tcW w:w="1769" w:type="dxa"/>
            <w:vAlign w:val="center"/>
          </w:tcPr>
          <w:p w:rsidR="00C40917" w:rsidRDefault="00264930">
            <w:pPr>
              <w:jc w:val="center"/>
            </w:pPr>
            <w:r>
              <w:rPr>
                <w:color w:val="000000"/>
                <w:sz w:val="24"/>
              </w:rPr>
              <w:t>科大讯飞</w:t>
            </w:r>
          </w:p>
        </w:tc>
        <w:tc>
          <w:tcPr>
            <w:tcW w:w="1327" w:type="dxa"/>
            <w:vAlign w:val="center"/>
          </w:tcPr>
          <w:p w:rsidR="00C40917" w:rsidRDefault="00264930">
            <w:pPr>
              <w:jc w:val="right"/>
            </w:pPr>
            <w:r>
              <w:rPr>
                <w:color w:val="000000"/>
                <w:sz w:val="24"/>
              </w:rPr>
              <w:t>3,658,460</w:t>
            </w:r>
          </w:p>
        </w:tc>
        <w:tc>
          <w:tcPr>
            <w:tcW w:w="1915" w:type="dxa"/>
            <w:vAlign w:val="center"/>
          </w:tcPr>
          <w:p w:rsidR="00C40917" w:rsidRDefault="00264930">
            <w:pPr>
              <w:jc w:val="right"/>
            </w:pPr>
            <w:r>
              <w:rPr>
                <w:color w:val="000000"/>
                <w:sz w:val="24"/>
              </w:rPr>
              <w:t>116,558,535.60</w:t>
            </w:r>
          </w:p>
        </w:tc>
        <w:tc>
          <w:tcPr>
            <w:tcW w:w="1680" w:type="dxa"/>
            <w:vAlign w:val="center"/>
          </w:tcPr>
          <w:p w:rsidR="00C40917" w:rsidRDefault="00264930">
            <w:pPr>
              <w:jc w:val="right"/>
            </w:pPr>
            <w:r>
              <w:rPr>
                <w:color w:val="000000"/>
                <w:sz w:val="24"/>
              </w:rPr>
              <w:t>4.65</w:t>
            </w:r>
          </w:p>
        </w:tc>
      </w:tr>
      <w:tr w:rsidR="00C40917">
        <w:trPr>
          <w:jc w:val="center"/>
        </w:trPr>
        <w:tc>
          <w:tcPr>
            <w:tcW w:w="850" w:type="dxa"/>
            <w:vAlign w:val="center"/>
          </w:tcPr>
          <w:p w:rsidR="00C40917" w:rsidRDefault="00264930">
            <w:pPr>
              <w:jc w:val="center"/>
            </w:pPr>
            <w:r>
              <w:rPr>
                <w:color w:val="000000"/>
                <w:sz w:val="24"/>
              </w:rPr>
              <w:t>7</w:t>
            </w:r>
          </w:p>
        </w:tc>
        <w:tc>
          <w:tcPr>
            <w:tcW w:w="1327" w:type="dxa"/>
            <w:vAlign w:val="center"/>
          </w:tcPr>
          <w:p w:rsidR="00C40917" w:rsidRDefault="00264930">
            <w:pPr>
              <w:jc w:val="center"/>
            </w:pPr>
            <w:r>
              <w:rPr>
                <w:color w:val="000000"/>
                <w:sz w:val="24"/>
              </w:rPr>
              <w:t>600216</w:t>
            </w:r>
          </w:p>
        </w:tc>
        <w:tc>
          <w:tcPr>
            <w:tcW w:w="1769" w:type="dxa"/>
            <w:vAlign w:val="center"/>
          </w:tcPr>
          <w:p w:rsidR="00C40917" w:rsidRDefault="00264930">
            <w:pPr>
              <w:jc w:val="center"/>
            </w:pPr>
            <w:r>
              <w:rPr>
                <w:color w:val="000000"/>
                <w:sz w:val="24"/>
              </w:rPr>
              <w:t>浙江医药</w:t>
            </w:r>
          </w:p>
        </w:tc>
        <w:tc>
          <w:tcPr>
            <w:tcW w:w="1327" w:type="dxa"/>
            <w:vAlign w:val="center"/>
          </w:tcPr>
          <w:p w:rsidR="00C40917" w:rsidRDefault="00264930">
            <w:pPr>
              <w:jc w:val="right"/>
            </w:pPr>
            <w:r>
              <w:rPr>
                <w:color w:val="000000"/>
                <w:sz w:val="24"/>
              </w:rPr>
              <w:t>10,141,413</w:t>
            </w:r>
          </w:p>
        </w:tc>
        <w:tc>
          <w:tcPr>
            <w:tcW w:w="1915" w:type="dxa"/>
            <w:vAlign w:val="center"/>
          </w:tcPr>
          <w:p w:rsidR="00C40917" w:rsidRDefault="00264930">
            <w:pPr>
              <w:jc w:val="right"/>
            </w:pPr>
            <w:r>
              <w:rPr>
                <w:color w:val="000000"/>
                <w:sz w:val="24"/>
              </w:rPr>
              <w:t>116,119,178.85</w:t>
            </w:r>
          </w:p>
        </w:tc>
        <w:tc>
          <w:tcPr>
            <w:tcW w:w="1680" w:type="dxa"/>
            <w:vAlign w:val="center"/>
          </w:tcPr>
          <w:p w:rsidR="00C40917" w:rsidRDefault="00264930">
            <w:pPr>
              <w:jc w:val="right"/>
            </w:pPr>
            <w:r>
              <w:rPr>
                <w:color w:val="000000"/>
                <w:sz w:val="24"/>
              </w:rPr>
              <w:t>4.63</w:t>
            </w:r>
          </w:p>
        </w:tc>
      </w:tr>
      <w:tr w:rsidR="00C40917">
        <w:trPr>
          <w:jc w:val="center"/>
        </w:trPr>
        <w:tc>
          <w:tcPr>
            <w:tcW w:w="850" w:type="dxa"/>
            <w:vAlign w:val="center"/>
          </w:tcPr>
          <w:p w:rsidR="00C40917" w:rsidRDefault="00264930">
            <w:pPr>
              <w:jc w:val="center"/>
            </w:pPr>
            <w:r>
              <w:rPr>
                <w:color w:val="000000"/>
                <w:sz w:val="24"/>
              </w:rPr>
              <w:t>8</w:t>
            </w:r>
          </w:p>
        </w:tc>
        <w:tc>
          <w:tcPr>
            <w:tcW w:w="1327" w:type="dxa"/>
            <w:vAlign w:val="center"/>
          </w:tcPr>
          <w:p w:rsidR="00C40917" w:rsidRDefault="00264930">
            <w:pPr>
              <w:jc w:val="center"/>
            </w:pPr>
            <w:r>
              <w:rPr>
                <w:color w:val="000000"/>
                <w:sz w:val="24"/>
              </w:rPr>
              <w:t>688008</w:t>
            </w:r>
          </w:p>
        </w:tc>
        <w:tc>
          <w:tcPr>
            <w:tcW w:w="1769" w:type="dxa"/>
            <w:vAlign w:val="center"/>
          </w:tcPr>
          <w:p w:rsidR="00C40917" w:rsidRDefault="00264930">
            <w:pPr>
              <w:jc w:val="center"/>
            </w:pPr>
            <w:r>
              <w:rPr>
                <w:color w:val="000000"/>
                <w:sz w:val="24"/>
              </w:rPr>
              <w:t>澜起科技</w:t>
            </w:r>
          </w:p>
        </w:tc>
        <w:tc>
          <w:tcPr>
            <w:tcW w:w="1327" w:type="dxa"/>
            <w:vAlign w:val="center"/>
          </w:tcPr>
          <w:p w:rsidR="00C40917" w:rsidRDefault="00264930">
            <w:pPr>
              <w:jc w:val="right"/>
            </w:pPr>
            <w:r>
              <w:rPr>
                <w:color w:val="000000"/>
                <w:sz w:val="24"/>
              </w:rPr>
              <w:t>1,815,153</w:t>
            </w:r>
          </w:p>
        </w:tc>
        <w:tc>
          <w:tcPr>
            <w:tcW w:w="1915" w:type="dxa"/>
            <w:vAlign w:val="center"/>
          </w:tcPr>
          <w:p w:rsidR="00C40917" w:rsidRDefault="00264930">
            <w:pPr>
              <w:jc w:val="right"/>
            </w:pPr>
            <w:r>
              <w:rPr>
                <w:color w:val="000000"/>
                <w:sz w:val="24"/>
              </w:rPr>
              <w:t>114,844,730.31</w:t>
            </w:r>
          </w:p>
        </w:tc>
        <w:tc>
          <w:tcPr>
            <w:tcW w:w="1680" w:type="dxa"/>
            <w:vAlign w:val="center"/>
          </w:tcPr>
          <w:p w:rsidR="00C40917" w:rsidRDefault="00264930">
            <w:pPr>
              <w:jc w:val="right"/>
            </w:pPr>
            <w:r>
              <w:rPr>
                <w:color w:val="000000"/>
                <w:sz w:val="24"/>
              </w:rPr>
              <w:t>4.58</w:t>
            </w:r>
          </w:p>
        </w:tc>
      </w:tr>
      <w:tr w:rsidR="00C40917">
        <w:trPr>
          <w:jc w:val="center"/>
        </w:trPr>
        <w:tc>
          <w:tcPr>
            <w:tcW w:w="850" w:type="dxa"/>
            <w:vAlign w:val="center"/>
          </w:tcPr>
          <w:p w:rsidR="00C40917" w:rsidRDefault="00264930">
            <w:pPr>
              <w:jc w:val="center"/>
            </w:pPr>
            <w:r>
              <w:rPr>
                <w:color w:val="000000"/>
                <w:sz w:val="24"/>
              </w:rPr>
              <w:t>9</w:t>
            </w:r>
          </w:p>
        </w:tc>
        <w:tc>
          <w:tcPr>
            <w:tcW w:w="1327" w:type="dxa"/>
            <w:vAlign w:val="center"/>
          </w:tcPr>
          <w:p w:rsidR="00C40917" w:rsidRDefault="00264930">
            <w:pPr>
              <w:jc w:val="center"/>
            </w:pPr>
            <w:r>
              <w:rPr>
                <w:color w:val="000000"/>
                <w:sz w:val="24"/>
              </w:rPr>
              <w:t>600529</w:t>
            </w:r>
          </w:p>
        </w:tc>
        <w:tc>
          <w:tcPr>
            <w:tcW w:w="1769" w:type="dxa"/>
            <w:vAlign w:val="center"/>
          </w:tcPr>
          <w:p w:rsidR="00C40917" w:rsidRDefault="00264930">
            <w:pPr>
              <w:jc w:val="center"/>
            </w:pPr>
            <w:r>
              <w:rPr>
                <w:color w:val="000000"/>
                <w:sz w:val="24"/>
              </w:rPr>
              <w:t>山东药玻</w:t>
            </w:r>
          </w:p>
        </w:tc>
        <w:tc>
          <w:tcPr>
            <w:tcW w:w="1327" w:type="dxa"/>
            <w:vAlign w:val="center"/>
          </w:tcPr>
          <w:p w:rsidR="00C40917" w:rsidRDefault="00264930">
            <w:pPr>
              <w:jc w:val="right"/>
            </w:pPr>
            <w:r>
              <w:rPr>
                <w:color w:val="000000"/>
                <w:sz w:val="24"/>
              </w:rPr>
              <w:t>3,232,600</w:t>
            </w:r>
          </w:p>
        </w:tc>
        <w:tc>
          <w:tcPr>
            <w:tcW w:w="1915" w:type="dxa"/>
            <w:vAlign w:val="center"/>
          </w:tcPr>
          <w:p w:rsidR="00C40917" w:rsidRDefault="00264930">
            <w:pPr>
              <w:jc w:val="right"/>
            </w:pPr>
            <w:r>
              <w:rPr>
                <w:color w:val="000000"/>
                <w:sz w:val="24"/>
              </w:rPr>
              <w:t>75,384,232.00</w:t>
            </w:r>
          </w:p>
        </w:tc>
        <w:tc>
          <w:tcPr>
            <w:tcW w:w="1680" w:type="dxa"/>
            <w:vAlign w:val="center"/>
          </w:tcPr>
          <w:p w:rsidR="00C40917" w:rsidRDefault="00264930">
            <w:pPr>
              <w:jc w:val="right"/>
            </w:pPr>
            <w:r>
              <w:rPr>
                <w:color w:val="000000"/>
                <w:sz w:val="24"/>
              </w:rPr>
              <w:t>3.01</w:t>
            </w:r>
          </w:p>
        </w:tc>
      </w:tr>
      <w:tr w:rsidR="00C40917">
        <w:trPr>
          <w:jc w:val="center"/>
        </w:trPr>
        <w:tc>
          <w:tcPr>
            <w:tcW w:w="850" w:type="dxa"/>
            <w:vAlign w:val="center"/>
          </w:tcPr>
          <w:p w:rsidR="00C40917" w:rsidRDefault="00264930">
            <w:pPr>
              <w:jc w:val="center"/>
            </w:pPr>
            <w:r>
              <w:rPr>
                <w:color w:val="000000"/>
                <w:sz w:val="24"/>
              </w:rPr>
              <w:t>10</w:t>
            </w:r>
          </w:p>
        </w:tc>
        <w:tc>
          <w:tcPr>
            <w:tcW w:w="1327" w:type="dxa"/>
            <w:vAlign w:val="center"/>
          </w:tcPr>
          <w:p w:rsidR="00C40917" w:rsidRDefault="00264930">
            <w:pPr>
              <w:jc w:val="center"/>
            </w:pPr>
            <w:r>
              <w:rPr>
                <w:color w:val="000000"/>
                <w:sz w:val="24"/>
              </w:rPr>
              <w:t>300146</w:t>
            </w:r>
          </w:p>
        </w:tc>
        <w:tc>
          <w:tcPr>
            <w:tcW w:w="1769" w:type="dxa"/>
            <w:vAlign w:val="center"/>
          </w:tcPr>
          <w:p w:rsidR="00C40917" w:rsidRDefault="00264930">
            <w:pPr>
              <w:jc w:val="center"/>
            </w:pPr>
            <w:r>
              <w:rPr>
                <w:color w:val="000000"/>
                <w:sz w:val="24"/>
              </w:rPr>
              <w:t>汤臣倍健</w:t>
            </w:r>
          </w:p>
        </w:tc>
        <w:tc>
          <w:tcPr>
            <w:tcW w:w="1327" w:type="dxa"/>
            <w:vAlign w:val="center"/>
          </w:tcPr>
          <w:p w:rsidR="00C40917" w:rsidRDefault="00264930">
            <w:pPr>
              <w:jc w:val="right"/>
            </w:pPr>
            <w:r>
              <w:rPr>
                <w:color w:val="000000"/>
                <w:sz w:val="24"/>
              </w:rPr>
              <w:t>3,894,271</w:t>
            </w:r>
          </w:p>
        </w:tc>
        <w:tc>
          <w:tcPr>
            <w:tcW w:w="1915" w:type="dxa"/>
            <w:vAlign w:val="center"/>
          </w:tcPr>
          <w:p w:rsidR="00C40917" w:rsidRDefault="00264930">
            <w:pPr>
              <w:jc w:val="right"/>
            </w:pPr>
            <w:r>
              <w:rPr>
                <w:color w:val="000000"/>
                <w:sz w:val="24"/>
              </w:rPr>
              <w:t>72,121,898.92</w:t>
            </w:r>
          </w:p>
        </w:tc>
        <w:tc>
          <w:tcPr>
            <w:tcW w:w="1680" w:type="dxa"/>
            <w:vAlign w:val="center"/>
          </w:tcPr>
          <w:p w:rsidR="00C40917" w:rsidRDefault="00264930">
            <w:pPr>
              <w:jc w:val="right"/>
            </w:pPr>
            <w:r>
              <w:rPr>
                <w:color w:val="000000"/>
                <w:sz w:val="24"/>
              </w:rPr>
              <w:t>2.88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119,898,000.00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4.78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119,898,000.00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4.78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119,898,000.00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4.78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40917">
        <w:trPr>
          <w:jc w:val="center"/>
        </w:trPr>
        <w:tc>
          <w:tcPr>
            <w:tcW w:w="1075" w:type="dxa"/>
            <w:vAlign w:val="center"/>
          </w:tcPr>
          <w:p w:rsidR="00C40917" w:rsidRDefault="00264930">
            <w:pPr>
              <w:jc w:val="center"/>
            </w:pPr>
            <w:r>
              <w:rPr>
                <w:color w:val="000000"/>
                <w:sz w:val="24"/>
              </w:rPr>
              <w:t>1</w:t>
            </w:r>
          </w:p>
        </w:tc>
        <w:tc>
          <w:tcPr>
            <w:tcW w:w="1533" w:type="dxa"/>
            <w:vAlign w:val="center"/>
          </w:tcPr>
          <w:p w:rsidR="00C40917" w:rsidRDefault="00264930">
            <w:pPr>
              <w:jc w:val="center"/>
            </w:pPr>
            <w:r>
              <w:rPr>
                <w:color w:val="000000"/>
                <w:sz w:val="24"/>
              </w:rPr>
              <w:t>190206</w:t>
            </w:r>
          </w:p>
        </w:tc>
        <w:tc>
          <w:tcPr>
            <w:tcW w:w="1533" w:type="dxa"/>
            <w:vAlign w:val="center"/>
          </w:tcPr>
          <w:p w:rsidR="00C40917" w:rsidRDefault="00264930">
            <w:pPr>
              <w:jc w:val="center"/>
            </w:pPr>
            <w:r>
              <w:rPr>
                <w:color w:val="000000"/>
                <w:sz w:val="24"/>
              </w:rPr>
              <w:t>19</w:t>
            </w:r>
            <w:r>
              <w:rPr>
                <w:color w:val="000000"/>
                <w:sz w:val="24"/>
              </w:rPr>
              <w:t>国开</w:t>
            </w:r>
            <w:r>
              <w:rPr>
                <w:color w:val="000000"/>
                <w:sz w:val="24"/>
              </w:rPr>
              <w:t>06</w:t>
            </w:r>
          </w:p>
        </w:tc>
        <w:tc>
          <w:tcPr>
            <w:tcW w:w="1394" w:type="dxa"/>
            <w:vAlign w:val="center"/>
          </w:tcPr>
          <w:p w:rsidR="00C40917" w:rsidRDefault="00264930">
            <w:pPr>
              <w:jc w:val="right"/>
            </w:pPr>
            <w:r>
              <w:rPr>
                <w:color w:val="000000"/>
                <w:sz w:val="24"/>
              </w:rPr>
              <w:t>600,000</w:t>
            </w:r>
          </w:p>
        </w:tc>
        <w:tc>
          <w:tcPr>
            <w:tcW w:w="1944" w:type="dxa"/>
            <w:vAlign w:val="center"/>
          </w:tcPr>
          <w:p w:rsidR="00C40917" w:rsidRDefault="00264930">
            <w:pPr>
              <w:jc w:val="right"/>
            </w:pPr>
            <w:r>
              <w:rPr>
                <w:color w:val="000000"/>
                <w:sz w:val="24"/>
              </w:rPr>
              <w:t>59,982,000.00</w:t>
            </w:r>
          </w:p>
        </w:tc>
        <w:tc>
          <w:tcPr>
            <w:tcW w:w="1389" w:type="dxa"/>
            <w:vAlign w:val="center"/>
          </w:tcPr>
          <w:p w:rsidR="00C40917" w:rsidRDefault="00264930">
            <w:pPr>
              <w:jc w:val="right"/>
            </w:pPr>
            <w:r>
              <w:rPr>
                <w:color w:val="000000"/>
                <w:sz w:val="24"/>
              </w:rPr>
              <w:t>2.39</w:t>
            </w:r>
          </w:p>
        </w:tc>
      </w:tr>
      <w:tr w:rsidR="00C40917">
        <w:trPr>
          <w:jc w:val="center"/>
        </w:trPr>
        <w:tc>
          <w:tcPr>
            <w:tcW w:w="1075" w:type="dxa"/>
            <w:vAlign w:val="center"/>
          </w:tcPr>
          <w:p w:rsidR="00C40917" w:rsidRDefault="00264930">
            <w:pPr>
              <w:jc w:val="center"/>
            </w:pPr>
            <w:r>
              <w:rPr>
                <w:color w:val="000000"/>
                <w:sz w:val="24"/>
              </w:rPr>
              <w:t>2</w:t>
            </w:r>
          </w:p>
        </w:tc>
        <w:tc>
          <w:tcPr>
            <w:tcW w:w="1533" w:type="dxa"/>
            <w:vAlign w:val="center"/>
          </w:tcPr>
          <w:p w:rsidR="00C40917" w:rsidRDefault="00264930">
            <w:pPr>
              <w:jc w:val="center"/>
            </w:pPr>
            <w:r>
              <w:rPr>
                <w:color w:val="000000"/>
                <w:sz w:val="24"/>
              </w:rPr>
              <w:t>190405</w:t>
            </w:r>
          </w:p>
        </w:tc>
        <w:tc>
          <w:tcPr>
            <w:tcW w:w="1533" w:type="dxa"/>
            <w:vAlign w:val="center"/>
          </w:tcPr>
          <w:p w:rsidR="00C40917" w:rsidRDefault="00264930">
            <w:pPr>
              <w:jc w:val="center"/>
            </w:pPr>
            <w:r>
              <w:rPr>
                <w:color w:val="000000"/>
                <w:sz w:val="24"/>
              </w:rPr>
              <w:t>19</w:t>
            </w:r>
            <w:r>
              <w:rPr>
                <w:color w:val="000000"/>
                <w:sz w:val="24"/>
              </w:rPr>
              <w:t>农发</w:t>
            </w:r>
            <w:r>
              <w:rPr>
                <w:color w:val="000000"/>
                <w:sz w:val="24"/>
              </w:rPr>
              <w:t>05</w:t>
            </w:r>
          </w:p>
        </w:tc>
        <w:tc>
          <w:tcPr>
            <w:tcW w:w="1394" w:type="dxa"/>
            <w:vAlign w:val="center"/>
          </w:tcPr>
          <w:p w:rsidR="00C40917" w:rsidRDefault="00264930">
            <w:pPr>
              <w:jc w:val="right"/>
            </w:pPr>
            <w:r>
              <w:rPr>
                <w:color w:val="000000"/>
                <w:sz w:val="24"/>
              </w:rPr>
              <w:t>600,000</w:t>
            </w:r>
          </w:p>
        </w:tc>
        <w:tc>
          <w:tcPr>
            <w:tcW w:w="1944" w:type="dxa"/>
            <w:vAlign w:val="center"/>
          </w:tcPr>
          <w:p w:rsidR="00C40917" w:rsidRDefault="00264930">
            <w:pPr>
              <w:jc w:val="right"/>
            </w:pPr>
            <w:r>
              <w:rPr>
                <w:color w:val="000000"/>
                <w:sz w:val="24"/>
              </w:rPr>
              <w:t>59,916,000.00</w:t>
            </w:r>
          </w:p>
        </w:tc>
        <w:tc>
          <w:tcPr>
            <w:tcW w:w="1389" w:type="dxa"/>
            <w:vAlign w:val="center"/>
          </w:tcPr>
          <w:p w:rsidR="00C40917" w:rsidRDefault="00264930">
            <w:pPr>
              <w:jc w:val="right"/>
            </w:pPr>
            <w:r>
              <w:rPr>
                <w:color w:val="000000"/>
                <w:sz w:val="24"/>
              </w:rPr>
              <w:t>2.39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535,560.82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1,382,453.28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1,165,016.81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255,850.69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3,338,881.60</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H</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648,714,717.45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195,336.96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8,183,072.32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34,253,961.49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622,643,828.28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195,336.96</w:t>
            </w:r>
          </w:p>
        </w:tc>
      </w:tr>
    </w:tbl>
    <w:p w:rsidR="00C40917" w:rsidRDefault="0026493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40917" w:rsidRDefault="0026493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、中国证监会批准交银施罗德成长股票证券投资基金募集的文件；</w:t>
      </w:r>
      <w:r>
        <w:rPr>
          <w:rFonts w:eastAsiaTheme="minorEastAsia"/>
          <w:color w:val="000000"/>
          <w:sz w:val="24"/>
        </w:rPr>
        <w:t xml:space="preserve"> </w:t>
      </w:r>
    </w:p>
    <w:p w:rsidR="00C40917" w:rsidRDefault="0026493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、《交银施罗德成长混合型证券投资基金基金合同》；</w:t>
      </w:r>
      <w:r>
        <w:rPr>
          <w:rFonts w:eastAsiaTheme="minorEastAsia"/>
          <w:color w:val="000000"/>
          <w:sz w:val="24"/>
        </w:rPr>
        <w:t xml:space="preserve"> </w:t>
      </w:r>
    </w:p>
    <w:p w:rsidR="00C40917" w:rsidRDefault="0026493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、《交银施罗德成长混合型证券投资基金招募说明书》；</w:t>
      </w:r>
      <w:r>
        <w:rPr>
          <w:rFonts w:eastAsiaTheme="minorEastAsia"/>
          <w:color w:val="000000"/>
          <w:sz w:val="24"/>
        </w:rPr>
        <w:t xml:space="preserve"> </w:t>
      </w:r>
    </w:p>
    <w:p w:rsidR="00C40917" w:rsidRDefault="0026493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、《交银施罗德成长混合型证券投资基金托管协议》；</w:t>
      </w:r>
      <w:r>
        <w:rPr>
          <w:rFonts w:eastAsiaTheme="minorEastAsia"/>
          <w:color w:val="000000"/>
          <w:sz w:val="24"/>
        </w:rPr>
        <w:t xml:space="preserve"> </w:t>
      </w:r>
    </w:p>
    <w:p w:rsidR="00C40917" w:rsidRDefault="0026493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、关于募集交银施罗德成长股票证券投资基金之法律意见书；</w:t>
      </w:r>
      <w:r>
        <w:rPr>
          <w:rFonts w:eastAsiaTheme="minorEastAsia"/>
          <w:color w:val="000000"/>
          <w:sz w:val="24"/>
        </w:rPr>
        <w:t xml:space="preserve"> </w:t>
      </w:r>
    </w:p>
    <w:p w:rsidR="00C40917" w:rsidRDefault="0026493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C40917" w:rsidRDefault="0026493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、报告期内交银施罗德成长混合型证券投资基金在指定报刊上各项公告的原稿。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C40917" w:rsidRDefault="0026493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264930">
      <w:rPr>
        <w:noProof/>
        <w:kern w:val="0"/>
        <w:szCs w:val="21"/>
      </w:rPr>
      <w:t>8</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264930">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22" w:rsidRDefault="000A2E22">
      <w:r>
        <w:separator/>
      </w:r>
    </w:p>
  </w:footnote>
  <w:footnote w:type="continuationSeparator" w:id="0">
    <w:p w:rsidR="000A2E22" w:rsidRDefault="000A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930"/>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0917"/>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67C4D"/>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4D64B-EF32-409F-8EF5-9D95ADFC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244</TotalTime>
  <Pages>13</Pages>
  <Words>1144</Words>
  <Characters>6521</Characters>
  <Application>Microsoft Office Word</Application>
  <DocSecurity>0</DocSecurity>
  <Lines>54</Lines>
  <Paragraphs>15</Paragraphs>
  <ScaleCrop>false</ScaleCrop>
  <Company>TRT. Ltd. Co.</Company>
  <LinksUpToDate>false</LinksUpToDate>
  <CharactersWithSpaces>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沈向文</cp:lastModifiedBy>
  <cp:revision>404</cp:revision>
  <cp:lastPrinted>2007-07-19T00:46:00Z</cp:lastPrinted>
  <dcterms:created xsi:type="dcterms:W3CDTF">2014-01-17T06:19:00Z</dcterms:created>
  <dcterms:modified xsi:type="dcterms:W3CDTF">2019-10-14T06:12:00Z</dcterms:modified>
</cp:coreProperties>
</file>