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C6C50" w:rsidRDefault="0080711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84,840,076.24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在追求本金安全、有效控制风险的基础上，力争实现基金资产的持续稳定增值。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6C6C50" w:rsidRDefault="0080711C">
            <w:pPr>
              <w:adjustRightInd w:val="0"/>
              <w:spacing w:before="29" w:line="288" w:lineRule="auto"/>
              <w:ind w:left="17"/>
              <w:jc w:val="left"/>
              <w:rPr>
                <w:color w:val="000000"/>
                <w:sz w:val="24"/>
                <w:szCs w:val="24"/>
              </w:rPr>
            </w:pPr>
            <w:r>
              <w:rPr>
                <w:color w:val="000000"/>
                <w:kern w:val="0"/>
                <w:sz w:val="24"/>
                <w:szCs w:val="24"/>
              </w:rPr>
              <w:t>本基金在逐期追求投资本金安全的风险控制目标下追求基金收益的稳定递增。自转型完成之日起，本基金以</w:t>
            </w:r>
            <w:r>
              <w:rPr>
                <w:color w:val="000000"/>
                <w:kern w:val="0"/>
                <w:sz w:val="24"/>
                <w:szCs w:val="24"/>
              </w:rPr>
              <w:t xml:space="preserve">3 </w:t>
            </w:r>
            <w:r>
              <w:rPr>
                <w:color w:val="000000"/>
                <w:kern w:val="0"/>
                <w:sz w:val="24"/>
                <w:szCs w:val="24"/>
              </w:rPr>
              <w:t>年为一个运作周期逐期运作，每一运作周期期满后且后一运作周期起始日前，安排不少于</w:t>
            </w:r>
            <w:r>
              <w:rPr>
                <w:color w:val="000000"/>
                <w:kern w:val="0"/>
                <w:sz w:val="24"/>
                <w:szCs w:val="24"/>
              </w:rPr>
              <w:t xml:space="preserve">5 </w:t>
            </w:r>
            <w:proofErr w:type="gramStart"/>
            <w:r>
              <w:rPr>
                <w:color w:val="000000"/>
                <w:kern w:val="0"/>
                <w:sz w:val="24"/>
                <w:szCs w:val="24"/>
              </w:rPr>
              <w:t>个</w:t>
            </w:r>
            <w:proofErr w:type="gramEnd"/>
            <w:r>
              <w:rPr>
                <w:color w:val="000000"/>
                <w:kern w:val="0"/>
                <w:sz w:val="24"/>
                <w:szCs w:val="24"/>
              </w:rPr>
              <w:t>工作日的运作调整期，除对持续持有期少于</w:t>
            </w:r>
            <w:r>
              <w:rPr>
                <w:color w:val="000000"/>
                <w:kern w:val="0"/>
                <w:sz w:val="24"/>
                <w:szCs w:val="24"/>
              </w:rPr>
              <w:t>7</w:t>
            </w:r>
            <w:r>
              <w:rPr>
                <w:color w:val="000000"/>
                <w:kern w:val="0"/>
                <w:sz w:val="24"/>
                <w:szCs w:val="24"/>
              </w:rPr>
              <w:t>日的基金份额持有人收取不低于</w:t>
            </w:r>
            <w:r>
              <w:rPr>
                <w:color w:val="000000"/>
                <w:kern w:val="0"/>
                <w:sz w:val="24"/>
                <w:szCs w:val="24"/>
              </w:rPr>
              <w:t>1.5%</w:t>
            </w:r>
            <w:r>
              <w:rPr>
                <w:color w:val="000000"/>
                <w:kern w:val="0"/>
                <w:sz w:val="24"/>
                <w:szCs w:val="24"/>
              </w:rPr>
              <w:t>的赎回费以外，投资者在运作调整期内办理本基金的申购和赎回业务时不收取申购、赎回费用。</w:t>
            </w:r>
          </w:p>
          <w:p w:rsidR="006C6C50" w:rsidRDefault="0080711C">
            <w:pPr>
              <w:adjustRightInd w:val="0"/>
              <w:spacing w:before="29" w:line="288" w:lineRule="auto"/>
              <w:ind w:left="17"/>
              <w:jc w:val="left"/>
              <w:rPr>
                <w:color w:val="000000"/>
                <w:sz w:val="24"/>
                <w:szCs w:val="24"/>
              </w:rPr>
            </w:pPr>
            <w:r>
              <w:rPr>
                <w:color w:val="000000"/>
                <w:kern w:val="0"/>
                <w:sz w:val="24"/>
                <w:szCs w:val="24"/>
              </w:rPr>
              <w:t>本基金在每一运作周期的投资目标为力求期末基金份额净值加上</w:t>
            </w:r>
            <w:proofErr w:type="gramStart"/>
            <w:r>
              <w:rPr>
                <w:color w:val="000000"/>
                <w:kern w:val="0"/>
                <w:sz w:val="24"/>
                <w:szCs w:val="24"/>
              </w:rPr>
              <w:t>该运作</w:t>
            </w:r>
            <w:proofErr w:type="gramEnd"/>
            <w:r>
              <w:rPr>
                <w:color w:val="000000"/>
                <w:kern w:val="0"/>
                <w:sz w:val="24"/>
                <w:szCs w:val="24"/>
              </w:rPr>
              <w:t>周期累计分红金额不低于</w:t>
            </w:r>
            <w:proofErr w:type="gramStart"/>
            <w:r>
              <w:rPr>
                <w:color w:val="000000"/>
                <w:kern w:val="0"/>
                <w:sz w:val="24"/>
                <w:szCs w:val="24"/>
              </w:rPr>
              <w:t>该运作</w:t>
            </w:r>
            <w:proofErr w:type="gramEnd"/>
            <w:r>
              <w:rPr>
                <w:color w:val="000000"/>
                <w:kern w:val="0"/>
                <w:sz w:val="24"/>
                <w:szCs w:val="24"/>
              </w:rPr>
              <w:t>周</w:t>
            </w:r>
            <w:r>
              <w:rPr>
                <w:color w:val="000000"/>
                <w:kern w:val="0"/>
                <w:sz w:val="24"/>
                <w:szCs w:val="24"/>
              </w:rPr>
              <w:lastRenderedPageBreak/>
              <w:t>期第</w:t>
            </w:r>
            <w:r>
              <w:rPr>
                <w:color w:val="000000"/>
                <w:kern w:val="0"/>
                <w:sz w:val="24"/>
                <w:szCs w:val="24"/>
              </w:rPr>
              <w:t xml:space="preserve">1 </w:t>
            </w:r>
            <w:proofErr w:type="gramStart"/>
            <w:r>
              <w:rPr>
                <w:color w:val="000000"/>
                <w:kern w:val="0"/>
                <w:sz w:val="24"/>
                <w:szCs w:val="24"/>
              </w:rPr>
              <w:t>个</w:t>
            </w:r>
            <w:proofErr w:type="gramEnd"/>
            <w:r>
              <w:rPr>
                <w:color w:val="000000"/>
                <w:kern w:val="0"/>
                <w:sz w:val="24"/>
                <w:szCs w:val="24"/>
              </w:rPr>
              <w:t>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本基金不设置担保人或保本义务人，不承诺基金份额持有人在本基金运作周期期满时可以获得保本金额的保证。</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注：本基金于</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日由交银施罗德荣祥保本混合型证券投资基金转型为交银施罗德稳固收益债券型证券投资基金，新基金合同及托管协议即日起生效。</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0711C" w:rsidRPr="00414345" w:rsidTr="0080711C">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0711C" w:rsidRPr="00414345" w:rsidTr="0080711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1,056,812.22</w:t>
            </w:r>
          </w:p>
        </w:tc>
      </w:tr>
      <w:tr w:rsidR="0080711C" w:rsidRPr="00414345" w:rsidTr="0080711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1,007,724.86</w:t>
            </w:r>
          </w:p>
        </w:tc>
      </w:tr>
      <w:tr w:rsidR="0080711C" w:rsidRPr="00414345" w:rsidTr="0080711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0.0109</w:t>
            </w:r>
          </w:p>
        </w:tc>
      </w:tr>
      <w:tr w:rsidR="0080711C" w:rsidRPr="00414345" w:rsidTr="0080711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92,239,228.09</w:t>
            </w:r>
          </w:p>
        </w:tc>
      </w:tr>
      <w:tr w:rsidR="0080711C" w:rsidRPr="00414345" w:rsidTr="0080711C">
        <w:trPr>
          <w:trHeight w:val="158"/>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1.087</w:t>
            </w:r>
          </w:p>
        </w:tc>
      </w:tr>
    </w:tbl>
    <w:p w:rsidR="0080711C" w:rsidRDefault="0080711C" w:rsidP="0080711C">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80711C" w:rsidRPr="005E324A" w:rsidRDefault="0080711C" w:rsidP="0080711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80711C" w:rsidRPr="0080711C" w:rsidRDefault="0080711C" w:rsidP="0080711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C6C50">
        <w:trPr>
          <w:jc w:val="center"/>
        </w:trPr>
        <w:tc>
          <w:tcPr>
            <w:tcW w:w="1701" w:type="dxa"/>
            <w:vAlign w:val="center"/>
          </w:tcPr>
          <w:p w:rsidR="006C6C50" w:rsidRDefault="0080711C">
            <w:pPr>
              <w:jc w:val="left"/>
            </w:pPr>
            <w:r>
              <w:rPr>
                <w:color w:val="000000"/>
                <w:sz w:val="24"/>
                <w:szCs w:val="24"/>
              </w:rPr>
              <w:t>过去三个月</w:t>
            </w:r>
          </w:p>
        </w:tc>
        <w:tc>
          <w:tcPr>
            <w:tcW w:w="1045" w:type="dxa"/>
            <w:vAlign w:val="center"/>
          </w:tcPr>
          <w:p w:rsidR="006C6C50" w:rsidRDefault="0080711C">
            <w:pPr>
              <w:jc w:val="center"/>
            </w:pPr>
            <w:r>
              <w:rPr>
                <w:color w:val="000000"/>
                <w:sz w:val="24"/>
                <w:szCs w:val="24"/>
              </w:rPr>
              <w:t>1.02%</w:t>
            </w:r>
          </w:p>
        </w:tc>
        <w:tc>
          <w:tcPr>
            <w:tcW w:w="1344" w:type="dxa"/>
            <w:vAlign w:val="center"/>
          </w:tcPr>
          <w:p w:rsidR="006C6C50" w:rsidRDefault="0080711C">
            <w:pPr>
              <w:jc w:val="center"/>
            </w:pPr>
            <w:r>
              <w:rPr>
                <w:color w:val="000000"/>
                <w:sz w:val="24"/>
                <w:szCs w:val="24"/>
              </w:rPr>
              <w:t>0.13%</w:t>
            </w:r>
          </w:p>
        </w:tc>
        <w:tc>
          <w:tcPr>
            <w:tcW w:w="1194" w:type="dxa"/>
            <w:vAlign w:val="center"/>
          </w:tcPr>
          <w:p w:rsidR="006C6C50" w:rsidRDefault="0080711C">
            <w:pPr>
              <w:jc w:val="center"/>
            </w:pPr>
            <w:r>
              <w:rPr>
                <w:color w:val="000000"/>
                <w:sz w:val="24"/>
                <w:szCs w:val="24"/>
              </w:rPr>
              <w:t>0.70%</w:t>
            </w:r>
          </w:p>
        </w:tc>
        <w:tc>
          <w:tcPr>
            <w:tcW w:w="1492" w:type="dxa"/>
            <w:vAlign w:val="center"/>
          </w:tcPr>
          <w:p w:rsidR="006C6C50" w:rsidRDefault="0080711C">
            <w:pPr>
              <w:jc w:val="center"/>
            </w:pPr>
            <w:r>
              <w:rPr>
                <w:color w:val="000000"/>
                <w:sz w:val="24"/>
                <w:szCs w:val="24"/>
              </w:rPr>
              <w:t>0.01%</w:t>
            </w:r>
          </w:p>
        </w:tc>
        <w:tc>
          <w:tcPr>
            <w:tcW w:w="1194" w:type="dxa"/>
            <w:vAlign w:val="center"/>
          </w:tcPr>
          <w:p w:rsidR="006C6C50" w:rsidRDefault="0080711C">
            <w:pPr>
              <w:jc w:val="center"/>
            </w:pPr>
            <w:r>
              <w:rPr>
                <w:color w:val="000000"/>
                <w:sz w:val="24"/>
                <w:szCs w:val="24"/>
              </w:rPr>
              <w:t>0.32%</w:t>
            </w:r>
          </w:p>
        </w:tc>
        <w:tc>
          <w:tcPr>
            <w:tcW w:w="898" w:type="dxa"/>
            <w:vAlign w:val="center"/>
          </w:tcPr>
          <w:p w:rsidR="006C6C50" w:rsidRDefault="0080711C">
            <w:pPr>
              <w:jc w:val="center"/>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注：本基金由交银施罗德荣祥保本混合型证券投资基金转型而来。基金</w:t>
      </w:r>
      <w:proofErr w:type="gramStart"/>
      <w:r w:rsidRPr="00414345">
        <w:rPr>
          <w:color w:val="000000"/>
          <w:sz w:val="24"/>
          <w:szCs w:val="24"/>
        </w:rPr>
        <w:t>转型日</w:t>
      </w:r>
      <w:proofErr w:type="gramEnd"/>
      <w:r w:rsidRPr="00414345">
        <w:rPr>
          <w:color w:val="000000"/>
          <w:sz w:val="24"/>
          <w:szCs w:val="24"/>
        </w:rPr>
        <w:t>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日，基金转型日至报告期期末，本基金转型时间未满一年。本基金的投资转型期为交银施罗德荣祥保本混合型证券投资基金保本周期到期选择期截止日次日（即</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C6C50">
        <w:trPr>
          <w:jc w:val="center"/>
        </w:trPr>
        <w:tc>
          <w:tcPr>
            <w:tcW w:w="846" w:type="dxa"/>
            <w:vAlign w:val="center"/>
          </w:tcPr>
          <w:p w:rsidR="006C6C50" w:rsidRDefault="0080711C">
            <w:pPr>
              <w:jc w:val="center"/>
            </w:pPr>
            <w:r>
              <w:rPr>
                <w:color w:val="000000"/>
                <w:sz w:val="24"/>
                <w:szCs w:val="24"/>
              </w:rPr>
              <w:t>凌超</w:t>
            </w:r>
          </w:p>
        </w:tc>
        <w:tc>
          <w:tcPr>
            <w:tcW w:w="845" w:type="dxa"/>
            <w:vAlign w:val="center"/>
          </w:tcPr>
          <w:p w:rsidR="006C6C50" w:rsidRDefault="0080711C">
            <w:pPr>
              <w:jc w:val="center"/>
            </w:pPr>
            <w:r>
              <w:rPr>
                <w:color w:val="000000"/>
                <w:sz w:val="24"/>
                <w:szCs w:val="24"/>
              </w:rPr>
              <w:t>交银定期支付月月丰债券、交</w:t>
            </w:r>
            <w:proofErr w:type="gramStart"/>
            <w:r>
              <w:rPr>
                <w:color w:val="000000"/>
                <w:sz w:val="24"/>
                <w:szCs w:val="24"/>
              </w:rPr>
              <w:t>银增强</w:t>
            </w:r>
            <w:proofErr w:type="gramEnd"/>
            <w:r>
              <w:rPr>
                <w:color w:val="000000"/>
                <w:sz w:val="24"/>
                <w:szCs w:val="24"/>
              </w:rPr>
              <w:t>收益债券、交银强化回报债券、交银周期回报灵活配置混合、交银新回报灵活配置混合、交银多策略回报灵活配置混合、交银优选回报灵活配置混合、交</w:t>
            </w:r>
            <w:proofErr w:type="gramStart"/>
            <w:r>
              <w:rPr>
                <w:color w:val="000000"/>
                <w:sz w:val="24"/>
                <w:szCs w:val="24"/>
              </w:rPr>
              <w:lastRenderedPageBreak/>
              <w:t>银优择</w:t>
            </w:r>
            <w:proofErr w:type="gramEnd"/>
            <w:r>
              <w:rPr>
                <w:color w:val="000000"/>
                <w:sz w:val="24"/>
                <w:szCs w:val="24"/>
              </w:rPr>
              <w:t>回报灵活配置混合、交银瑞</w:t>
            </w:r>
            <w:proofErr w:type="gramStart"/>
            <w:r>
              <w:rPr>
                <w:color w:val="000000"/>
                <w:sz w:val="24"/>
                <w:szCs w:val="24"/>
              </w:rPr>
              <w:t>鑫</w:t>
            </w:r>
            <w:proofErr w:type="gramEnd"/>
            <w:r>
              <w:rPr>
                <w:color w:val="000000"/>
                <w:sz w:val="24"/>
                <w:szCs w:val="24"/>
              </w:rPr>
              <w:t>定期开放灵活配置混合、交银增利增强债券、</w:t>
            </w:r>
            <w:proofErr w:type="gramStart"/>
            <w:r>
              <w:rPr>
                <w:color w:val="000000"/>
                <w:sz w:val="24"/>
                <w:szCs w:val="24"/>
              </w:rPr>
              <w:t>交银恒益</w:t>
            </w:r>
            <w:proofErr w:type="gramEnd"/>
            <w:r>
              <w:rPr>
                <w:color w:val="000000"/>
                <w:sz w:val="24"/>
                <w:szCs w:val="24"/>
              </w:rPr>
              <w:t>灵活配置混合、交银裕</w:t>
            </w:r>
            <w:proofErr w:type="gramStart"/>
            <w:r>
              <w:rPr>
                <w:color w:val="000000"/>
                <w:sz w:val="24"/>
                <w:szCs w:val="24"/>
              </w:rPr>
              <w:t>祥纯债</w:t>
            </w:r>
            <w:proofErr w:type="gramEnd"/>
            <w:r>
              <w:rPr>
                <w:color w:val="000000"/>
                <w:sz w:val="24"/>
                <w:szCs w:val="24"/>
              </w:rPr>
              <w:t>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6C6C50" w:rsidRDefault="0080711C">
            <w:pPr>
              <w:jc w:val="center"/>
            </w:pPr>
            <w:r>
              <w:rPr>
                <w:color w:val="000000"/>
                <w:sz w:val="24"/>
                <w:szCs w:val="24"/>
              </w:rPr>
              <w:lastRenderedPageBreak/>
              <w:t>2019-02-28</w:t>
            </w:r>
          </w:p>
        </w:tc>
        <w:tc>
          <w:tcPr>
            <w:tcW w:w="1548" w:type="dxa"/>
            <w:vAlign w:val="center"/>
          </w:tcPr>
          <w:p w:rsidR="006C6C50" w:rsidRDefault="0080711C">
            <w:pPr>
              <w:jc w:val="center"/>
            </w:pPr>
            <w:r>
              <w:rPr>
                <w:color w:val="000000"/>
                <w:sz w:val="24"/>
                <w:szCs w:val="24"/>
              </w:rPr>
              <w:t>-</w:t>
            </w:r>
          </w:p>
        </w:tc>
        <w:tc>
          <w:tcPr>
            <w:tcW w:w="1407" w:type="dxa"/>
            <w:vAlign w:val="center"/>
          </w:tcPr>
          <w:p w:rsidR="006C6C50" w:rsidRDefault="0080711C">
            <w:pPr>
              <w:jc w:val="center"/>
            </w:pPr>
            <w:r>
              <w:rPr>
                <w:color w:val="000000"/>
                <w:sz w:val="24"/>
                <w:szCs w:val="24"/>
              </w:rPr>
              <w:t>13</w:t>
            </w:r>
            <w:r>
              <w:rPr>
                <w:color w:val="000000"/>
                <w:sz w:val="24"/>
                <w:szCs w:val="24"/>
              </w:rPr>
              <w:t>年</w:t>
            </w:r>
          </w:p>
        </w:tc>
        <w:tc>
          <w:tcPr>
            <w:tcW w:w="2673" w:type="dxa"/>
            <w:vAlign w:val="center"/>
          </w:tcPr>
          <w:p w:rsidR="006C6C50" w:rsidRDefault="0080711C">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w:t>
            </w:r>
            <w:proofErr w:type="gramStart"/>
            <w:r>
              <w:rPr>
                <w:color w:val="000000"/>
                <w:sz w:val="24"/>
                <w:szCs w:val="24"/>
              </w:rPr>
              <w:t>天弘基金</w:t>
            </w:r>
            <w:proofErr w:type="gramEnd"/>
            <w:r>
              <w:rPr>
                <w:color w:val="000000"/>
                <w:sz w:val="24"/>
                <w:szCs w:val="24"/>
              </w:rPr>
              <w:t>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w:t>
            </w:r>
            <w:proofErr w:type="gramStart"/>
            <w:r>
              <w:rPr>
                <w:color w:val="000000"/>
                <w:sz w:val="24"/>
                <w:szCs w:val="24"/>
              </w:rPr>
              <w:t>海富通纯债债券</w:t>
            </w:r>
            <w:proofErr w:type="gramEnd"/>
            <w:r>
              <w:rPr>
                <w:color w:val="000000"/>
                <w:sz w:val="24"/>
                <w:szCs w:val="24"/>
              </w:rPr>
              <w:t>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w:t>
            </w:r>
            <w:proofErr w:type="gramStart"/>
            <w:r>
              <w:rPr>
                <w:color w:val="000000"/>
                <w:sz w:val="24"/>
                <w:szCs w:val="24"/>
              </w:rPr>
              <w:t>弘</w:t>
            </w:r>
            <w:proofErr w:type="gramEnd"/>
            <w:r>
              <w:rPr>
                <w:color w:val="000000"/>
                <w:sz w:val="24"/>
                <w:szCs w:val="24"/>
              </w:rPr>
              <w:t>利债券型证券投资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w:t>
            </w:r>
            <w:proofErr w:type="gramStart"/>
            <w:r>
              <w:rPr>
                <w:color w:val="000000"/>
                <w:sz w:val="24"/>
                <w:szCs w:val="24"/>
              </w:rPr>
              <w:t>天弘裕利</w:t>
            </w:r>
            <w:proofErr w:type="gramEnd"/>
            <w:r>
              <w:rPr>
                <w:color w:val="000000"/>
                <w:sz w:val="24"/>
                <w:szCs w:val="24"/>
              </w:rPr>
              <w:t>灵活配置混合型证券投资</w:t>
            </w:r>
            <w:proofErr w:type="gramStart"/>
            <w:r>
              <w:rPr>
                <w:color w:val="000000"/>
                <w:sz w:val="24"/>
                <w:szCs w:val="24"/>
              </w:rPr>
              <w:lastRenderedPageBreak/>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w:t>
            </w:r>
            <w:proofErr w:type="gramStart"/>
            <w:r>
              <w:rPr>
                <w:color w:val="000000"/>
                <w:sz w:val="24"/>
                <w:szCs w:val="24"/>
              </w:rPr>
              <w:t>任天弘债券</w:t>
            </w:r>
            <w:proofErr w:type="gramEnd"/>
            <w:r>
              <w:rPr>
                <w:color w:val="000000"/>
                <w:sz w:val="24"/>
                <w:szCs w:val="24"/>
              </w:rPr>
              <w:t>型发起式证券投资</w:t>
            </w:r>
            <w:proofErr w:type="gramStart"/>
            <w:r>
              <w:rPr>
                <w:color w:val="000000"/>
                <w:sz w:val="24"/>
                <w:szCs w:val="24"/>
              </w:rPr>
              <w:t>基金基金</w:t>
            </w:r>
            <w:proofErr w:type="gramEnd"/>
            <w:r>
              <w:rPr>
                <w:color w:val="000000"/>
                <w:sz w:val="24"/>
                <w:szCs w:val="24"/>
              </w:rPr>
              <w:t>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C6C50" w:rsidRDefault="0080711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C6C50" w:rsidRDefault="0080711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C6C50" w:rsidRDefault="0080711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C6C50" w:rsidRDefault="0080711C">
      <w:pPr>
        <w:spacing w:before="29" w:line="288" w:lineRule="auto"/>
        <w:ind w:firstLineChars="200" w:firstLine="480"/>
        <w:rPr>
          <w:color w:val="000000"/>
          <w:sz w:val="24"/>
          <w:szCs w:val="24"/>
        </w:rPr>
      </w:pPr>
      <w:r>
        <w:rPr>
          <w:color w:val="000000"/>
          <w:sz w:val="24"/>
          <w:szCs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w:t>
      </w:r>
      <w:r>
        <w:rPr>
          <w:color w:val="000000"/>
          <w:sz w:val="24"/>
          <w:szCs w:val="24"/>
        </w:rPr>
        <w:t>7</w:t>
      </w:r>
      <w:r>
        <w:rPr>
          <w:color w:val="000000"/>
          <w:sz w:val="24"/>
          <w:szCs w:val="24"/>
        </w:rPr>
        <w:t>等事件催化下，债券市场收益率呈现快速下行，十年国债一度破</w:t>
      </w:r>
      <w:r>
        <w:rPr>
          <w:color w:val="000000"/>
          <w:sz w:val="24"/>
          <w:szCs w:val="24"/>
        </w:rPr>
        <w:t>3%</w:t>
      </w:r>
      <w:r>
        <w:rPr>
          <w:color w:val="000000"/>
          <w:sz w:val="24"/>
          <w:szCs w:val="24"/>
        </w:rPr>
        <w:t>。九月后，随着</w:t>
      </w:r>
      <w:proofErr w:type="gramStart"/>
      <w:r>
        <w:rPr>
          <w:color w:val="000000"/>
          <w:sz w:val="24"/>
          <w:szCs w:val="24"/>
        </w:rPr>
        <w:t>稳增长</w:t>
      </w:r>
      <w:proofErr w:type="gramEnd"/>
      <w:r>
        <w:rPr>
          <w:color w:val="000000"/>
          <w:sz w:val="24"/>
          <w:szCs w:val="24"/>
        </w:rPr>
        <w:t>预期升温、</w:t>
      </w:r>
      <w:proofErr w:type="gramStart"/>
      <w:r>
        <w:rPr>
          <w:color w:val="000000"/>
          <w:sz w:val="24"/>
          <w:szCs w:val="24"/>
        </w:rPr>
        <w:t>通胀担忧</w:t>
      </w:r>
      <w:proofErr w:type="gramEnd"/>
      <w:r>
        <w:rPr>
          <w:color w:val="000000"/>
          <w:sz w:val="24"/>
          <w:szCs w:val="24"/>
        </w:rPr>
        <w:t>加剧以及资金面紧平衡等因素出现，债券市场小幅调整。截至九月底，活跃十年国债收益率自七月初一路走低，八月中旬破</w:t>
      </w:r>
      <w:r>
        <w:rPr>
          <w:color w:val="000000"/>
          <w:sz w:val="24"/>
          <w:szCs w:val="24"/>
        </w:rPr>
        <w:t>3%</w:t>
      </w:r>
      <w:r>
        <w:rPr>
          <w:color w:val="000000"/>
          <w:sz w:val="24"/>
          <w:szCs w:val="24"/>
        </w:rPr>
        <w:t>，后再度小幅上行。</w:t>
      </w:r>
    </w:p>
    <w:p w:rsidR="006C6C50" w:rsidRDefault="0080711C">
      <w:pPr>
        <w:spacing w:before="29" w:line="288" w:lineRule="auto"/>
        <w:ind w:firstLineChars="200" w:firstLine="480"/>
        <w:rPr>
          <w:color w:val="000000"/>
          <w:sz w:val="24"/>
          <w:szCs w:val="24"/>
        </w:rPr>
      </w:pPr>
      <w:r>
        <w:rPr>
          <w:color w:val="000000"/>
          <w:sz w:val="24"/>
          <w:szCs w:val="24"/>
        </w:rPr>
        <w:t>权益市场三季度呈现明显分化，大盘指数三季度收跌，但创业</w:t>
      </w:r>
      <w:proofErr w:type="gramStart"/>
      <w:r>
        <w:rPr>
          <w:color w:val="000000"/>
          <w:sz w:val="24"/>
          <w:szCs w:val="24"/>
        </w:rPr>
        <w:t>板指数</w:t>
      </w:r>
      <w:proofErr w:type="gramEnd"/>
      <w:r>
        <w:rPr>
          <w:color w:val="000000"/>
          <w:sz w:val="24"/>
          <w:szCs w:val="24"/>
        </w:rPr>
        <w:t>季内上涨逾</w:t>
      </w:r>
      <w:r>
        <w:rPr>
          <w:color w:val="000000"/>
          <w:sz w:val="24"/>
          <w:szCs w:val="24"/>
        </w:rPr>
        <w:t>7%</w:t>
      </w:r>
      <w:r>
        <w:rPr>
          <w:color w:val="000000"/>
          <w:sz w:val="24"/>
          <w:szCs w:val="24"/>
        </w:rPr>
        <w:t>。从行业看，</w:t>
      </w:r>
      <w:r>
        <w:rPr>
          <w:color w:val="000000"/>
          <w:sz w:val="24"/>
          <w:szCs w:val="24"/>
        </w:rPr>
        <w:t>TMT</w:t>
      </w:r>
      <w:r>
        <w:rPr>
          <w:color w:val="000000"/>
          <w:sz w:val="24"/>
          <w:szCs w:val="24"/>
        </w:rPr>
        <w:t>、医药及白酒板块明显上行，强周期板块则在报告期内收跌。</w:t>
      </w:r>
    </w:p>
    <w:p w:rsidR="006C6C50" w:rsidRDefault="0080711C">
      <w:pPr>
        <w:spacing w:before="29" w:line="288" w:lineRule="auto"/>
        <w:ind w:firstLineChars="200" w:firstLine="480"/>
        <w:rPr>
          <w:color w:val="000000"/>
          <w:sz w:val="24"/>
          <w:szCs w:val="24"/>
        </w:rPr>
      </w:pPr>
      <w:r>
        <w:rPr>
          <w:color w:val="000000"/>
          <w:sz w:val="24"/>
          <w:szCs w:val="24"/>
        </w:rPr>
        <w:t>我们认为，三季度债市在前期调整下存在配置机会。因此在</w:t>
      </w:r>
      <w:proofErr w:type="gramStart"/>
      <w:r>
        <w:rPr>
          <w:color w:val="000000"/>
          <w:sz w:val="24"/>
          <w:szCs w:val="24"/>
        </w:rPr>
        <w:t>纯债操作</w:t>
      </w:r>
      <w:proofErr w:type="gramEnd"/>
      <w:r>
        <w:rPr>
          <w:color w:val="000000"/>
          <w:sz w:val="24"/>
          <w:szCs w:val="24"/>
        </w:rPr>
        <w:t>中，我们维持中</w:t>
      </w:r>
      <w:proofErr w:type="gramStart"/>
      <w:r>
        <w:rPr>
          <w:color w:val="000000"/>
          <w:sz w:val="24"/>
          <w:szCs w:val="24"/>
        </w:rPr>
        <w:t>短久期</w:t>
      </w:r>
      <w:proofErr w:type="gramEnd"/>
      <w:r>
        <w:rPr>
          <w:color w:val="000000"/>
          <w:sz w:val="24"/>
          <w:szCs w:val="24"/>
        </w:rPr>
        <w:t>利率底仓</w:t>
      </w:r>
      <w:proofErr w:type="gramStart"/>
      <w:r>
        <w:rPr>
          <w:color w:val="000000"/>
          <w:sz w:val="24"/>
          <w:szCs w:val="24"/>
        </w:rPr>
        <w:t>仓位</w:t>
      </w:r>
      <w:proofErr w:type="gramEnd"/>
      <w:r>
        <w:rPr>
          <w:color w:val="000000"/>
          <w:sz w:val="24"/>
          <w:szCs w:val="24"/>
        </w:rPr>
        <w:t>，并通过长</w:t>
      </w:r>
      <w:proofErr w:type="gramStart"/>
      <w:r>
        <w:rPr>
          <w:color w:val="000000"/>
          <w:sz w:val="24"/>
          <w:szCs w:val="24"/>
        </w:rPr>
        <w:t>端利率债</w:t>
      </w:r>
      <w:proofErr w:type="gramEnd"/>
      <w:r>
        <w:rPr>
          <w:color w:val="000000"/>
          <w:sz w:val="24"/>
          <w:szCs w:val="24"/>
        </w:rPr>
        <w:t>波段操作增厚基金债券部分收益。权益方面，八月中旬提高了权益</w:t>
      </w:r>
      <w:proofErr w:type="gramStart"/>
      <w:r>
        <w:rPr>
          <w:color w:val="000000"/>
          <w:sz w:val="24"/>
          <w:szCs w:val="24"/>
        </w:rPr>
        <w:t>仓位</w:t>
      </w:r>
      <w:proofErr w:type="gramEnd"/>
      <w:r>
        <w:rPr>
          <w:color w:val="000000"/>
          <w:sz w:val="24"/>
          <w:szCs w:val="24"/>
        </w:rPr>
        <w:t>，增加了转债</w:t>
      </w:r>
      <w:proofErr w:type="gramStart"/>
      <w:r>
        <w:rPr>
          <w:color w:val="000000"/>
          <w:sz w:val="24"/>
          <w:szCs w:val="24"/>
        </w:rPr>
        <w:t>仓位</w:t>
      </w:r>
      <w:proofErr w:type="gramEnd"/>
      <w:r>
        <w:rPr>
          <w:color w:val="000000"/>
          <w:sz w:val="24"/>
          <w:szCs w:val="24"/>
        </w:rPr>
        <w:t>，以增强基金的收益弹性。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年四季度，由于通胀的不确定性和专项债等经济托底措施的不断出台，对债券市场我们持有较为中性的看法。基金短期内仍将维持基金的中</w:t>
      </w:r>
      <w:proofErr w:type="gramStart"/>
      <w:r w:rsidRPr="00414345">
        <w:rPr>
          <w:color w:val="000000"/>
          <w:sz w:val="24"/>
          <w:szCs w:val="24"/>
        </w:rPr>
        <w:t>短久期</w:t>
      </w:r>
      <w:proofErr w:type="gramEnd"/>
      <w:r w:rsidRPr="00414345">
        <w:rPr>
          <w:color w:val="000000"/>
          <w:sz w:val="24"/>
          <w:szCs w:val="24"/>
        </w:rPr>
        <w:t>利率债底仓配置，等待市场调整带来的机会。权益方面，市场在三季度出现了趋势性上行机会后，在没有进一步利好推动的背景下，未来市场短期偏震荡的概率较大。我们短期会控制好</w:t>
      </w:r>
      <w:proofErr w:type="gramStart"/>
      <w:r w:rsidRPr="00414345">
        <w:rPr>
          <w:color w:val="000000"/>
          <w:sz w:val="24"/>
          <w:szCs w:val="24"/>
        </w:rPr>
        <w:t>仓位</w:t>
      </w:r>
      <w:proofErr w:type="gramEnd"/>
      <w:r w:rsidRPr="00414345">
        <w:rPr>
          <w:color w:val="000000"/>
          <w:sz w:val="24"/>
          <w:szCs w:val="24"/>
        </w:rPr>
        <w:t>，尽力保持基金的平稳性，等待更好时机再增加</w:t>
      </w:r>
      <w:proofErr w:type="gramStart"/>
      <w:r w:rsidRPr="00414345">
        <w:rPr>
          <w:color w:val="000000"/>
          <w:sz w:val="24"/>
          <w:szCs w:val="24"/>
        </w:rPr>
        <w:t>仓位</w:t>
      </w:r>
      <w:proofErr w:type="gramEnd"/>
      <w:r w:rsidRPr="00414345">
        <w:rPr>
          <w:color w:val="000000"/>
          <w:sz w:val="24"/>
          <w:szCs w:val="24"/>
        </w:rPr>
        <w:t>，以期增厚基金收益。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78,825,158.64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78,825,158.64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814,249.64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0.88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829,036.27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92,468,444.55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141F09" w:rsidRDefault="00141F09" w:rsidP="00141F09">
      <w:pPr>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rPr>
        <w:t>5.2.2报告期末按行业分类的港股通投资股票投资组合</w:t>
      </w:r>
    </w:p>
    <w:p w:rsidR="00141F09" w:rsidRDefault="00141F09" w:rsidP="00141F09">
      <w:pPr>
        <w:spacing w:before="29" w:line="360" w:lineRule="auto"/>
        <w:ind w:left="17"/>
        <w:rPr>
          <w:rFonts w:hint="eastAsia"/>
          <w:color w:val="000000"/>
          <w:sz w:val="24"/>
        </w:rPr>
      </w:pPr>
      <w:r>
        <w:rPr>
          <w:rFonts w:hint="eastAsia"/>
          <w:color w:val="000000"/>
          <w:sz w:val="24"/>
        </w:rPr>
        <w:t>本基金本报告期末未持有通过港股通投资的股票。</w:t>
      </w:r>
    </w:p>
    <w:p w:rsidR="00141F09" w:rsidRPr="00141F09" w:rsidRDefault="00141F09" w:rsidP="00C15CAC">
      <w:pPr>
        <w:autoSpaceDE w:val="0"/>
        <w:autoSpaceDN w:val="0"/>
        <w:adjustRightInd w:val="0"/>
        <w:spacing w:before="29" w:line="288" w:lineRule="auto"/>
        <w:jc w:val="left"/>
        <w:rPr>
          <w:rFonts w:hint="eastAsia"/>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48,282,642.18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48,282,642.18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30,542,516.46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33.11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78,825,158.64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85.46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C6C50">
        <w:trPr>
          <w:jc w:val="center"/>
        </w:trPr>
        <w:tc>
          <w:tcPr>
            <w:tcW w:w="850" w:type="dxa"/>
            <w:vAlign w:val="center"/>
          </w:tcPr>
          <w:p w:rsidR="006C6C50" w:rsidRDefault="0080711C">
            <w:pPr>
              <w:jc w:val="center"/>
            </w:pPr>
            <w:r>
              <w:rPr>
                <w:color w:val="000000"/>
                <w:sz w:val="24"/>
                <w:szCs w:val="24"/>
              </w:rPr>
              <w:t>1</w:t>
            </w:r>
          </w:p>
        </w:tc>
        <w:tc>
          <w:tcPr>
            <w:tcW w:w="1475" w:type="dxa"/>
            <w:vAlign w:val="center"/>
          </w:tcPr>
          <w:p w:rsidR="006C6C50" w:rsidRDefault="0080711C">
            <w:pPr>
              <w:jc w:val="center"/>
            </w:pPr>
            <w:r>
              <w:rPr>
                <w:color w:val="000000"/>
                <w:sz w:val="24"/>
                <w:szCs w:val="24"/>
              </w:rPr>
              <w:t>108602</w:t>
            </w:r>
          </w:p>
        </w:tc>
        <w:tc>
          <w:tcPr>
            <w:tcW w:w="1769" w:type="dxa"/>
            <w:vAlign w:val="center"/>
          </w:tcPr>
          <w:p w:rsidR="006C6C50" w:rsidRDefault="0080711C">
            <w:pPr>
              <w:jc w:val="center"/>
            </w:pPr>
            <w:r>
              <w:rPr>
                <w:color w:val="000000"/>
                <w:sz w:val="24"/>
                <w:szCs w:val="24"/>
              </w:rPr>
              <w:t>国开</w:t>
            </w:r>
            <w:r>
              <w:rPr>
                <w:color w:val="000000"/>
                <w:sz w:val="24"/>
                <w:szCs w:val="24"/>
              </w:rPr>
              <w:t>1704</w:t>
            </w:r>
          </w:p>
        </w:tc>
        <w:tc>
          <w:tcPr>
            <w:tcW w:w="1387" w:type="dxa"/>
            <w:vAlign w:val="center"/>
          </w:tcPr>
          <w:p w:rsidR="006C6C50" w:rsidRDefault="0080711C">
            <w:pPr>
              <w:jc w:val="right"/>
            </w:pPr>
            <w:r>
              <w:rPr>
                <w:color w:val="000000"/>
                <w:sz w:val="24"/>
                <w:szCs w:val="24"/>
              </w:rPr>
              <w:t>402,238</w:t>
            </w:r>
          </w:p>
        </w:tc>
        <w:tc>
          <w:tcPr>
            <w:tcW w:w="2150" w:type="dxa"/>
            <w:vAlign w:val="center"/>
          </w:tcPr>
          <w:p w:rsidR="006C6C50" w:rsidRDefault="0080711C">
            <w:pPr>
              <w:jc w:val="right"/>
            </w:pPr>
            <w:r>
              <w:rPr>
                <w:color w:val="000000"/>
                <w:sz w:val="24"/>
                <w:szCs w:val="24"/>
              </w:rPr>
              <w:t>40,509,388.98</w:t>
            </w:r>
          </w:p>
        </w:tc>
        <w:tc>
          <w:tcPr>
            <w:tcW w:w="1237" w:type="dxa"/>
            <w:vAlign w:val="center"/>
          </w:tcPr>
          <w:p w:rsidR="006C6C50" w:rsidRDefault="0080711C">
            <w:pPr>
              <w:jc w:val="right"/>
            </w:pPr>
            <w:r>
              <w:rPr>
                <w:color w:val="000000"/>
                <w:sz w:val="24"/>
                <w:szCs w:val="24"/>
              </w:rPr>
              <w:t>43.92</w:t>
            </w:r>
          </w:p>
        </w:tc>
      </w:tr>
      <w:tr w:rsidR="006C6C50">
        <w:trPr>
          <w:jc w:val="center"/>
        </w:trPr>
        <w:tc>
          <w:tcPr>
            <w:tcW w:w="850" w:type="dxa"/>
            <w:vAlign w:val="center"/>
          </w:tcPr>
          <w:p w:rsidR="006C6C50" w:rsidRDefault="0080711C">
            <w:pPr>
              <w:jc w:val="center"/>
            </w:pPr>
            <w:r>
              <w:rPr>
                <w:color w:val="000000"/>
                <w:sz w:val="24"/>
                <w:szCs w:val="24"/>
              </w:rPr>
              <w:t>2</w:t>
            </w:r>
          </w:p>
        </w:tc>
        <w:tc>
          <w:tcPr>
            <w:tcW w:w="1475" w:type="dxa"/>
            <w:vAlign w:val="center"/>
          </w:tcPr>
          <w:p w:rsidR="006C6C50" w:rsidRDefault="0080711C">
            <w:pPr>
              <w:jc w:val="center"/>
            </w:pPr>
            <w:r>
              <w:rPr>
                <w:color w:val="000000"/>
                <w:sz w:val="24"/>
                <w:szCs w:val="24"/>
              </w:rPr>
              <w:t>018007</w:t>
            </w:r>
          </w:p>
        </w:tc>
        <w:tc>
          <w:tcPr>
            <w:tcW w:w="1769" w:type="dxa"/>
            <w:vAlign w:val="center"/>
          </w:tcPr>
          <w:p w:rsidR="006C6C50" w:rsidRDefault="0080711C">
            <w:pPr>
              <w:jc w:val="center"/>
            </w:pPr>
            <w:r>
              <w:rPr>
                <w:color w:val="000000"/>
                <w:sz w:val="24"/>
                <w:szCs w:val="24"/>
              </w:rPr>
              <w:t>国开</w:t>
            </w:r>
            <w:r>
              <w:rPr>
                <w:color w:val="000000"/>
                <w:sz w:val="24"/>
                <w:szCs w:val="24"/>
              </w:rPr>
              <w:t>1801</w:t>
            </w:r>
          </w:p>
        </w:tc>
        <w:tc>
          <w:tcPr>
            <w:tcW w:w="1387" w:type="dxa"/>
            <w:vAlign w:val="center"/>
          </w:tcPr>
          <w:p w:rsidR="006C6C50" w:rsidRDefault="0080711C">
            <w:pPr>
              <w:jc w:val="right"/>
            </w:pPr>
            <w:r>
              <w:rPr>
                <w:color w:val="000000"/>
                <w:sz w:val="24"/>
                <w:szCs w:val="24"/>
              </w:rPr>
              <w:t>58,580</w:t>
            </w:r>
          </w:p>
        </w:tc>
        <w:tc>
          <w:tcPr>
            <w:tcW w:w="2150" w:type="dxa"/>
            <w:vAlign w:val="center"/>
          </w:tcPr>
          <w:p w:rsidR="006C6C50" w:rsidRDefault="0080711C">
            <w:pPr>
              <w:jc w:val="right"/>
            </w:pPr>
            <w:r>
              <w:rPr>
                <w:color w:val="000000"/>
                <w:sz w:val="24"/>
                <w:szCs w:val="24"/>
              </w:rPr>
              <w:t>5,928,296.00</w:t>
            </w:r>
          </w:p>
        </w:tc>
        <w:tc>
          <w:tcPr>
            <w:tcW w:w="1237" w:type="dxa"/>
            <w:vAlign w:val="center"/>
          </w:tcPr>
          <w:p w:rsidR="006C6C50" w:rsidRDefault="0080711C">
            <w:pPr>
              <w:jc w:val="right"/>
            </w:pPr>
            <w:r>
              <w:rPr>
                <w:color w:val="000000"/>
                <w:sz w:val="24"/>
                <w:szCs w:val="24"/>
              </w:rPr>
              <w:t>6.43</w:t>
            </w:r>
          </w:p>
        </w:tc>
      </w:tr>
      <w:tr w:rsidR="006C6C50">
        <w:trPr>
          <w:jc w:val="center"/>
        </w:trPr>
        <w:tc>
          <w:tcPr>
            <w:tcW w:w="850" w:type="dxa"/>
            <w:vAlign w:val="center"/>
          </w:tcPr>
          <w:p w:rsidR="006C6C50" w:rsidRDefault="0080711C">
            <w:pPr>
              <w:jc w:val="center"/>
            </w:pPr>
            <w:r>
              <w:rPr>
                <w:color w:val="000000"/>
                <w:sz w:val="24"/>
                <w:szCs w:val="24"/>
              </w:rPr>
              <w:t>3</w:t>
            </w:r>
          </w:p>
        </w:tc>
        <w:tc>
          <w:tcPr>
            <w:tcW w:w="1475" w:type="dxa"/>
            <w:vAlign w:val="center"/>
          </w:tcPr>
          <w:p w:rsidR="006C6C50" w:rsidRDefault="0080711C">
            <w:pPr>
              <w:jc w:val="center"/>
            </w:pPr>
            <w:r>
              <w:rPr>
                <w:color w:val="000000"/>
                <w:sz w:val="24"/>
                <w:szCs w:val="24"/>
              </w:rPr>
              <w:t>113011</w:t>
            </w:r>
          </w:p>
        </w:tc>
        <w:tc>
          <w:tcPr>
            <w:tcW w:w="1769" w:type="dxa"/>
            <w:vAlign w:val="center"/>
          </w:tcPr>
          <w:p w:rsidR="006C6C50" w:rsidRDefault="0080711C">
            <w:pPr>
              <w:jc w:val="center"/>
            </w:pPr>
            <w:r>
              <w:rPr>
                <w:color w:val="000000"/>
                <w:sz w:val="24"/>
                <w:szCs w:val="24"/>
              </w:rPr>
              <w:t>光大转债</w:t>
            </w:r>
          </w:p>
        </w:tc>
        <w:tc>
          <w:tcPr>
            <w:tcW w:w="1387" w:type="dxa"/>
            <w:vAlign w:val="center"/>
          </w:tcPr>
          <w:p w:rsidR="006C6C50" w:rsidRDefault="0080711C">
            <w:pPr>
              <w:jc w:val="right"/>
            </w:pPr>
            <w:r>
              <w:rPr>
                <w:color w:val="000000"/>
                <w:sz w:val="24"/>
                <w:szCs w:val="24"/>
              </w:rPr>
              <w:t>42,590</w:t>
            </w:r>
          </w:p>
        </w:tc>
        <w:tc>
          <w:tcPr>
            <w:tcW w:w="2150" w:type="dxa"/>
            <w:vAlign w:val="center"/>
          </w:tcPr>
          <w:p w:rsidR="006C6C50" w:rsidRDefault="0080711C">
            <w:pPr>
              <w:jc w:val="right"/>
            </w:pPr>
            <w:r>
              <w:rPr>
                <w:color w:val="000000"/>
                <w:sz w:val="24"/>
                <w:szCs w:val="24"/>
              </w:rPr>
              <w:t>4,834,816.80</w:t>
            </w:r>
          </w:p>
        </w:tc>
        <w:tc>
          <w:tcPr>
            <w:tcW w:w="1237" w:type="dxa"/>
            <w:vAlign w:val="center"/>
          </w:tcPr>
          <w:p w:rsidR="006C6C50" w:rsidRDefault="0080711C">
            <w:pPr>
              <w:jc w:val="right"/>
            </w:pPr>
            <w:r>
              <w:rPr>
                <w:color w:val="000000"/>
                <w:sz w:val="24"/>
                <w:szCs w:val="24"/>
              </w:rPr>
              <w:t>5.24</w:t>
            </w:r>
          </w:p>
        </w:tc>
      </w:tr>
      <w:tr w:rsidR="006C6C50">
        <w:trPr>
          <w:jc w:val="center"/>
        </w:trPr>
        <w:tc>
          <w:tcPr>
            <w:tcW w:w="850" w:type="dxa"/>
            <w:vAlign w:val="center"/>
          </w:tcPr>
          <w:p w:rsidR="006C6C50" w:rsidRDefault="0080711C">
            <w:pPr>
              <w:jc w:val="center"/>
            </w:pPr>
            <w:r>
              <w:rPr>
                <w:color w:val="000000"/>
                <w:sz w:val="24"/>
                <w:szCs w:val="24"/>
              </w:rPr>
              <w:t>4</w:t>
            </w:r>
          </w:p>
        </w:tc>
        <w:tc>
          <w:tcPr>
            <w:tcW w:w="1475" w:type="dxa"/>
            <w:vAlign w:val="center"/>
          </w:tcPr>
          <w:p w:rsidR="006C6C50" w:rsidRDefault="0080711C">
            <w:pPr>
              <w:jc w:val="center"/>
            </w:pPr>
            <w:r>
              <w:rPr>
                <w:color w:val="000000"/>
                <w:sz w:val="24"/>
                <w:szCs w:val="24"/>
              </w:rPr>
              <w:t>128035</w:t>
            </w:r>
          </w:p>
        </w:tc>
        <w:tc>
          <w:tcPr>
            <w:tcW w:w="1769" w:type="dxa"/>
            <w:vAlign w:val="center"/>
          </w:tcPr>
          <w:p w:rsidR="006C6C50" w:rsidRDefault="0080711C">
            <w:pPr>
              <w:jc w:val="center"/>
            </w:pPr>
            <w:r>
              <w:rPr>
                <w:color w:val="000000"/>
                <w:sz w:val="24"/>
                <w:szCs w:val="24"/>
              </w:rPr>
              <w:t>大族转债</w:t>
            </w:r>
          </w:p>
        </w:tc>
        <w:tc>
          <w:tcPr>
            <w:tcW w:w="1387" w:type="dxa"/>
            <w:vAlign w:val="center"/>
          </w:tcPr>
          <w:p w:rsidR="006C6C50" w:rsidRDefault="0080711C">
            <w:pPr>
              <w:jc w:val="right"/>
            </w:pPr>
            <w:r>
              <w:rPr>
                <w:color w:val="000000"/>
                <w:sz w:val="24"/>
                <w:szCs w:val="24"/>
              </w:rPr>
              <w:t>34,420</w:t>
            </w:r>
          </w:p>
        </w:tc>
        <w:tc>
          <w:tcPr>
            <w:tcW w:w="2150" w:type="dxa"/>
            <w:vAlign w:val="center"/>
          </w:tcPr>
          <w:p w:rsidR="006C6C50" w:rsidRDefault="0080711C">
            <w:pPr>
              <w:jc w:val="right"/>
            </w:pPr>
            <w:r>
              <w:rPr>
                <w:color w:val="000000"/>
                <w:sz w:val="24"/>
                <w:szCs w:val="24"/>
              </w:rPr>
              <w:t>3,675,711.80</w:t>
            </w:r>
          </w:p>
        </w:tc>
        <w:tc>
          <w:tcPr>
            <w:tcW w:w="1237" w:type="dxa"/>
            <w:vAlign w:val="center"/>
          </w:tcPr>
          <w:p w:rsidR="006C6C50" w:rsidRDefault="0080711C">
            <w:pPr>
              <w:jc w:val="right"/>
            </w:pPr>
            <w:r>
              <w:rPr>
                <w:color w:val="000000"/>
                <w:sz w:val="24"/>
                <w:szCs w:val="24"/>
              </w:rPr>
              <w:t>3.98</w:t>
            </w:r>
          </w:p>
        </w:tc>
      </w:tr>
      <w:tr w:rsidR="006C6C50">
        <w:trPr>
          <w:jc w:val="center"/>
        </w:trPr>
        <w:tc>
          <w:tcPr>
            <w:tcW w:w="850" w:type="dxa"/>
            <w:vAlign w:val="center"/>
          </w:tcPr>
          <w:p w:rsidR="006C6C50" w:rsidRDefault="0080711C">
            <w:pPr>
              <w:jc w:val="center"/>
            </w:pPr>
            <w:r>
              <w:rPr>
                <w:color w:val="000000"/>
                <w:sz w:val="24"/>
                <w:szCs w:val="24"/>
              </w:rPr>
              <w:t>5</w:t>
            </w:r>
          </w:p>
        </w:tc>
        <w:tc>
          <w:tcPr>
            <w:tcW w:w="1475" w:type="dxa"/>
            <w:vAlign w:val="center"/>
          </w:tcPr>
          <w:p w:rsidR="006C6C50" w:rsidRDefault="0080711C">
            <w:pPr>
              <w:jc w:val="center"/>
            </w:pPr>
            <w:r>
              <w:rPr>
                <w:color w:val="000000"/>
                <w:sz w:val="24"/>
                <w:szCs w:val="24"/>
              </w:rPr>
              <w:t>113021</w:t>
            </w:r>
          </w:p>
        </w:tc>
        <w:tc>
          <w:tcPr>
            <w:tcW w:w="1769" w:type="dxa"/>
            <w:vAlign w:val="center"/>
          </w:tcPr>
          <w:p w:rsidR="006C6C50" w:rsidRDefault="0080711C">
            <w:pPr>
              <w:jc w:val="center"/>
            </w:pPr>
            <w:r>
              <w:rPr>
                <w:color w:val="000000"/>
                <w:sz w:val="24"/>
                <w:szCs w:val="24"/>
              </w:rPr>
              <w:t>中信转债</w:t>
            </w:r>
          </w:p>
        </w:tc>
        <w:tc>
          <w:tcPr>
            <w:tcW w:w="1387" w:type="dxa"/>
            <w:vAlign w:val="center"/>
          </w:tcPr>
          <w:p w:rsidR="006C6C50" w:rsidRDefault="0080711C">
            <w:pPr>
              <w:jc w:val="right"/>
            </w:pPr>
            <w:r>
              <w:rPr>
                <w:color w:val="000000"/>
                <w:sz w:val="24"/>
                <w:szCs w:val="24"/>
              </w:rPr>
              <w:t>27,630</w:t>
            </w:r>
          </w:p>
        </w:tc>
        <w:tc>
          <w:tcPr>
            <w:tcW w:w="2150" w:type="dxa"/>
            <w:vAlign w:val="center"/>
          </w:tcPr>
          <w:p w:rsidR="006C6C50" w:rsidRDefault="0080711C">
            <w:pPr>
              <w:jc w:val="right"/>
            </w:pPr>
            <w:r>
              <w:rPr>
                <w:color w:val="000000"/>
                <w:sz w:val="24"/>
                <w:szCs w:val="24"/>
              </w:rPr>
              <w:t>2,932,648.20</w:t>
            </w:r>
          </w:p>
        </w:tc>
        <w:tc>
          <w:tcPr>
            <w:tcW w:w="1237" w:type="dxa"/>
            <w:vAlign w:val="center"/>
          </w:tcPr>
          <w:p w:rsidR="006C6C50" w:rsidRDefault="0080711C">
            <w:pPr>
              <w:jc w:val="right"/>
            </w:pPr>
            <w:r>
              <w:rPr>
                <w:color w:val="000000"/>
                <w:sz w:val="24"/>
                <w:szCs w:val="24"/>
              </w:rPr>
              <w:t>3.18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0F63CD" w:rsidRDefault="000F63CD" w:rsidP="000F63CD">
      <w:pPr>
        <w:widowControl/>
        <w:spacing w:line="288" w:lineRule="auto"/>
        <w:jc w:val="left"/>
        <w:rPr>
          <w:sz w:val="24"/>
          <w:szCs w:val="24"/>
        </w:rPr>
      </w:pPr>
      <w:r>
        <w:rPr>
          <w:rFonts w:hint="eastAsia"/>
          <w:sz w:val="24"/>
          <w:szCs w:val="24"/>
        </w:rPr>
        <w:t>本基金本报告期末未持有贵金属。</w:t>
      </w: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15,885.05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4,366.03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805,205.21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3,579.98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829,036.27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6C6C50">
        <w:trPr>
          <w:jc w:val="center"/>
        </w:trPr>
        <w:tc>
          <w:tcPr>
            <w:tcW w:w="1883" w:type="dxa"/>
            <w:vAlign w:val="center"/>
          </w:tcPr>
          <w:p w:rsidR="006C6C50" w:rsidRDefault="0080711C">
            <w:pPr>
              <w:jc w:val="center"/>
            </w:pPr>
            <w:r>
              <w:rPr>
                <w:color w:val="000000"/>
                <w:sz w:val="24"/>
                <w:szCs w:val="24"/>
              </w:rPr>
              <w:t>1</w:t>
            </w:r>
          </w:p>
        </w:tc>
        <w:tc>
          <w:tcPr>
            <w:tcW w:w="1801" w:type="dxa"/>
            <w:vAlign w:val="center"/>
          </w:tcPr>
          <w:p w:rsidR="006C6C50" w:rsidRDefault="0080711C">
            <w:pPr>
              <w:jc w:val="center"/>
            </w:pPr>
            <w:r>
              <w:rPr>
                <w:color w:val="000000"/>
                <w:sz w:val="24"/>
                <w:szCs w:val="24"/>
              </w:rPr>
              <w:t>113011</w:t>
            </w:r>
          </w:p>
        </w:tc>
        <w:tc>
          <w:tcPr>
            <w:tcW w:w="1727" w:type="dxa"/>
            <w:vAlign w:val="center"/>
          </w:tcPr>
          <w:p w:rsidR="006C6C50" w:rsidRDefault="0080711C">
            <w:pPr>
              <w:jc w:val="center"/>
            </w:pPr>
            <w:r>
              <w:rPr>
                <w:color w:val="000000"/>
                <w:sz w:val="24"/>
                <w:szCs w:val="24"/>
              </w:rPr>
              <w:t>光大转债</w:t>
            </w:r>
          </w:p>
        </w:tc>
        <w:tc>
          <w:tcPr>
            <w:tcW w:w="1768" w:type="dxa"/>
            <w:vAlign w:val="center"/>
          </w:tcPr>
          <w:p w:rsidR="006C6C50" w:rsidRDefault="0080711C">
            <w:pPr>
              <w:jc w:val="right"/>
            </w:pPr>
            <w:r>
              <w:rPr>
                <w:color w:val="000000"/>
                <w:sz w:val="24"/>
                <w:szCs w:val="24"/>
              </w:rPr>
              <w:t>4,834,816.80</w:t>
            </w:r>
          </w:p>
        </w:tc>
        <w:tc>
          <w:tcPr>
            <w:tcW w:w="1689" w:type="dxa"/>
            <w:vAlign w:val="center"/>
          </w:tcPr>
          <w:p w:rsidR="006C6C50" w:rsidRDefault="0080711C">
            <w:pPr>
              <w:jc w:val="right"/>
            </w:pPr>
            <w:r>
              <w:rPr>
                <w:color w:val="000000"/>
                <w:sz w:val="24"/>
                <w:szCs w:val="24"/>
              </w:rPr>
              <w:t>5.24</w:t>
            </w:r>
          </w:p>
        </w:tc>
      </w:tr>
      <w:tr w:rsidR="006C6C50">
        <w:trPr>
          <w:jc w:val="center"/>
        </w:trPr>
        <w:tc>
          <w:tcPr>
            <w:tcW w:w="1883" w:type="dxa"/>
            <w:vAlign w:val="center"/>
          </w:tcPr>
          <w:p w:rsidR="006C6C50" w:rsidRDefault="0080711C">
            <w:pPr>
              <w:jc w:val="center"/>
            </w:pPr>
            <w:r>
              <w:rPr>
                <w:color w:val="000000"/>
                <w:sz w:val="24"/>
                <w:szCs w:val="24"/>
              </w:rPr>
              <w:t>2</w:t>
            </w:r>
          </w:p>
        </w:tc>
        <w:tc>
          <w:tcPr>
            <w:tcW w:w="1801" w:type="dxa"/>
            <w:vAlign w:val="center"/>
          </w:tcPr>
          <w:p w:rsidR="006C6C50" w:rsidRDefault="0080711C">
            <w:pPr>
              <w:jc w:val="center"/>
            </w:pPr>
            <w:r>
              <w:rPr>
                <w:color w:val="000000"/>
                <w:sz w:val="24"/>
                <w:szCs w:val="24"/>
              </w:rPr>
              <w:t>128035</w:t>
            </w:r>
          </w:p>
        </w:tc>
        <w:tc>
          <w:tcPr>
            <w:tcW w:w="1727" w:type="dxa"/>
            <w:vAlign w:val="center"/>
          </w:tcPr>
          <w:p w:rsidR="006C6C50" w:rsidRDefault="0080711C">
            <w:pPr>
              <w:jc w:val="center"/>
            </w:pPr>
            <w:r>
              <w:rPr>
                <w:color w:val="000000"/>
                <w:sz w:val="24"/>
                <w:szCs w:val="24"/>
              </w:rPr>
              <w:t>大族转债</w:t>
            </w:r>
          </w:p>
        </w:tc>
        <w:tc>
          <w:tcPr>
            <w:tcW w:w="1768" w:type="dxa"/>
            <w:vAlign w:val="center"/>
          </w:tcPr>
          <w:p w:rsidR="006C6C50" w:rsidRDefault="0080711C">
            <w:pPr>
              <w:jc w:val="right"/>
            </w:pPr>
            <w:r>
              <w:rPr>
                <w:color w:val="000000"/>
                <w:sz w:val="24"/>
                <w:szCs w:val="24"/>
              </w:rPr>
              <w:t>3,675,711.80</w:t>
            </w:r>
          </w:p>
        </w:tc>
        <w:tc>
          <w:tcPr>
            <w:tcW w:w="1689" w:type="dxa"/>
            <w:vAlign w:val="center"/>
          </w:tcPr>
          <w:p w:rsidR="006C6C50" w:rsidRDefault="0080711C">
            <w:pPr>
              <w:jc w:val="right"/>
            </w:pPr>
            <w:r>
              <w:rPr>
                <w:color w:val="000000"/>
                <w:sz w:val="24"/>
                <w:szCs w:val="24"/>
              </w:rPr>
              <w:t>3.98</w:t>
            </w:r>
          </w:p>
        </w:tc>
      </w:tr>
      <w:tr w:rsidR="006C6C50">
        <w:trPr>
          <w:jc w:val="center"/>
        </w:trPr>
        <w:tc>
          <w:tcPr>
            <w:tcW w:w="1883" w:type="dxa"/>
            <w:vAlign w:val="center"/>
          </w:tcPr>
          <w:p w:rsidR="006C6C50" w:rsidRDefault="0080711C">
            <w:pPr>
              <w:jc w:val="center"/>
            </w:pPr>
            <w:r>
              <w:rPr>
                <w:color w:val="000000"/>
                <w:sz w:val="24"/>
                <w:szCs w:val="24"/>
              </w:rPr>
              <w:t>3</w:t>
            </w:r>
          </w:p>
        </w:tc>
        <w:tc>
          <w:tcPr>
            <w:tcW w:w="1801" w:type="dxa"/>
            <w:vAlign w:val="center"/>
          </w:tcPr>
          <w:p w:rsidR="006C6C50" w:rsidRDefault="0080711C">
            <w:pPr>
              <w:jc w:val="center"/>
            </w:pPr>
            <w:r>
              <w:rPr>
                <w:color w:val="000000"/>
                <w:sz w:val="24"/>
                <w:szCs w:val="24"/>
              </w:rPr>
              <w:t>113021</w:t>
            </w:r>
          </w:p>
        </w:tc>
        <w:tc>
          <w:tcPr>
            <w:tcW w:w="1727" w:type="dxa"/>
            <w:vAlign w:val="center"/>
          </w:tcPr>
          <w:p w:rsidR="006C6C50" w:rsidRDefault="0080711C">
            <w:pPr>
              <w:jc w:val="center"/>
            </w:pPr>
            <w:r>
              <w:rPr>
                <w:color w:val="000000"/>
                <w:sz w:val="24"/>
                <w:szCs w:val="24"/>
              </w:rPr>
              <w:t>中信转债</w:t>
            </w:r>
          </w:p>
        </w:tc>
        <w:tc>
          <w:tcPr>
            <w:tcW w:w="1768" w:type="dxa"/>
            <w:vAlign w:val="center"/>
          </w:tcPr>
          <w:p w:rsidR="006C6C50" w:rsidRDefault="0080711C">
            <w:pPr>
              <w:jc w:val="right"/>
            </w:pPr>
            <w:r>
              <w:rPr>
                <w:color w:val="000000"/>
                <w:sz w:val="24"/>
                <w:szCs w:val="24"/>
              </w:rPr>
              <w:t>2,932,648.20</w:t>
            </w:r>
          </w:p>
        </w:tc>
        <w:tc>
          <w:tcPr>
            <w:tcW w:w="1689" w:type="dxa"/>
            <w:vAlign w:val="center"/>
          </w:tcPr>
          <w:p w:rsidR="006C6C50" w:rsidRDefault="0080711C">
            <w:pPr>
              <w:jc w:val="right"/>
            </w:pPr>
            <w:r>
              <w:rPr>
                <w:color w:val="000000"/>
                <w:sz w:val="24"/>
                <w:szCs w:val="24"/>
              </w:rPr>
              <w:t>3.18</w:t>
            </w:r>
          </w:p>
        </w:tc>
      </w:tr>
      <w:tr w:rsidR="006C6C50">
        <w:trPr>
          <w:jc w:val="center"/>
        </w:trPr>
        <w:tc>
          <w:tcPr>
            <w:tcW w:w="1883" w:type="dxa"/>
            <w:vAlign w:val="center"/>
          </w:tcPr>
          <w:p w:rsidR="006C6C50" w:rsidRDefault="0080711C">
            <w:pPr>
              <w:jc w:val="center"/>
            </w:pPr>
            <w:r>
              <w:rPr>
                <w:color w:val="000000"/>
                <w:sz w:val="24"/>
                <w:szCs w:val="24"/>
              </w:rPr>
              <w:t>4</w:t>
            </w:r>
          </w:p>
        </w:tc>
        <w:tc>
          <w:tcPr>
            <w:tcW w:w="1801" w:type="dxa"/>
            <w:vAlign w:val="center"/>
          </w:tcPr>
          <w:p w:rsidR="006C6C50" w:rsidRDefault="0080711C">
            <w:pPr>
              <w:jc w:val="center"/>
            </w:pPr>
            <w:r>
              <w:rPr>
                <w:color w:val="000000"/>
                <w:sz w:val="24"/>
                <w:szCs w:val="24"/>
              </w:rPr>
              <w:t>127007</w:t>
            </w:r>
          </w:p>
        </w:tc>
        <w:tc>
          <w:tcPr>
            <w:tcW w:w="1727" w:type="dxa"/>
            <w:vAlign w:val="center"/>
          </w:tcPr>
          <w:p w:rsidR="006C6C50" w:rsidRDefault="0080711C">
            <w:pPr>
              <w:jc w:val="center"/>
            </w:pPr>
            <w:proofErr w:type="gramStart"/>
            <w:r>
              <w:rPr>
                <w:color w:val="000000"/>
                <w:sz w:val="24"/>
                <w:szCs w:val="24"/>
              </w:rPr>
              <w:t>湖广转</w:t>
            </w:r>
            <w:proofErr w:type="gramEnd"/>
            <w:r>
              <w:rPr>
                <w:color w:val="000000"/>
                <w:sz w:val="24"/>
                <w:szCs w:val="24"/>
              </w:rPr>
              <w:t>债</w:t>
            </w:r>
          </w:p>
        </w:tc>
        <w:tc>
          <w:tcPr>
            <w:tcW w:w="1768" w:type="dxa"/>
            <w:vAlign w:val="center"/>
          </w:tcPr>
          <w:p w:rsidR="006C6C50" w:rsidRDefault="0080711C">
            <w:pPr>
              <w:jc w:val="right"/>
            </w:pPr>
            <w:r>
              <w:rPr>
                <w:color w:val="000000"/>
                <w:sz w:val="24"/>
                <w:szCs w:val="24"/>
              </w:rPr>
              <w:t>2,203,907.20</w:t>
            </w:r>
          </w:p>
        </w:tc>
        <w:tc>
          <w:tcPr>
            <w:tcW w:w="1689" w:type="dxa"/>
            <w:vAlign w:val="center"/>
          </w:tcPr>
          <w:p w:rsidR="006C6C50" w:rsidRDefault="0080711C">
            <w:pPr>
              <w:jc w:val="right"/>
            </w:pPr>
            <w:r>
              <w:rPr>
                <w:color w:val="000000"/>
                <w:sz w:val="24"/>
                <w:szCs w:val="24"/>
              </w:rPr>
              <w:t>2.39</w:t>
            </w:r>
          </w:p>
        </w:tc>
      </w:tr>
      <w:tr w:rsidR="006C6C50">
        <w:trPr>
          <w:jc w:val="center"/>
        </w:trPr>
        <w:tc>
          <w:tcPr>
            <w:tcW w:w="1883" w:type="dxa"/>
            <w:vAlign w:val="center"/>
          </w:tcPr>
          <w:p w:rsidR="006C6C50" w:rsidRDefault="0080711C">
            <w:pPr>
              <w:jc w:val="center"/>
            </w:pPr>
            <w:r>
              <w:rPr>
                <w:color w:val="000000"/>
                <w:sz w:val="24"/>
                <w:szCs w:val="24"/>
              </w:rPr>
              <w:t>5</w:t>
            </w:r>
          </w:p>
        </w:tc>
        <w:tc>
          <w:tcPr>
            <w:tcW w:w="1801" w:type="dxa"/>
            <w:vAlign w:val="center"/>
          </w:tcPr>
          <w:p w:rsidR="006C6C50" w:rsidRDefault="0080711C">
            <w:pPr>
              <w:jc w:val="center"/>
            </w:pPr>
            <w:r>
              <w:rPr>
                <w:color w:val="000000"/>
                <w:sz w:val="24"/>
                <w:szCs w:val="24"/>
              </w:rPr>
              <w:t>113508</w:t>
            </w:r>
          </w:p>
        </w:tc>
        <w:tc>
          <w:tcPr>
            <w:tcW w:w="1727" w:type="dxa"/>
            <w:vAlign w:val="center"/>
          </w:tcPr>
          <w:p w:rsidR="006C6C50" w:rsidRDefault="0080711C">
            <w:pPr>
              <w:jc w:val="center"/>
            </w:pPr>
            <w:proofErr w:type="gramStart"/>
            <w:r>
              <w:rPr>
                <w:color w:val="000000"/>
                <w:sz w:val="24"/>
                <w:szCs w:val="24"/>
              </w:rPr>
              <w:t>新凤转债</w:t>
            </w:r>
            <w:proofErr w:type="gramEnd"/>
          </w:p>
        </w:tc>
        <w:tc>
          <w:tcPr>
            <w:tcW w:w="1768" w:type="dxa"/>
            <w:vAlign w:val="center"/>
          </w:tcPr>
          <w:p w:rsidR="006C6C50" w:rsidRDefault="0080711C">
            <w:pPr>
              <w:jc w:val="right"/>
            </w:pPr>
            <w:r>
              <w:rPr>
                <w:color w:val="000000"/>
                <w:sz w:val="24"/>
                <w:szCs w:val="24"/>
              </w:rPr>
              <w:t>2,005,000.40</w:t>
            </w:r>
          </w:p>
        </w:tc>
        <w:tc>
          <w:tcPr>
            <w:tcW w:w="1689" w:type="dxa"/>
            <w:vAlign w:val="center"/>
          </w:tcPr>
          <w:p w:rsidR="006C6C50" w:rsidRDefault="0080711C">
            <w:pPr>
              <w:jc w:val="right"/>
            </w:pPr>
            <w:r>
              <w:rPr>
                <w:color w:val="000000"/>
                <w:sz w:val="24"/>
                <w:szCs w:val="24"/>
              </w:rPr>
              <w:t>2.17</w:t>
            </w:r>
          </w:p>
        </w:tc>
      </w:tr>
      <w:tr w:rsidR="006C6C50">
        <w:trPr>
          <w:jc w:val="center"/>
        </w:trPr>
        <w:tc>
          <w:tcPr>
            <w:tcW w:w="1883" w:type="dxa"/>
            <w:vAlign w:val="center"/>
          </w:tcPr>
          <w:p w:rsidR="006C6C50" w:rsidRDefault="0080711C">
            <w:pPr>
              <w:jc w:val="center"/>
            </w:pPr>
            <w:r>
              <w:rPr>
                <w:color w:val="000000"/>
                <w:sz w:val="24"/>
                <w:szCs w:val="24"/>
              </w:rPr>
              <w:t>6</w:t>
            </w:r>
          </w:p>
        </w:tc>
        <w:tc>
          <w:tcPr>
            <w:tcW w:w="1801" w:type="dxa"/>
            <w:vAlign w:val="center"/>
          </w:tcPr>
          <w:p w:rsidR="006C6C50" w:rsidRDefault="0080711C">
            <w:pPr>
              <w:jc w:val="center"/>
            </w:pPr>
            <w:r>
              <w:rPr>
                <w:color w:val="000000"/>
                <w:sz w:val="24"/>
                <w:szCs w:val="24"/>
              </w:rPr>
              <w:t>110053</w:t>
            </w:r>
          </w:p>
        </w:tc>
        <w:tc>
          <w:tcPr>
            <w:tcW w:w="1727" w:type="dxa"/>
            <w:vAlign w:val="center"/>
          </w:tcPr>
          <w:p w:rsidR="006C6C50" w:rsidRDefault="0080711C">
            <w:pPr>
              <w:jc w:val="center"/>
            </w:pPr>
            <w:proofErr w:type="gramStart"/>
            <w:r>
              <w:rPr>
                <w:color w:val="000000"/>
                <w:sz w:val="24"/>
                <w:szCs w:val="24"/>
              </w:rPr>
              <w:t>苏银转债</w:t>
            </w:r>
            <w:proofErr w:type="gramEnd"/>
          </w:p>
        </w:tc>
        <w:tc>
          <w:tcPr>
            <w:tcW w:w="1768" w:type="dxa"/>
            <w:vAlign w:val="center"/>
          </w:tcPr>
          <w:p w:rsidR="006C6C50" w:rsidRDefault="0080711C">
            <w:pPr>
              <w:jc w:val="right"/>
            </w:pPr>
            <w:r>
              <w:rPr>
                <w:color w:val="000000"/>
                <w:sz w:val="24"/>
                <w:szCs w:val="24"/>
              </w:rPr>
              <w:t>1,944,329.20</w:t>
            </w:r>
          </w:p>
        </w:tc>
        <w:tc>
          <w:tcPr>
            <w:tcW w:w="1689" w:type="dxa"/>
            <w:vAlign w:val="center"/>
          </w:tcPr>
          <w:p w:rsidR="006C6C50" w:rsidRDefault="0080711C">
            <w:pPr>
              <w:jc w:val="right"/>
            </w:pPr>
            <w:r>
              <w:rPr>
                <w:color w:val="000000"/>
                <w:sz w:val="24"/>
                <w:szCs w:val="24"/>
              </w:rPr>
              <w:t>2.11</w:t>
            </w:r>
          </w:p>
        </w:tc>
      </w:tr>
      <w:tr w:rsidR="006C6C50">
        <w:trPr>
          <w:jc w:val="center"/>
        </w:trPr>
        <w:tc>
          <w:tcPr>
            <w:tcW w:w="1883" w:type="dxa"/>
            <w:vAlign w:val="center"/>
          </w:tcPr>
          <w:p w:rsidR="006C6C50" w:rsidRDefault="0080711C">
            <w:pPr>
              <w:jc w:val="center"/>
            </w:pPr>
            <w:r>
              <w:rPr>
                <w:color w:val="000000"/>
                <w:sz w:val="24"/>
                <w:szCs w:val="24"/>
              </w:rPr>
              <w:t>7</w:t>
            </w:r>
          </w:p>
        </w:tc>
        <w:tc>
          <w:tcPr>
            <w:tcW w:w="1801" w:type="dxa"/>
            <w:vAlign w:val="center"/>
          </w:tcPr>
          <w:p w:rsidR="006C6C50" w:rsidRDefault="0080711C">
            <w:pPr>
              <w:jc w:val="center"/>
            </w:pPr>
            <w:r>
              <w:rPr>
                <w:color w:val="000000"/>
                <w:sz w:val="24"/>
                <w:szCs w:val="24"/>
              </w:rPr>
              <w:t>113013</w:t>
            </w:r>
          </w:p>
        </w:tc>
        <w:tc>
          <w:tcPr>
            <w:tcW w:w="1727" w:type="dxa"/>
            <w:vAlign w:val="center"/>
          </w:tcPr>
          <w:p w:rsidR="006C6C50" w:rsidRDefault="0080711C">
            <w:pPr>
              <w:jc w:val="center"/>
            </w:pPr>
            <w:r>
              <w:rPr>
                <w:color w:val="000000"/>
                <w:sz w:val="24"/>
                <w:szCs w:val="24"/>
              </w:rPr>
              <w:t>国君转债</w:t>
            </w:r>
          </w:p>
        </w:tc>
        <w:tc>
          <w:tcPr>
            <w:tcW w:w="1768" w:type="dxa"/>
            <w:vAlign w:val="center"/>
          </w:tcPr>
          <w:p w:rsidR="006C6C50" w:rsidRDefault="0080711C">
            <w:pPr>
              <w:jc w:val="right"/>
            </w:pPr>
            <w:r>
              <w:rPr>
                <w:color w:val="000000"/>
                <w:sz w:val="24"/>
                <w:szCs w:val="24"/>
              </w:rPr>
              <w:t>1,851,012.00</w:t>
            </w:r>
          </w:p>
        </w:tc>
        <w:tc>
          <w:tcPr>
            <w:tcW w:w="1689" w:type="dxa"/>
            <w:vAlign w:val="center"/>
          </w:tcPr>
          <w:p w:rsidR="006C6C50" w:rsidRDefault="0080711C">
            <w:pPr>
              <w:jc w:val="right"/>
            </w:pPr>
            <w:r>
              <w:rPr>
                <w:color w:val="000000"/>
                <w:sz w:val="24"/>
                <w:szCs w:val="24"/>
              </w:rPr>
              <w:t>2.01</w:t>
            </w:r>
          </w:p>
        </w:tc>
      </w:tr>
      <w:tr w:rsidR="006C6C50">
        <w:trPr>
          <w:jc w:val="center"/>
        </w:trPr>
        <w:tc>
          <w:tcPr>
            <w:tcW w:w="1883" w:type="dxa"/>
            <w:vAlign w:val="center"/>
          </w:tcPr>
          <w:p w:rsidR="006C6C50" w:rsidRDefault="0080711C">
            <w:pPr>
              <w:jc w:val="center"/>
            </w:pPr>
            <w:r>
              <w:rPr>
                <w:color w:val="000000"/>
                <w:sz w:val="24"/>
                <w:szCs w:val="24"/>
              </w:rPr>
              <w:t>8</w:t>
            </w:r>
          </w:p>
        </w:tc>
        <w:tc>
          <w:tcPr>
            <w:tcW w:w="1801" w:type="dxa"/>
            <w:vAlign w:val="center"/>
          </w:tcPr>
          <w:p w:rsidR="006C6C50" w:rsidRDefault="0080711C">
            <w:pPr>
              <w:jc w:val="center"/>
            </w:pPr>
            <w:r>
              <w:rPr>
                <w:color w:val="000000"/>
                <w:sz w:val="24"/>
                <w:szCs w:val="24"/>
              </w:rPr>
              <w:t>128021</w:t>
            </w:r>
          </w:p>
        </w:tc>
        <w:tc>
          <w:tcPr>
            <w:tcW w:w="1727" w:type="dxa"/>
            <w:vAlign w:val="center"/>
          </w:tcPr>
          <w:p w:rsidR="006C6C50" w:rsidRDefault="0080711C">
            <w:pPr>
              <w:jc w:val="center"/>
            </w:pPr>
            <w:r>
              <w:rPr>
                <w:color w:val="000000"/>
                <w:sz w:val="24"/>
                <w:szCs w:val="24"/>
              </w:rPr>
              <w:t>兄弟转债</w:t>
            </w:r>
          </w:p>
        </w:tc>
        <w:tc>
          <w:tcPr>
            <w:tcW w:w="1768" w:type="dxa"/>
            <w:vAlign w:val="center"/>
          </w:tcPr>
          <w:p w:rsidR="006C6C50" w:rsidRDefault="0080711C">
            <w:pPr>
              <w:jc w:val="right"/>
            </w:pPr>
            <w:r>
              <w:rPr>
                <w:color w:val="000000"/>
                <w:sz w:val="24"/>
                <w:szCs w:val="24"/>
              </w:rPr>
              <w:t>1,698,526.50</w:t>
            </w:r>
          </w:p>
        </w:tc>
        <w:tc>
          <w:tcPr>
            <w:tcW w:w="1689" w:type="dxa"/>
            <w:vAlign w:val="center"/>
          </w:tcPr>
          <w:p w:rsidR="006C6C50" w:rsidRDefault="0080711C">
            <w:pPr>
              <w:jc w:val="right"/>
            </w:pPr>
            <w:r>
              <w:rPr>
                <w:color w:val="000000"/>
                <w:sz w:val="24"/>
                <w:szCs w:val="24"/>
              </w:rPr>
              <w:t>1.84</w:t>
            </w:r>
          </w:p>
        </w:tc>
      </w:tr>
      <w:tr w:rsidR="006C6C50">
        <w:trPr>
          <w:jc w:val="center"/>
        </w:trPr>
        <w:tc>
          <w:tcPr>
            <w:tcW w:w="1883" w:type="dxa"/>
            <w:vAlign w:val="center"/>
          </w:tcPr>
          <w:p w:rsidR="006C6C50" w:rsidRDefault="0080711C">
            <w:pPr>
              <w:jc w:val="center"/>
            </w:pPr>
            <w:r>
              <w:rPr>
                <w:color w:val="000000"/>
                <w:sz w:val="24"/>
                <w:szCs w:val="24"/>
              </w:rPr>
              <w:t>9</w:t>
            </w:r>
          </w:p>
        </w:tc>
        <w:tc>
          <w:tcPr>
            <w:tcW w:w="1801" w:type="dxa"/>
            <w:vAlign w:val="center"/>
          </w:tcPr>
          <w:p w:rsidR="006C6C50" w:rsidRDefault="0080711C">
            <w:pPr>
              <w:jc w:val="center"/>
            </w:pPr>
            <w:r>
              <w:rPr>
                <w:color w:val="000000"/>
                <w:sz w:val="24"/>
                <w:szCs w:val="24"/>
              </w:rPr>
              <w:t>113020</w:t>
            </w:r>
          </w:p>
        </w:tc>
        <w:tc>
          <w:tcPr>
            <w:tcW w:w="1727" w:type="dxa"/>
            <w:vAlign w:val="center"/>
          </w:tcPr>
          <w:p w:rsidR="006C6C50" w:rsidRDefault="0080711C">
            <w:pPr>
              <w:jc w:val="center"/>
            </w:pPr>
            <w:proofErr w:type="gramStart"/>
            <w:r>
              <w:rPr>
                <w:color w:val="000000"/>
                <w:sz w:val="24"/>
                <w:szCs w:val="24"/>
              </w:rPr>
              <w:t>桐昆转</w:t>
            </w:r>
            <w:proofErr w:type="gramEnd"/>
            <w:r>
              <w:rPr>
                <w:color w:val="000000"/>
                <w:sz w:val="24"/>
                <w:szCs w:val="24"/>
              </w:rPr>
              <w:t>债</w:t>
            </w:r>
          </w:p>
        </w:tc>
        <w:tc>
          <w:tcPr>
            <w:tcW w:w="1768" w:type="dxa"/>
            <w:vAlign w:val="center"/>
          </w:tcPr>
          <w:p w:rsidR="006C6C50" w:rsidRDefault="0080711C">
            <w:pPr>
              <w:jc w:val="right"/>
            </w:pPr>
            <w:r>
              <w:rPr>
                <w:color w:val="000000"/>
                <w:sz w:val="24"/>
                <w:szCs w:val="24"/>
              </w:rPr>
              <w:t>1,436,040.60</w:t>
            </w:r>
          </w:p>
        </w:tc>
        <w:tc>
          <w:tcPr>
            <w:tcW w:w="1689" w:type="dxa"/>
            <w:vAlign w:val="center"/>
          </w:tcPr>
          <w:p w:rsidR="006C6C50" w:rsidRDefault="0080711C">
            <w:pPr>
              <w:jc w:val="right"/>
            </w:pPr>
            <w:r>
              <w:rPr>
                <w:color w:val="000000"/>
                <w:sz w:val="24"/>
                <w:szCs w:val="24"/>
              </w:rPr>
              <w:t>1.56</w:t>
            </w:r>
          </w:p>
        </w:tc>
      </w:tr>
      <w:tr w:rsidR="006C6C50">
        <w:trPr>
          <w:jc w:val="center"/>
        </w:trPr>
        <w:tc>
          <w:tcPr>
            <w:tcW w:w="1883" w:type="dxa"/>
            <w:vAlign w:val="center"/>
          </w:tcPr>
          <w:p w:rsidR="006C6C50" w:rsidRDefault="0080711C">
            <w:pPr>
              <w:jc w:val="center"/>
            </w:pPr>
            <w:r>
              <w:rPr>
                <w:color w:val="000000"/>
                <w:sz w:val="24"/>
                <w:szCs w:val="24"/>
              </w:rPr>
              <w:t>10</w:t>
            </w:r>
          </w:p>
        </w:tc>
        <w:tc>
          <w:tcPr>
            <w:tcW w:w="1801" w:type="dxa"/>
            <w:vAlign w:val="center"/>
          </w:tcPr>
          <w:p w:rsidR="006C6C50" w:rsidRDefault="0080711C">
            <w:pPr>
              <w:jc w:val="center"/>
            </w:pPr>
            <w:r>
              <w:rPr>
                <w:color w:val="000000"/>
                <w:sz w:val="24"/>
                <w:szCs w:val="24"/>
              </w:rPr>
              <w:t>113518</w:t>
            </w:r>
          </w:p>
        </w:tc>
        <w:tc>
          <w:tcPr>
            <w:tcW w:w="1727" w:type="dxa"/>
            <w:vAlign w:val="center"/>
          </w:tcPr>
          <w:p w:rsidR="006C6C50" w:rsidRDefault="0080711C">
            <w:pPr>
              <w:jc w:val="center"/>
            </w:pPr>
            <w:proofErr w:type="gramStart"/>
            <w:r>
              <w:rPr>
                <w:color w:val="000000"/>
                <w:sz w:val="24"/>
                <w:szCs w:val="24"/>
              </w:rPr>
              <w:t>顾家转</w:t>
            </w:r>
            <w:proofErr w:type="gramEnd"/>
            <w:r>
              <w:rPr>
                <w:color w:val="000000"/>
                <w:sz w:val="24"/>
                <w:szCs w:val="24"/>
              </w:rPr>
              <w:t>债</w:t>
            </w:r>
          </w:p>
        </w:tc>
        <w:tc>
          <w:tcPr>
            <w:tcW w:w="1768" w:type="dxa"/>
            <w:vAlign w:val="center"/>
          </w:tcPr>
          <w:p w:rsidR="006C6C50" w:rsidRDefault="0080711C">
            <w:pPr>
              <w:jc w:val="right"/>
            </w:pPr>
            <w:r>
              <w:rPr>
                <w:color w:val="000000"/>
                <w:sz w:val="24"/>
                <w:szCs w:val="24"/>
              </w:rPr>
              <w:t>1,409,385.20</w:t>
            </w:r>
          </w:p>
        </w:tc>
        <w:tc>
          <w:tcPr>
            <w:tcW w:w="1689" w:type="dxa"/>
            <w:vAlign w:val="center"/>
          </w:tcPr>
          <w:p w:rsidR="006C6C50" w:rsidRDefault="0080711C">
            <w:pPr>
              <w:jc w:val="right"/>
            </w:pPr>
            <w:r>
              <w:rPr>
                <w:color w:val="000000"/>
                <w:sz w:val="24"/>
                <w:szCs w:val="24"/>
              </w:rPr>
              <w:t>1.53</w:t>
            </w:r>
          </w:p>
        </w:tc>
      </w:tr>
      <w:tr w:rsidR="006C6C50">
        <w:trPr>
          <w:jc w:val="center"/>
        </w:trPr>
        <w:tc>
          <w:tcPr>
            <w:tcW w:w="1883" w:type="dxa"/>
            <w:vAlign w:val="center"/>
          </w:tcPr>
          <w:p w:rsidR="006C6C50" w:rsidRDefault="0080711C">
            <w:pPr>
              <w:jc w:val="center"/>
            </w:pPr>
            <w:r>
              <w:rPr>
                <w:color w:val="000000"/>
                <w:sz w:val="24"/>
                <w:szCs w:val="24"/>
              </w:rPr>
              <w:t>11</w:t>
            </w:r>
          </w:p>
        </w:tc>
        <w:tc>
          <w:tcPr>
            <w:tcW w:w="1801" w:type="dxa"/>
            <w:vAlign w:val="center"/>
          </w:tcPr>
          <w:p w:rsidR="006C6C50" w:rsidRDefault="0080711C">
            <w:pPr>
              <w:jc w:val="center"/>
            </w:pPr>
            <w:r>
              <w:rPr>
                <w:color w:val="000000"/>
                <w:sz w:val="24"/>
                <w:szCs w:val="24"/>
              </w:rPr>
              <w:t>127011</w:t>
            </w:r>
          </w:p>
        </w:tc>
        <w:tc>
          <w:tcPr>
            <w:tcW w:w="1727" w:type="dxa"/>
            <w:vAlign w:val="center"/>
          </w:tcPr>
          <w:p w:rsidR="006C6C50" w:rsidRDefault="0080711C">
            <w:pPr>
              <w:jc w:val="center"/>
            </w:pPr>
            <w:proofErr w:type="gramStart"/>
            <w:r>
              <w:rPr>
                <w:color w:val="000000"/>
                <w:sz w:val="24"/>
                <w:szCs w:val="24"/>
              </w:rPr>
              <w:t>中鼎转</w:t>
            </w:r>
            <w:proofErr w:type="gramEnd"/>
            <w:r>
              <w:rPr>
                <w:color w:val="000000"/>
                <w:sz w:val="24"/>
                <w:szCs w:val="24"/>
              </w:rPr>
              <w:t>2</w:t>
            </w:r>
          </w:p>
        </w:tc>
        <w:tc>
          <w:tcPr>
            <w:tcW w:w="1768" w:type="dxa"/>
            <w:vAlign w:val="center"/>
          </w:tcPr>
          <w:p w:rsidR="006C6C50" w:rsidRDefault="0080711C">
            <w:pPr>
              <w:jc w:val="right"/>
            </w:pPr>
            <w:r>
              <w:rPr>
                <w:color w:val="000000"/>
                <w:sz w:val="24"/>
                <w:szCs w:val="24"/>
              </w:rPr>
              <w:t>1,241,983.80</w:t>
            </w:r>
          </w:p>
        </w:tc>
        <w:tc>
          <w:tcPr>
            <w:tcW w:w="1689" w:type="dxa"/>
            <w:vAlign w:val="center"/>
          </w:tcPr>
          <w:p w:rsidR="006C6C50" w:rsidRDefault="0080711C">
            <w:pPr>
              <w:jc w:val="right"/>
            </w:pPr>
            <w:r>
              <w:rPr>
                <w:color w:val="000000"/>
                <w:sz w:val="24"/>
                <w:szCs w:val="24"/>
              </w:rPr>
              <w:t>1.35</w:t>
            </w:r>
          </w:p>
        </w:tc>
      </w:tr>
      <w:tr w:rsidR="006C6C50">
        <w:trPr>
          <w:jc w:val="center"/>
        </w:trPr>
        <w:tc>
          <w:tcPr>
            <w:tcW w:w="1883" w:type="dxa"/>
            <w:vAlign w:val="center"/>
          </w:tcPr>
          <w:p w:rsidR="006C6C50" w:rsidRDefault="0080711C">
            <w:pPr>
              <w:jc w:val="center"/>
            </w:pPr>
            <w:r>
              <w:rPr>
                <w:color w:val="000000"/>
                <w:sz w:val="24"/>
                <w:szCs w:val="24"/>
              </w:rPr>
              <w:t>12</w:t>
            </w:r>
          </w:p>
        </w:tc>
        <w:tc>
          <w:tcPr>
            <w:tcW w:w="1801" w:type="dxa"/>
            <w:vAlign w:val="center"/>
          </w:tcPr>
          <w:p w:rsidR="006C6C50" w:rsidRDefault="0080711C">
            <w:pPr>
              <w:jc w:val="center"/>
            </w:pPr>
            <w:r>
              <w:rPr>
                <w:color w:val="000000"/>
                <w:sz w:val="24"/>
                <w:szCs w:val="24"/>
              </w:rPr>
              <w:t>128058</w:t>
            </w:r>
          </w:p>
        </w:tc>
        <w:tc>
          <w:tcPr>
            <w:tcW w:w="1727" w:type="dxa"/>
            <w:vAlign w:val="center"/>
          </w:tcPr>
          <w:p w:rsidR="006C6C50" w:rsidRDefault="0080711C">
            <w:pPr>
              <w:jc w:val="center"/>
            </w:pPr>
            <w:r>
              <w:rPr>
                <w:color w:val="000000"/>
                <w:sz w:val="24"/>
                <w:szCs w:val="24"/>
              </w:rPr>
              <w:t>拓</w:t>
            </w:r>
            <w:proofErr w:type="gramStart"/>
            <w:r>
              <w:rPr>
                <w:color w:val="000000"/>
                <w:sz w:val="24"/>
                <w:szCs w:val="24"/>
              </w:rPr>
              <w:t>邦</w:t>
            </w:r>
            <w:proofErr w:type="gramEnd"/>
            <w:r>
              <w:rPr>
                <w:color w:val="000000"/>
                <w:sz w:val="24"/>
                <w:szCs w:val="24"/>
              </w:rPr>
              <w:t>转债</w:t>
            </w:r>
          </w:p>
        </w:tc>
        <w:tc>
          <w:tcPr>
            <w:tcW w:w="1768" w:type="dxa"/>
            <w:vAlign w:val="center"/>
          </w:tcPr>
          <w:p w:rsidR="006C6C50" w:rsidRDefault="0080711C">
            <w:pPr>
              <w:jc w:val="right"/>
            </w:pPr>
            <w:r>
              <w:rPr>
                <w:color w:val="000000"/>
                <w:sz w:val="24"/>
                <w:szCs w:val="24"/>
              </w:rPr>
              <w:t>863,681.40</w:t>
            </w:r>
          </w:p>
        </w:tc>
        <w:tc>
          <w:tcPr>
            <w:tcW w:w="1689" w:type="dxa"/>
            <w:vAlign w:val="center"/>
          </w:tcPr>
          <w:p w:rsidR="006C6C50" w:rsidRDefault="0080711C">
            <w:pPr>
              <w:jc w:val="right"/>
            </w:pPr>
            <w:r>
              <w:rPr>
                <w:color w:val="000000"/>
                <w:sz w:val="24"/>
                <w:szCs w:val="24"/>
              </w:rPr>
              <w:t>0.94</w:t>
            </w:r>
          </w:p>
        </w:tc>
      </w:tr>
      <w:tr w:rsidR="006C6C50">
        <w:trPr>
          <w:jc w:val="center"/>
        </w:trPr>
        <w:tc>
          <w:tcPr>
            <w:tcW w:w="1883" w:type="dxa"/>
            <w:vAlign w:val="center"/>
          </w:tcPr>
          <w:p w:rsidR="006C6C50" w:rsidRDefault="0080711C">
            <w:pPr>
              <w:jc w:val="center"/>
            </w:pPr>
            <w:r>
              <w:rPr>
                <w:color w:val="000000"/>
                <w:sz w:val="24"/>
                <w:szCs w:val="24"/>
              </w:rPr>
              <w:t>13</w:t>
            </w:r>
          </w:p>
        </w:tc>
        <w:tc>
          <w:tcPr>
            <w:tcW w:w="1801" w:type="dxa"/>
            <w:vAlign w:val="center"/>
          </w:tcPr>
          <w:p w:rsidR="006C6C50" w:rsidRDefault="0080711C">
            <w:pPr>
              <w:jc w:val="center"/>
            </w:pPr>
            <w:r>
              <w:rPr>
                <w:color w:val="000000"/>
                <w:sz w:val="24"/>
                <w:szCs w:val="24"/>
              </w:rPr>
              <w:t>113522</w:t>
            </w:r>
          </w:p>
        </w:tc>
        <w:tc>
          <w:tcPr>
            <w:tcW w:w="1727" w:type="dxa"/>
            <w:vAlign w:val="center"/>
          </w:tcPr>
          <w:p w:rsidR="006C6C50" w:rsidRDefault="0080711C">
            <w:pPr>
              <w:jc w:val="center"/>
            </w:pPr>
            <w:r>
              <w:rPr>
                <w:color w:val="000000"/>
                <w:sz w:val="24"/>
                <w:szCs w:val="24"/>
              </w:rPr>
              <w:t>旭升转债</w:t>
            </w:r>
          </w:p>
        </w:tc>
        <w:tc>
          <w:tcPr>
            <w:tcW w:w="1768" w:type="dxa"/>
            <w:vAlign w:val="center"/>
          </w:tcPr>
          <w:p w:rsidR="006C6C50" w:rsidRDefault="0080711C">
            <w:pPr>
              <w:jc w:val="right"/>
            </w:pPr>
            <w:r>
              <w:rPr>
                <w:color w:val="000000"/>
                <w:sz w:val="24"/>
                <w:szCs w:val="24"/>
              </w:rPr>
              <w:t>593,554.80</w:t>
            </w:r>
          </w:p>
        </w:tc>
        <w:tc>
          <w:tcPr>
            <w:tcW w:w="1689" w:type="dxa"/>
            <w:vAlign w:val="center"/>
          </w:tcPr>
          <w:p w:rsidR="006C6C50" w:rsidRDefault="0080711C">
            <w:pPr>
              <w:jc w:val="right"/>
            </w:pPr>
            <w:r>
              <w:rPr>
                <w:color w:val="000000"/>
                <w:sz w:val="24"/>
                <w:szCs w:val="24"/>
              </w:rPr>
              <w:t>0.64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8072B5" w:rsidRDefault="008072B5" w:rsidP="008072B5">
      <w:pPr>
        <w:autoSpaceDE w:val="0"/>
        <w:autoSpaceDN w:val="0"/>
        <w:adjustRightInd w:val="0"/>
        <w:spacing w:before="29" w:line="288" w:lineRule="auto"/>
        <w:jc w:val="left"/>
        <w:rPr>
          <w:rFonts w:eastAsiaTheme="minorEastAsia"/>
          <w:sz w:val="24"/>
          <w:szCs w:val="24"/>
        </w:rPr>
      </w:pPr>
      <w:r>
        <w:rPr>
          <w:rFonts w:eastAsiaTheme="minorEastAsia" w:hint="eastAsia"/>
          <w:sz w:val="24"/>
        </w:rPr>
        <w:t>本基金本报告期末未持有股票。</w:t>
      </w:r>
      <w:bookmarkStart w:id="0" w:name="_GoBack"/>
      <w:bookmarkEnd w:id="0"/>
    </w:p>
    <w:p w:rsidR="00774F42" w:rsidRPr="008072B5" w:rsidRDefault="00774F42" w:rsidP="00C15CAC">
      <w:pPr>
        <w:autoSpaceDE w:val="0"/>
        <w:autoSpaceDN w:val="0"/>
        <w:adjustRightInd w:val="0"/>
        <w:spacing w:before="29" w:line="288" w:lineRule="auto"/>
        <w:jc w:val="left"/>
        <w:rPr>
          <w:color w:val="000000"/>
          <w:sz w:val="24"/>
          <w:szCs w:val="24"/>
        </w:rPr>
      </w:pPr>
    </w:p>
    <w:p w:rsidR="00774F42" w:rsidRDefault="00774F42" w:rsidP="00774F42">
      <w:pPr>
        <w:autoSpaceDE w:val="0"/>
        <w:autoSpaceDN w:val="0"/>
        <w:adjustRightInd w:val="0"/>
        <w:spacing w:before="29" w:line="288" w:lineRule="auto"/>
        <w:jc w:val="left"/>
        <w:rPr>
          <w:b/>
          <w:bCs/>
          <w:color w:val="000000"/>
          <w:kern w:val="0"/>
          <w:sz w:val="24"/>
          <w:szCs w:val="24"/>
        </w:rPr>
      </w:pPr>
      <w:r>
        <w:rPr>
          <w:b/>
          <w:bCs/>
          <w:color w:val="000000"/>
          <w:kern w:val="0"/>
          <w:sz w:val="24"/>
          <w:szCs w:val="24"/>
        </w:rPr>
        <w:t>5.11.6</w:t>
      </w:r>
      <w:r>
        <w:rPr>
          <w:rFonts w:hint="eastAsia"/>
          <w:b/>
          <w:bCs/>
          <w:color w:val="000000"/>
          <w:kern w:val="0"/>
          <w:sz w:val="24"/>
          <w:szCs w:val="24"/>
        </w:rPr>
        <w:t>投资组合报告附注的其他文字描述部分</w:t>
      </w:r>
    </w:p>
    <w:p w:rsidR="00774F42" w:rsidRDefault="00774F42" w:rsidP="00774F42">
      <w:pPr>
        <w:spacing w:before="29" w:line="288" w:lineRule="auto"/>
        <w:rPr>
          <w:color w:val="000000"/>
          <w:sz w:val="24"/>
          <w:szCs w:val="24"/>
        </w:rPr>
      </w:pPr>
      <w:r>
        <w:rPr>
          <w:rFonts w:hint="eastAsia"/>
          <w:color w:val="000000"/>
          <w:sz w:val="24"/>
          <w:szCs w:val="24"/>
        </w:rPr>
        <w:t>由于四舍五入的原因，分项之和与合计项之间可能存在尾差。</w:t>
      </w:r>
    </w:p>
    <w:p w:rsidR="00774F42" w:rsidRPr="00774F42" w:rsidRDefault="00774F42" w:rsidP="00C15CAC">
      <w:pPr>
        <w:autoSpaceDE w:val="0"/>
        <w:autoSpaceDN w:val="0"/>
        <w:adjustRightInd w:val="0"/>
        <w:spacing w:before="29" w:line="288" w:lineRule="auto"/>
        <w:jc w:val="left"/>
        <w:rPr>
          <w:rFonts w:hint="eastAsia"/>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1211A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105,824,069.50</w:t>
            </w:r>
          </w:p>
        </w:tc>
      </w:tr>
      <w:tr w:rsidR="004061AC" w:rsidRPr="00414345" w:rsidTr="001211A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795,718.09</w:t>
            </w:r>
          </w:p>
        </w:tc>
      </w:tr>
      <w:tr w:rsidR="004061AC" w:rsidRPr="00414345" w:rsidTr="001211A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21,779,711.35</w:t>
            </w:r>
          </w:p>
        </w:tc>
      </w:tr>
      <w:tr w:rsidR="004061AC" w:rsidRPr="00414345" w:rsidTr="001211A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1211A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84,840,076.24</w:t>
            </w:r>
          </w:p>
        </w:tc>
      </w:tr>
    </w:tbl>
    <w:p w:rsidR="001211A2" w:rsidRDefault="001211A2" w:rsidP="001211A2">
      <w:pPr>
        <w:autoSpaceDE w:val="0"/>
        <w:autoSpaceDN w:val="0"/>
        <w:adjustRightInd w:val="0"/>
        <w:spacing w:before="29" w:line="288" w:lineRule="auto"/>
        <w:jc w:val="left"/>
        <w:rPr>
          <w:color w:val="000000"/>
          <w:sz w:val="24"/>
          <w:szCs w:val="24"/>
        </w:rPr>
      </w:pPr>
      <w:r>
        <w:rPr>
          <w:rFonts w:hint="eastAsia"/>
          <w:color w:val="000000"/>
          <w:sz w:val="24"/>
          <w:szCs w:val="24"/>
        </w:rPr>
        <w:t>注：</w:t>
      </w:r>
      <w:r>
        <w:rPr>
          <w:color w:val="000000"/>
          <w:sz w:val="24"/>
          <w:szCs w:val="24"/>
        </w:rPr>
        <w:t>1</w:t>
      </w:r>
      <w:r>
        <w:rPr>
          <w:rFonts w:hint="eastAsia"/>
          <w:color w:val="000000"/>
          <w:sz w:val="24"/>
          <w:szCs w:val="24"/>
        </w:rPr>
        <w:t>、如果本报告期间发生转换入、红利再投业务，则总申购份额中包含该业务；</w:t>
      </w:r>
      <w:r>
        <w:rPr>
          <w:color w:val="000000"/>
          <w:sz w:val="24"/>
          <w:szCs w:val="24"/>
        </w:rPr>
        <w:t xml:space="preserve">     </w:t>
      </w:r>
    </w:p>
    <w:p w:rsidR="001211A2" w:rsidRDefault="001211A2" w:rsidP="001211A2">
      <w:pPr>
        <w:autoSpaceDE w:val="0"/>
        <w:autoSpaceDN w:val="0"/>
        <w:adjustRightInd w:val="0"/>
        <w:spacing w:before="29" w:line="288" w:lineRule="auto"/>
        <w:jc w:val="left"/>
        <w:rPr>
          <w:color w:val="000000"/>
          <w:sz w:val="24"/>
          <w:szCs w:val="24"/>
        </w:rPr>
      </w:pPr>
      <w:r>
        <w:rPr>
          <w:color w:val="000000"/>
          <w:sz w:val="24"/>
          <w:szCs w:val="24"/>
        </w:rPr>
        <w:t xml:space="preserve">    2</w:t>
      </w:r>
      <w:r>
        <w:rPr>
          <w:rFonts w:hint="eastAsia"/>
          <w:color w:val="000000"/>
          <w:sz w:val="24"/>
          <w:szCs w:val="24"/>
        </w:rPr>
        <w:t>、如果本报告期间发生转换出业务，则总赎回份额中包含该业务。</w:t>
      </w:r>
    </w:p>
    <w:p w:rsidR="00320E90" w:rsidRPr="001211A2"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C6C50" w:rsidRDefault="0080711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、《交银施罗德稳固收益债券型证券投资基金基金合同》；</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、《交银施罗德稳固收益债券型证券投资基金招募说明书》；</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、《交银施罗德稳固收益债券型证券投资基金托管协议》；</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、《交银施罗德荣祥保本混合型证券投资基金基金合同》；</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、《交银施罗德荣祥保本混合型证券投资基金招募说明书》；</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、《交银施罗德荣祥保本混合型证券投资基金托管协议》；</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6C6C50" w:rsidRDefault="0080711C">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、关于申请募集交银施罗德荣祥保本混合型证券投资基金之法律意见书；</w:t>
      </w:r>
      <w:r>
        <w:rPr>
          <w:color w:val="000000"/>
          <w:sz w:val="24"/>
          <w:szCs w:val="24"/>
        </w:rPr>
        <w:t xml:space="preserve"> </w:t>
      </w:r>
    </w:p>
    <w:p w:rsidR="006C6C50" w:rsidRDefault="0080711C">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、关于修改《交银施罗德荣祥保本混合型证券投资基金基金合同》的法律意见书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、报告期内交银施罗德荣祥保本混合型证券投资基金、交银施罗德稳固收益债券型证券投资基金在指定报刊上各项公告的原稿。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C6C50" w:rsidRDefault="0080711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072B5">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8072B5">
      <w:rPr>
        <w:noProof/>
        <w:kern w:val="0"/>
        <w:szCs w:val="21"/>
      </w:rPr>
      <w:t>13</w:t>
    </w:r>
    <w:r w:rsidR="00381EE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交银施罗德稳固收益债券型证券投资基金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3CD"/>
    <w:rsid w:val="000F6CC8"/>
    <w:rsid w:val="00111261"/>
    <w:rsid w:val="0011537B"/>
    <w:rsid w:val="001211A2"/>
    <w:rsid w:val="00133015"/>
    <w:rsid w:val="00137452"/>
    <w:rsid w:val="00137B31"/>
    <w:rsid w:val="00141F09"/>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6C50"/>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4F42"/>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0711C"/>
    <w:rsid w:val="008072B5"/>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172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9655">
      <w:bodyDiv w:val="1"/>
      <w:marLeft w:val="0"/>
      <w:marRight w:val="0"/>
      <w:marTop w:val="0"/>
      <w:marBottom w:val="0"/>
      <w:divBdr>
        <w:top w:val="none" w:sz="0" w:space="0" w:color="auto"/>
        <w:left w:val="none" w:sz="0" w:space="0" w:color="auto"/>
        <w:bottom w:val="none" w:sz="0" w:space="0" w:color="auto"/>
        <w:right w:val="none" w:sz="0" w:space="0" w:color="auto"/>
      </w:divBdr>
    </w:div>
    <w:div w:id="314844510">
      <w:bodyDiv w:val="1"/>
      <w:marLeft w:val="0"/>
      <w:marRight w:val="0"/>
      <w:marTop w:val="0"/>
      <w:marBottom w:val="0"/>
      <w:divBdr>
        <w:top w:val="none" w:sz="0" w:space="0" w:color="auto"/>
        <w:left w:val="none" w:sz="0" w:space="0" w:color="auto"/>
        <w:bottom w:val="none" w:sz="0" w:space="0" w:color="auto"/>
        <w:right w:val="none" w:sz="0" w:space="0" w:color="auto"/>
      </w:divBdr>
    </w:div>
    <w:div w:id="496506805">
      <w:bodyDiv w:val="1"/>
      <w:marLeft w:val="0"/>
      <w:marRight w:val="0"/>
      <w:marTop w:val="0"/>
      <w:marBottom w:val="0"/>
      <w:divBdr>
        <w:top w:val="none" w:sz="0" w:space="0" w:color="auto"/>
        <w:left w:val="none" w:sz="0" w:space="0" w:color="auto"/>
        <w:bottom w:val="none" w:sz="0" w:space="0" w:color="auto"/>
        <w:right w:val="none" w:sz="0" w:space="0" w:color="auto"/>
      </w:divBdr>
    </w:div>
    <w:div w:id="625282943">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21184150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E348-0777-48A4-AA94-57899E9D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13</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604</cp:revision>
  <dcterms:created xsi:type="dcterms:W3CDTF">2012-10-16T06:07:00Z</dcterms:created>
  <dcterms:modified xsi:type="dcterms:W3CDTF">2019-10-16T07:50:00Z</dcterms:modified>
</cp:coreProperties>
</file>