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2018年5月23日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331,589,908.23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在严格控制风险的前提下,力求获得高于业绩基准的投资收益。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封闭期内的投资策略：</w:t>
            </w:r>
          </w:p>
          <w:p>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pPr>
              <w:adjustRightInd w:val="0"/>
              <w:spacing w:before="29" w:line="288" w:lineRule="auto"/>
              <w:ind w:left="17"/>
              <w:jc w:val="left"/>
              <w:rPr>
                <w:color w:val="000000"/>
                <w:sz w:val="24"/>
              </w:rPr>
            </w:pPr>
            <w:r>
              <w:rPr>
                <w:color w:val="000000"/>
                <w:kern w:val="0"/>
                <w:sz w:val="24"/>
              </w:rPr>
              <w:t>转为开放式运作后的投资策略：</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005577</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005578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330,813,244.80</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776,663.43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交银丰晟收益债券A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交银丰晟收益债券C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5,539,818.45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11,694.67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6,604,434.51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14,187.66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0.0200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0.0183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359,798,807.45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840,971.91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1.0876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1.0828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交银丰晟收益债券A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1.86%</w:t>
            </w:r>
          </w:p>
        </w:tc>
        <w:tc>
          <w:tcPr>
            <w:vAlign w:val="center"/>
          </w:tcPr>
          <w:p>
            <w:pPr>
              <w:jc w:val="center"/>
            </w:pPr>
            <w:r>
              <w:rPr>
                <w:color w:val="000000"/>
                <w:sz w:val="24"/>
              </w:rPr>
              <w:t>0.04%</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1.41%</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交银丰晟收益债券C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1.72%</w:t>
            </w:r>
          </w:p>
        </w:tc>
        <w:tc>
          <w:tcPr>
            <w:vAlign w:val="center"/>
          </w:tcPr>
          <w:p>
            <w:pPr>
              <w:jc w:val="center"/>
            </w:pPr>
            <w:r>
              <w:rPr>
                <w:color w:val="000000"/>
                <w:sz w:val="24"/>
              </w:rPr>
              <w:t>0.04%</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1.27%</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交银施罗德丰晟收益债券型证券投资基金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2018年5月23日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2018年5月23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交银丰晟收益债券C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2018年5月23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交银增利债券、交银纯债债券发起、交银丰盈收益债券、交银丰晟收益债券、交银裕如纯债债券的基金经理，公司固定收益（公募）投资总监</w:t>
            </w:r>
          </w:p>
        </w:tc>
        <w:tc>
          <w:tcPr>
            <w:vAlign w:val="center"/>
          </w:tcPr>
          <w:p>
            <w:pPr>
              <w:jc w:val="center"/>
            </w:pPr>
            <w:r>
              <w:rPr>
                <w:color w:val="000000"/>
                <w:sz w:val="24"/>
              </w:rPr>
              <w:t>2018-05-23</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荣鑫保本混合型证券投资基金的基金经理。2017年6月10日至2019年3月14日担任交银施罗德荣祥保本混合型证券投资基金的基金经理。2017年6月10日至2019年3月14日担任交银施罗德定期支付月月丰债券型证券投资基金的基金经理。2017年6月10日至2019年3月14日担任交银施罗德强化回报债券型证券投资基金的基金经理。2017年6月10日至2019年3月14日担任交银施罗德增利增强债券型证券投资基金的基金经理。2017年6月10日至2019年3月14日担任交银施罗德增强收益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 xml:space="preserve">本报告期内，债券市场收益率前期在避险策略的带动下出现了持续下行，后受到经济数据和通胀预期的影响，出现小幅回调，活跃十年国债收益率自七月初一路走低，八月中旬破3%，后再度小幅上行，整体收益率水平呈现一定波动。七月，债市收益率在宽松预期、国内外经济数据低预期以及海外风险的共振下震荡走低，但同时受到通胀预期等因素的影响，叠加资金面的波动，债市全月的收益率走势呈现震荡格局。八月在国内经济数据低于预期、贸易争端、人民币汇率破7等事件催化下，债券市场收益率呈现快速下行，十年国债一度破3%，但九月后，随着稳增长预期升温、通胀担忧加剧以及资金面紧平衡等因素叠加出现，债券市场出现了一定调整。 </w:t>
      </w:r>
    </w:p>
    <w:p>
      <w:pPr>
        <w:spacing w:before="29" w:line="288" w:lineRule="auto"/>
        <w:ind w:firstLine="480" w:firstLineChars="200"/>
        <w:rPr>
          <w:color w:val="000000"/>
          <w:sz w:val="24"/>
        </w:rPr>
      </w:pPr>
      <w:r>
        <w:rPr>
          <w:color w:val="000000"/>
          <w:sz w:val="24"/>
        </w:rPr>
        <w:t>我们认为，三季度在经济下行压力下，债市存在一定的配置机会，考虑到本基金目前处于封闭期，因此基于对市场的判断，结合组合的封闭期到期时间，按照期限匹配策略，组合动态的增加了部分收益较高品种的操作，保持了较高水平的杠杆操作，以获取套息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经济基本面下行压力仍然存在，经济内生企稳动力不强，而尽管宏观逆周期调控政策底线思维，但地产和基建发力始终受到种种限制，因此收益率仍存在一定的下行基础，但是临近年末，对于通胀压力的担忧和由此引发的货币政策边际变化将是短期关注重点，组合方面，由于本基金将于2020年五月封闭期到期，因此在四季度末我们将根据市场波动情况，择机减持部分收益较低的品种，并继续进行组合的期限结构优化和个券优化。</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675,025,800.00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95.59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675,025,800.00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95.59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22,019,149.06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9,087,567.15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706,132,516.21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326,029,900.00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90.40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17,037,400.00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4.72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331,958,500.00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92.05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675,025,800.00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187.17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101800692</w:t>
            </w:r>
          </w:p>
        </w:tc>
        <w:tc>
          <w:tcPr>
            <w:vAlign w:val="center"/>
          </w:tcPr>
          <w:p>
            <w:pPr>
              <w:jc w:val="center"/>
            </w:pPr>
            <w:r>
              <w:rPr>
                <w:color w:val="000000"/>
                <w:sz w:val="24"/>
              </w:rPr>
              <w:t>18拉萨城投MTN001</w:t>
            </w:r>
          </w:p>
        </w:tc>
        <w:tc>
          <w:tcPr>
            <w:vAlign w:val="center"/>
          </w:tcPr>
          <w:p>
            <w:pPr>
              <w:jc w:val="right"/>
            </w:pPr>
            <w:r>
              <w:rPr>
                <w:color w:val="000000"/>
                <w:sz w:val="24"/>
              </w:rPr>
              <w:t>300,000</w:t>
            </w:r>
          </w:p>
        </w:tc>
        <w:tc>
          <w:tcPr>
            <w:vAlign w:val="center"/>
          </w:tcPr>
          <w:p>
            <w:pPr>
              <w:jc w:val="right"/>
            </w:pPr>
            <w:r>
              <w:rPr>
                <w:color w:val="000000"/>
                <w:sz w:val="24"/>
              </w:rPr>
              <w:t>31,170,000.00</w:t>
            </w:r>
          </w:p>
        </w:tc>
        <w:tc>
          <w:tcPr>
            <w:vAlign w:val="center"/>
          </w:tcPr>
          <w:p>
            <w:pPr>
              <w:jc w:val="right"/>
            </w:pPr>
            <w:r>
              <w:rPr>
                <w:color w:val="000000"/>
                <w:sz w:val="24"/>
              </w:rPr>
              <w:t>8.64</w:t>
            </w:r>
          </w:p>
        </w:tc>
      </w:tr>
      <w:tr>
        <w:tc>
          <w:tcPr>
            <w:vAlign w:val="center"/>
          </w:tcPr>
          <w:p>
            <w:pPr>
              <w:jc w:val="center"/>
            </w:pPr>
            <w:r>
              <w:rPr>
                <w:color w:val="000000"/>
                <w:sz w:val="24"/>
              </w:rPr>
              <w:t>2</w:t>
            </w:r>
          </w:p>
        </w:tc>
        <w:tc>
          <w:tcPr>
            <w:vAlign w:val="center"/>
          </w:tcPr>
          <w:p>
            <w:pPr>
              <w:jc w:val="center"/>
            </w:pPr>
            <w:r>
              <w:rPr>
                <w:color w:val="000000"/>
                <w:sz w:val="24"/>
              </w:rPr>
              <w:t>143222</w:t>
            </w:r>
          </w:p>
        </w:tc>
        <w:tc>
          <w:tcPr>
            <w:vAlign w:val="center"/>
          </w:tcPr>
          <w:p>
            <w:pPr>
              <w:jc w:val="center"/>
            </w:pPr>
            <w:r>
              <w:rPr>
                <w:color w:val="000000"/>
                <w:sz w:val="24"/>
              </w:rPr>
              <w:t>17圆融02</w:t>
            </w:r>
          </w:p>
        </w:tc>
        <w:tc>
          <w:tcPr>
            <w:vAlign w:val="center"/>
          </w:tcPr>
          <w:p>
            <w:pPr>
              <w:jc w:val="right"/>
            </w:pPr>
            <w:r>
              <w:rPr>
                <w:color w:val="000000"/>
                <w:sz w:val="24"/>
              </w:rPr>
              <w:t>300,000</w:t>
            </w:r>
          </w:p>
        </w:tc>
        <w:tc>
          <w:tcPr>
            <w:vAlign w:val="center"/>
          </w:tcPr>
          <w:p>
            <w:pPr>
              <w:jc w:val="right"/>
            </w:pPr>
            <w:r>
              <w:rPr>
                <w:color w:val="000000"/>
                <w:sz w:val="24"/>
              </w:rPr>
              <w:t>30,651,000.00</w:t>
            </w:r>
          </w:p>
        </w:tc>
        <w:tc>
          <w:tcPr>
            <w:vAlign w:val="center"/>
          </w:tcPr>
          <w:p>
            <w:pPr>
              <w:jc w:val="right"/>
            </w:pPr>
            <w:r>
              <w:rPr>
                <w:color w:val="000000"/>
                <w:sz w:val="24"/>
              </w:rPr>
              <w:t>8.50</w:t>
            </w:r>
          </w:p>
        </w:tc>
      </w:tr>
      <w:tr>
        <w:tc>
          <w:tcPr>
            <w:vAlign w:val="center"/>
          </w:tcPr>
          <w:p>
            <w:pPr>
              <w:jc w:val="center"/>
            </w:pPr>
            <w:r>
              <w:rPr>
                <w:color w:val="000000"/>
                <w:sz w:val="24"/>
              </w:rPr>
              <w:t>3</w:t>
            </w:r>
          </w:p>
        </w:tc>
        <w:tc>
          <w:tcPr>
            <w:vAlign w:val="center"/>
          </w:tcPr>
          <w:p>
            <w:pPr>
              <w:jc w:val="center"/>
            </w:pPr>
            <w:r>
              <w:rPr>
                <w:color w:val="000000"/>
                <w:sz w:val="24"/>
              </w:rPr>
              <w:t>122358</w:t>
            </w:r>
          </w:p>
        </w:tc>
        <w:tc>
          <w:tcPr>
            <w:vAlign w:val="center"/>
          </w:tcPr>
          <w:p>
            <w:pPr>
              <w:jc w:val="center"/>
            </w:pPr>
            <w:r>
              <w:rPr>
                <w:color w:val="000000"/>
                <w:sz w:val="24"/>
              </w:rPr>
              <w:t>15际华03</w:t>
            </w:r>
          </w:p>
        </w:tc>
        <w:tc>
          <w:tcPr>
            <w:vAlign w:val="center"/>
          </w:tcPr>
          <w:p>
            <w:pPr>
              <w:jc w:val="right"/>
            </w:pPr>
            <w:r>
              <w:rPr>
                <w:color w:val="000000"/>
                <w:sz w:val="24"/>
              </w:rPr>
              <w:t>300,000</w:t>
            </w:r>
          </w:p>
        </w:tc>
        <w:tc>
          <w:tcPr>
            <w:vAlign w:val="center"/>
          </w:tcPr>
          <w:p>
            <w:pPr>
              <w:jc w:val="right"/>
            </w:pPr>
            <w:r>
              <w:rPr>
                <w:color w:val="000000"/>
                <w:sz w:val="24"/>
              </w:rPr>
              <w:t>30,648,000.00</w:t>
            </w:r>
          </w:p>
        </w:tc>
        <w:tc>
          <w:tcPr>
            <w:vAlign w:val="center"/>
          </w:tcPr>
          <w:p>
            <w:pPr>
              <w:jc w:val="right"/>
            </w:pPr>
            <w:r>
              <w:rPr>
                <w:color w:val="000000"/>
                <w:sz w:val="24"/>
              </w:rPr>
              <w:t>8.50</w:t>
            </w:r>
          </w:p>
        </w:tc>
      </w:tr>
      <w:tr>
        <w:tc>
          <w:tcPr>
            <w:vAlign w:val="center"/>
          </w:tcPr>
          <w:p>
            <w:pPr>
              <w:jc w:val="center"/>
            </w:pPr>
            <w:r>
              <w:rPr>
                <w:color w:val="000000"/>
                <w:sz w:val="24"/>
              </w:rPr>
              <w:t>4</w:t>
            </w:r>
          </w:p>
        </w:tc>
        <w:tc>
          <w:tcPr>
            <w:vAlign w:val="center"/>
          </w:tcPr>
          <w:p>
            <w:pPr>
              <w:jc w:val="center"/>
            </w:pPr>
            <w:r>
              <w:rPr>
                <w:color w:val="000000"/>
                <w:sz w:val="24"/>
              </w:rPr>
              <w:t>101560059</w:t>
            </w:r>
          </w:p>
        </w:tc>
        <w:tc>
          <w:tcPr>
            <w:vAlign w:val="center"/>
          </w:tcPr>
          <w:p>
            <w:pPr>
              <w:jc w:val="center"/>
            </w:pPr>
            <w:r>
              <w:rPr>
                <w:color w:val="000000"/>
                <w:sz w:val="24"/>
              </w:rPr>
              <w:t>15盐城城南MTN001</w:t>
            </w:r>
          </w:p>
        </w:tc>
        <w:tc>
          <w:tcPr>
            <w:vAlign w:val="center"/>
          </w:tcPr>
          <w:p>
            <w:pPr>
              <w:jc w:val="right"/>
            </w:pPr>
            <w:r>
              <w:rPr>
                <w:color w:val="000000"/>
                <w:sz w:val="24"/>
              </w:rPr>
              <w:t>300,000</w:t>
            </w:r>
          </w:p>
        </w:tc>
        <w:tc>
          <w:tcPr>
            <w:vAlign w:val="center"/>
          </w:tcPr>
          <w:p>
            <w:pPr>
              <w:jc w:val="right"/>
            </w:pPr>
            <w:r>
              <w:rPr>
                <w:color w:val="000000"/>
                <w:sz w:val="24"/>
              </w:rPr>
              <w:t>30,519,000.00</w:t>
            </w:r>
          </w:p>
        </w:tc>
        <w:tc>
          <w:tcPr>
            <w:vAlign w:val="center"/>
          </w:tcPr>
          <w:p>
            <w:pPr>
              <w:jc w:val="right"/>
            </w:pPr>
            <w:r>
              <w:rPr>
                <w:color w:val="000000"/>
                <w:sz w:val="24"/>
              </w:rPr>
              <w:t>8.46</w:t>
            </w:r>
          </w:p>
        </w:tc>
      </w:tr>
      <w:tr>
        <w:tc>
          <w:tcPr>
            <w:vAlign w:val="center"/>
          </w:tcPr>
          <w:p>
            <w:pPr>
              <w:jc w:val="center"/>
            </w:pPr>
            <w:r>
              <w:rPr>
                <w:color w:val="000000"/>
                <w:sz w:val="24"/>
              </w:rPr>
              <w:t>5</w:t>
            </w:r>
          </w:p>
        </w:tc>
        <w:tc>
          <w:tcPr>
            <w:vAlign w:val="center"/>
          </w:tcPr>
          <w:p>
            <w:pPr>
              <w:jc w:val="center"/>
            </w:pPr>
            <w:r>
              <w:rPr>
                <w:color w:val="000000"/>
                <w:sz w:val="24"/>
              </w:rPr>
              <w:t>122478</w:t>
            </w:r>
          </w:p>
        </w:tc>
        <w:tc>
          <w:tcPr>
            <w:vAlign w:val="center"/>
          </w:tcPr>
          <w:p>
            <w:pPr>
              <w:jc w:val="center"/>
            </w:pPr>
            <w:r>
              <w:rPr>
                <w:color w:val="000000"/>
                <w:sz w:val="24"/>
              </w:rPr>
              <w:t>14粤运01</w:t>
            </w:r>
          </w:p>
        </w:tc>
        <w:tc>
          <w:tcPr>
            <w:vAlign w:val="center"/>
          </w:tcPr>
          <w:p>
            <w:pPr>
              <w:jc w:val="right"/>
            </w:pPr>
            <w:r>
              <w:rPr>
                <w:color w:val="000000"/>
                <w:sz w:val="24"/>
              </w:rPr>
              <w:t>300,000</w:t>
            </w:r>
          </w:p>
        </w:tc>
        <w:tc>
          <w:tcPr>
            <w:vAlign w:val="center"/>
          </w:tcPr>
          <w:p>
            <w:pPr>
              <w:jc w:val="right"/>
            </w:pPr>
            <w:r>
              <w:rPr>
                <w:color w:val="000000"/>
                <w:sz w:val="24"/>
              </w:rPr>
              <w:t>30,507,000.00</w:t>
            </w:r>
          </w:p>
        </w:tc>
        <w:tc>
          <w:tcPr>
            <w:vAlign w:val="center"/>
          </w:tcPr>
          <w:p>
            <w:pPr>
              <w:jc w:val="right"/>
            </w:pPr>
            <w:r>
              <w:rPr>
                <w:color w:val="000000"/>
                <w:sz w:val="24"/>
              </w:rPr>
              <w:t>8.46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9,087,567.15</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9,087,567.15</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交银丰晟收益债券A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交银丰晟收益债券C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330,813,244.80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776,663.43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330,813,244.80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776,663.43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1、中国证监会准予交银施罗德丰晟收益债券型证券投资基金募集注册的文件；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2、《交银施罗德丰晟收益债券型证券投资基金基金合同》；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3、《交银施罗德丰晟收益债券型证券投资基金招募说明书》；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4、《交银施罗德丰晟收益债券型证券投资基金托管协议》；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5、关于申请募集注册交银施罗德丰晟收益债券型证券投资基金的法律意见书；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8、报告期内交银施罗德丰晟收益债券型证券投资基金在指定报刊上各项公告的原稿。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交银施罗德丰晟收益债券型证券投资基金2019年第3季度报告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