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交银施罗德核心资产混合型证券投资基金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二〇一九年十月二十二日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647DC" w:rsidRDefault="002C1EC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647DC" w:rsidRDefault="002C1EC8">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2019</w:t>
      </w:r>
      <w:r>
        <w:rPr>
          <w:color w:val="000000"/>
          <w:sz w:val="24"/>
          <w:szCs w:val="24"/>
        </w:rPr>
        <w:t>年</w:t>
      </w:r>
      <w:r>
        <w:rPr>
          <w:color w:val="000000"/>
          <w:sz w:val="24"/>
          <w:szCs w:val="24"/>
        </w:rPr>
        <w:t>10</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647DC" w:rsidRDefault="002C1EC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647DC" w:rsidRDefault="002C1EC8">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1647DC" w:rsidRDefault="002C1EC8">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交银核心资产混合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006202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006202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2019</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18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147,485,125.29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本基金主要投资于具有核心资产的上市公司，在合理控制风险并保持基金资产良好流动性的前提下，力争实现基金资产的长期稳定增值。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恒生指数收益率</w:t>
            </w:r>
            <w:r w:rsidRPr="00414345">
              <w:rPr>
                <w:color w:val="000000"/>
                <w:kern w:val="0"/>
                <w:sz w:val="24"/>
                <w:szCs w:val="24"/>
              </w:rPr>
              <w:t>×30%+</w:t>
            </w:r>
            <w:r w:rsidRPr="00414345">
              <w:rPr>
                <w:color w:val="000000"/>
                <w:kern w:val="0"/>
                <w:sz w:val="24"/>
                <w:szCs w:val="24"/>
              </w:rPr>
              <w:t>中证综合债券指数收益率</w:t>
            </w:r>
            <w:r w:rsidRPr="00414345">
              <w:rPr>
                <w:color w:val="000000"/>
                <w:kern w:val="0"/>
                <w:sz w:val="24"/>
                <w:szCs w:val="24"/>
              </w:rPr>
              <w:t>×20%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647DC" w:rsidRDefault="002C1EC8">
            <w:pPr>
              <w:adjustRightInd w:val="0"/>
              <w:spacing w:before="29" w:line="288" w:lineRule="auto"/>
              <w:ind w:left="17"/>
              <w:jc w:val="left"/>
              <w:rPr>
                <w:color w:val="000000"/>
                <w:sz w:val="24"/>
                <w:szCs w:val="24"/>
              </w:rPr>
            </w:pPr>
            <w:r>
              <w:rPr>
                <w:color w:val="000000"/>
                <w:kern w:val="0"/>
                <w:sz w:val="24"/>
                <w:szCs w:val="24"/>
              </w:rPr>
              <w:t>本基金是一只混合型基金，其预期风险和预期收益高于债券型基金和货币市场基金，低于股票型基金。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C1EC8" w:rsidRPr="00414345" w:rsidTr="002C1EC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2C1EC8" w:rsidRPr="00414345" w:rsidTr="002C1EC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28,599,219.17</w:t>
            </w:r>
          </w:p>
        </w:tc>
      </w:tr>
      <w:tr w:rsidR="002C1EC8" w:rsidRPr="00414345" w:rsidTr="002C1EC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25,335,579.09</w:t>
            </w:r>
          </w:p>
        </w:tc>
      </w:tr>
      <w:tr w:rsidR="002C1EC8" w:rsidRPr="00414345" w:rsidTr="002C1EC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0.1156</w:t>
            </w:r>
          </w:p>
        </w:tc>
      </w:tr>
      <w:tr w:rsidR="002C1EC8" w:rsidRPr="00414345" w:rsidTr="002C1EC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168,763,068.14</w:t>
            </w:r>
          </w:p>
        </w:tc>
      </w:tr>
      <w:tr w:rsidR="002C1EC8" w:rsidRPr="00414345" w:rsidTr="002C1EC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1.1443</w:t>
            </w:r>
          </w:p>
        </w:tc>
      </w:tr>
    </w:tbl>
    <w:p w:rsidR="001647DC" w:rsidRDefault="002C1EC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1647DC" w:rsidRDefault="002C1EC8">
      <w:pPr>
        <w:autoSpaceDE w:val="0"/>
        <w:autoSpaceDN w:val="0"/>
        <w:adjustRightInd w:val="0"/>
        <w:spacing w:before="29" w:line="288" w:lineRule="auto"/>
        <w:jc w:val="left"/>
        <w:rPr>
          <w:color w:val="000000"/>
          <w:sz w:val="24"/>
          <w:szCs w:val="24"/>
        </w:rPr>
      </w:pPr>
      <w:r>
        <w:rPr>
          <w:color w:val="000000"/>
          <w:sz w:val="24"/>
          <w:szCs w:val="24"/>
        </w:rPr>
        <w:t xml:space="preserve">    2</w:t>
      </w:r>
      <w:r>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647DC">
        <w:trPr>
          <w:jc w:val="center"/>
        </w:trPr>
        <w:tc>
          <w:tcPr>
            <w:tcW w:w="1701" w:type="dxa"/>
            <w:vAlign w:val="center"/>
          </w:tcPr>
          <w:p w:rsidR="001647DC" w:rsidRDefault="002C1EC8">
            <w:pPr>
              <w:jc w:val="left"/>
            </w:pPr>
            <w:r>
              <w:rPr>
                <w:color w:val="000000"/>
                <w:sz w:val="24"/>
                <w:szCs w:val="24"/>
              </w:rPr>
              <w:t>过去三个月</w:t>
            </w:r>
          </w:p>
        </w:tc>
        <w:tc>
          <w:tcPr>
            <w:tcW w:w="1045" w:type="dxa"/>
            <w:vAlign w:val="center"/>
          </w:tcPr>
          <w:p w:rsidR="001647DC" w:rsidRDefault="002C1EC8">
            <w:pPr>
              <w:jc w:val="center"/>
            </w:pPr>
            <w:r>
              <w:rPr>
                <w:color w:val="000000"/>
                <w:sz w:val="24"/>
                <w:szCs w:val="24"/>
              </w:rPr>
              <w:t>10.64%</w:t>
            </w:r>
          </w:p>
        </w:tc>
        <w:tc>
          <w:tcPr>
            <w:tcW w:w="1344" w:type="dxa"/>
            <w:vAlign w:val="center"/>
          </w:tcPr>
          <w:p w:rsidR="001647DC" w:rsidRDefault="002C1EC8">
            <w:pPr>
              <w:jc w:val="center"/>
            </w:pPr>
            <w:r>
              <w:rPr>
                <w:color w:val="000000"/>
                <w:sz w:val="24"/>
                <w:szCs w:val="24"/>
              </w:rPr>
              <w:t>0.93%</w:t>
            </w:r>
          </w:p>
        </w:tc>
        <w:tc>
          <w:tcPr>
            <w:tcW w:w="1194" w:type="dxa"/>
            <w:vAlign w:val="center"/>
          </w:tcPr>
          <w:p w:rsidR="001647DC" w:rsidRDefault="002C1EC8">
            <w:pPr>
              <w:jc w:val="center"/>
            </w:pPr>
            <w:r>
              <w:rPr>
                <w:color w:val="000000"/>
                <w:sz w:val="24"/>
                <w:szCs w:val="24"/>
              </w:rPr>
              <w:t>-2.44%</w:t>
            </w:r>
          </w:p>
        </w:tc>
        <w:tc>
          <w:tcPr>
            <w:tcW w:w="1492" w:type="dxa"/>
            <w:vAlign w:val="center"/>
          </w:tcPr>
          <w:p w:rsidR="001647DC" w:rsidRDefault="002C1EC8">
            <w:pPr>
              <w:jc w:val="center"/>
            </w:pPr>
            <w:r>
              <w:rPr>
                <w:color w:val="000000"/>
                <w:sz w:val="24"/>
                <w:szCs w:val="24"/>
              </w:rPr>
              <w:t>0.69%</w:t>
            </w:r>
          </w:p>
        </w:tc>
        <w:tc>
          <w:tcPr>
            <w:tcW w:w="1194" w:type="dxa"/>
            <w:vAlign w:val="center"/>
          </w:tcPr>
          <w:p w:rsidR="001647DC" w:rsidRDefault="002C1EC8">
            <w:pPr>
              <w:jc w:val="center"/>
            </w:pPr>
            <w:r>
              <w:rPr>
                <w:color w:val="000000"/>
                <w:sz w:val="24"/>
                <w:szCs w:val="24"/>
              </w:rPr>
              <w:t>13.08%</w:t>
            </w:r>
          </w:p>
        </w:tc>
        <w:tc>
          <w:tcPr>
            <w:tcW w:w="898" w:type="dxa"/>
            <w:vAlign w:val="center"/>
          </w:tcPr>
          <w:p w:rsidR="001647DC" w:rsidRDefault="002C1EC8">
            <w:pPr>
              <w:jc w:val="center"/>
            </w:pPr>
            <w:r>
              <w:rPr>
                <w:color w:val="000000"/>
                <w:sz w:val="24"/>
                <w:szCs w:val="24"/>
              </w:rPr>
              <w:t>0.24%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交银施罗德核心资产混合型证券投资基金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18</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647DC">
        <w:trPr>
          <w:jc w:val="center"/>
        </w:trPr>
        <w:tc>
          <w:tcPr>
            <w:tcW w:w="846" w:type="dxa"/>
            <w:vAlign w:val="center"/>
          </w:tcPr>
          <w:p w:rsidR="001647DC" w:rsidRDefault="002C1EC8">
            <w:pPr>
              <w:jc w:val="center"/>
            </w:pPr>
            <w:r>
              <w:rPr>
                <w:color w:val="000000"/>
                <w:sz w:val="24"/>
                <w:szCs w:val="24"/>
              </w:rPr>
              <w:t>陈俊华</w:t>
            </w:r>
          </w:p>
        </w:tc>
        <w:tc>
          <w:tcPr>
            <w:tcW w:w="845" w:type="dxa"/>
            <w:vAlign w:val="center"/>
          </w:tcPr>
          <w:p w:rsidR="001647DC" w:rsidRDefault="002C1EC8">
            <w:pPr>
              <w:jc w:val="center"/>
            </w:pPr>
            <w:r>
              <w:rPr>
                <w:color w:val="000000"/>
                <w:sz w:val="24"/>
                <w:szCs w:val="24"/>
              </w:rPr>
              <w:t>交银环球精选混合</w:t>
            </w:r>
            <w:r>
              <w:rPr>
                <w:color w:val="000000"/>
                <w:sz w:val="24"/>
                <w:szCs w:val="24"/>
              </w:rPr>
              <w:t>(QDII)</w:t>
            </w:r>
            <w:r>
              <w:rPr>
                <w:color w:val="000000"/>
                <w:sz w:val="24"/>
                <w:szCs w:val="24"/>
              </w:rPr>
              <w:t>、交银沪港深价值精选混合、交银核心资产混合的基金经理，公司跨境投资副总监</w:t>
            </w:r>
          </w:p>
        </w:tc>
        <w:tc>
          <w:tcPr>
            <w:tcW w:w="1549" w:type="dxa"/>
            <w:vAlign w:val="center"/>
          </w:tcPr>
          <w:p w:rsidR="001647DC" w:rsidRDefault="002C1EC8">
            <w:pPr>
              <w:jc w:val="center"/>
            </w:pPr>
            <w:r>
              <w:rPr>
                <w:color w:val="000000"/>
                <w:sz w:val="24"/>
                <w:szCs w:val="24"/>
              </w:rPr>
              <w:t>2019-01-18</w:t>
            </w:r>
          </w:p>
        </w:tc>
        <w:tc>
          <w:tcPr>
            <w:tcW w:w="1548" w:type="dxa"/>
            <w:vAlign w:val="center"/>
          </w:tcPr>
          <w:p w:rsidR="001647DC" w:rsidRDefault="002C1EC8">
            <w:pPr>
              <w:jc w:val="center"/>
            </w:pPr>
            <w:r>
              <w:rPr>
                <w:color w:val="000000"/>
                <w:sz w:val="24"/>
                <w:szCs w:val="24"/>
              </w:rPr>
              <w:t>-</w:t>
            </w:r>
          </w:p>
        </w:tc>
        <w:tc>
          <w:tcPr>
            <w:tcW w:w="1407" w:type="dxa"/>
            <w:vAlign w:val="center"/>
          </w:tcPr>
          <w:p w:rsidR="001647DC" w:rsidRDefault="002C1EC8">
            <w:pPr>
              <w:jc w:val="center"/>
            </w:pPr>
            <w:r>
              <w:rPr>
                <w:color w:val="000000"/>
                <w:sz w:val="24"/>
                <w:szCs w:val="24"/>
              </w:rPr>
              <w:t>14</w:t>
            </w:r>
            <w:r>
              <w:rPr>
                <w:color w:val="000000"/>
                <w:sz w:val="24"/>
                <w:szCs w:val="24"/>
              </w:rPr>
              <w:t>年</w:t>
            </w:r>
          </w:p>
        </w:tc>
        <w:tc>
          <w:tcPr>
            <w:tcW w:w="2673" w:type="dxa"/>
            <w:vAlign w:val="center"/>
          </w:tcPr>
          <w:p w:rsidR="001647DC" w:rsidRDefault="002C1EC8">
            <w:r>
              <w:rPr>
                <w:color w:val="000000"/>
                <w:sz w:val="24"/>
                <w:szCs w:val="24"/>
              </w:rPr>
              <w:t>陈俊华女士，中国国籍，上海交通大学金融学硕士。历任国泰君安证券研究部研究员、中国国际金融有限公司研究部公用事业组负责人。</w:t>
            </w:r>
            <w:r>
              <w:rPr>
                <w:color w:val="000000"/>
                <w:sz w:val="24"/>
                <w:szCs w:val="24"/>
              </w:rPr>
              <w:t>2015</w:t>
            </w:r>
            <w:r>
              <w:rPr>
                <w:color w:val="000000"/>
                <w:sz w:val="24"/>
                <w:szCs w:val="24"/>
              </w:rPr>
              <w:t>年加入交银施罗德基金管理有限公司。</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21</w:t>
            </w:r>
            <w:r>
              <w:rPr>
                <w:color w:val="000000"/>
                <w:sz w:val="24"/>
                <w:szCs w:val="24"/>
              </w:rPr>
              <w:t>日至</w:t>
            </w:r>
            <w:r>
              <w:rPr>
                <w:color w:val="000000"/>
                <w:sz w:val="24"/>
                <w:szCs w:val="24"/>
              </w:rPr>
              <w:t>2019</w:t>
            </w:r>
            <w:r>
              <w:rPr>
                <w:color w:val="000000"/>
                <w:sz w:val="24"/>
                <w:szCs w:val="24"/>
              </w:rPr>
              <w:t>年</w:t>
            </w:r>
            <w:r>
              <w:rPr>
                <w:color w:val="000000"/>
                <w:sz w:val="24"/>
                <w:szCs w:val="24"/>
              </w:rPr>
              <w:t>9</w:t>
            </w:r>
            <w:r>
              <w:rPr>
                <w:color w:val="000000"/>
                <w:sz w:val="24"/>
                <w:szCs w:val="24"/>
              </w:rPr>
              <w:t>月</w:t>
            </w:r>
            <w:r>
              <w:rPr>
                <w:color w:val="000000"/>
                <w:sz w:val="24"/>
                <w:szCs w:val="24"/>
              </w:rPr>
              <w:t>19</w:t>
            </w:r>
            <w:r>
              <w:rPr>
                <w:color w:val="000000"/>
                <w:sz w:val="24"/>
                <w:szCs w:val="24"/>
              </w:rPr>
              <w:t>日担任交银施罗德全球自然资源证券投资基金的基金经理。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647DC" w:rsidRDefault="002C1EC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647DC" w:rsidRDefault="002C1EC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647DC" w:rsidRDefault="002C1EC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647DC" w:rsidRDefault="002C1EC8">
      <w:pPr>
        <w:spacing w:before="29" w:line="288" w:lineRule="auto"/>
        <w:ind w:firstLineChars="200" w:firstLine="480"/>
        <w:rPr>
          <w:color w:val="000000"/>
          <w:sz w:val="24"/>
          <w:szCs w:val="24"/>
        </w:rPr>
      </w:pPr>
      <w:r>
        <w:rPr>
          <w:color w:val="000000"/>
          <w:sz w:val="24"/>
          <w:szCs w:val="24"/>
        </w:rPr>
        <w:t>2019</w:t>
      </w:r>
      <w:r>
        <w:rPr>
          <w:color w:val="000000"/>
          <w:sz w:val="24"/>
          <w:szCs w:val="24"/>
        </w:rPr>
        <w:t>年三季度，全球股市大部分下跌，仅有</w:t>
      </w:r>
      <w:r>
        <w:rPr>
          <w:color w:val="000000"/>
          <w:sz w:val="24"/>
          <w:szCs w:val="24"/>
        </w:rPr>
        <w:t>A</w:t>
      </w:r>
      <w:r>
        <w:rPr>
          <w:color w:val="000000"/>
          <w:sz w:val="24"/>
          <w:szCs w:val="24"/>
        </w:rPr>
        <w:t>股取得显著正收益。</w:t>
      </w:r>
      <w:r>
        <w:rPr>
          <w:color w:val="000000"/>
          <w:sz w:val="24"/>
          <w:szCs w:val="24"/>
        </w:rPr>
        <w:t>A</w:t>
      </w:r>
      <w:r>
        <w:rPr>
          <w:color w:val="000000"/>
          <w:sz w:val="24"/>
          <w:szCs w:val="24"/>
        </w:rPr>
        <w:t>股在科技板块的带动下，普遍取得正收益。海外投资者的关注点主要在于：经济衰退引发负利率，资金再次回流债市，风险偏好下降。港股受海外和本地因素影响更大，单三季度下跌超过</w:t>
      </w:r>
      <w:r>
        <w:rPr>
          <w:color w:val="000000"/>
          <w:sz w:val="24"/>
          <w:szCs w:val="24"/>
        </w:rPr>
        <w:t>5</w:t>
      </w:r>
      <w:r>
        <w:rPr>
          <w:color w:val="000000"/>
          <w:sz w:val="24"/>
          <w:szCs w:val="24"/>
        </w:rPr>
        <w:t>个点。</w:t>
      </w:r>
    </w:p>
    <w:p w:rsidR="001647DC" w:rsidRDefault="002C1EC8">
      <w:pPr>
        <w:spacing w:before="29" w:line="288" w:lineRule="auto"/>
        <w:ind w:firstLineChars="200" w:firstLine="480"/>
        <w:rPr>
          <w:color w:val="000000"/>
          <w:sz w:val="24"/>
          <w:szCs w:val="24"/>
        </w:rPr>
      </w:pPr>
      <w:r>
        <w:rPr>
          <w:color w:val="000000"/>
          <w:sz w:val="24"/>
          <w:szCs w:val="24"/>
        </w:rPr>
        <w:t>回顾</w:t>
      </w:r>
      <w:r>
        <w:rPr>
          <w:color w:val="000000"/>
          <w:sz w:val="24"/>
          <w:szCs w:val="24"/>
        </w:rPr>
        <w:t>2019</w:t>
      </w:r>
      <w:r>
        <w:rPr>
          <w:color w:val="000000"/>
          <w:sz w:val="24"/>
          <w:szCs w:val="24"/>
        </w:rPr>
        <w:t>年三季度，我们维持高仓位运行，优化消费、制造和科技板块的选股，更加集中向细分龙头配置，减少二线品种。从我们对于中报的回顾分析，我们发现：行业一线公司和二线公司的利润率趋势有了较为明显的差异。此外，我们注意到：五月开始的减税降费，已体现在部分公司的报表中。尽管收入增速下滑、竞争加剧，但企业毛利率并未发生恶化。未来上述趋势能否持续，值得我们进一步追踪。</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2019</w:t>
      </w:r>
      <w:r w:rsidRPr="00414345">
        <w:rPr>
          <w:color w:val="000000"/>
          <w:sz w:val="24"/>
          <w:szCs w:val="24"/>
        </w:rPr>
        <w:t>年四季度，我们谨慎乐观，将继续寻找在细分领域，拥有产业链竞争优势的企业，尤其是</w:t>
      </w:r>
      <w:r w:rsidRPr="00414345">
        <w:rPr>
          <w:color w:val="000000"/>
          <w:sz w:val="24"/>
          <w:szCs w:val="24"/>
        </w:rPr>
        <w:t>2020</w:t>
      </w:r>
      <w:r w:rsidRPr="00414345">
        <w:rPr>
          <w:color w:val="000000"/>
          <w:sz w:val="24"/>
          <w:szCs w:val="24"/>
        </w:rPr>
        <w:t>年公司基本面有加速改善潜质的企业。市场层面，</w:t>
      </w:r>
      <w:r w:rsidRPr="00414345">
        <w:rPr>
          <w:color w:val="000000"/>
          <w:sz w:val="24"/>
          <w:szCs w:val="24"/>
        </w:rPr>
        <w:t>A</w:t>
      </w:r>
      <w:r w:rsidRPr="00414345">
        <w:rPr>
          <w:color w:val="000000"/>
          <w:sz w:val="24"/>
          <w:szCs w:val="24"/>
        </w:rPr>
        <w:t>股短期涨幅较大，预计会有波动，港股仍在筑底、恢复阶段。中长期，我们仍比较乐观，流动性因素（利率边际难升、海外资金流动趋势未改）和基本面改善因素（</w:t>
      </w:r>
      <w:r w:rsidRPr="00414345">
        <w:rPr>
          <w:color w:val="000000"/>
          <w:sz w:val="24"/>
          <w:szCs w:val="24"/>
        </w:rPr>
        <w:t>“</w:t>
      </w:r>
      <w:r w:rsidRPr="00414345">
        <w:rPr>
          <w:color w:val="000000"/>
          <w:sz w:val="24"/>
          <w:szCs w:val="24"/>
        </w:rPr>
        <w:t>减税降费</w:t>
      </w:r>
      <w:r w:rsidRPr="00414345">
        <w:rPr>
          <w:color w:val="000000"/>
          <w:sz w:val="24"/>
          <w:szCs w:val="24"/>
        </w:rPr>
        <w:t>”</w:t>
      </w:r>
      <w:r w:rsidRPr="00414345">
        <w:rPr>
          <w:color w:val="000000"/>
          <w:sz w:val="24"/>
          <w:szCs w:val="24"/>
        </w:rPr>
        <w:t>和</w:t>
      </w:r>
      <w:r w:rsidRPr="00414345">
        <w:rPr>
          <w:color w:val="000000"/>
          <w:sz w:val="24"/>
          <w:szCs w:val="24"/>
        </w:rPr>
        <w:t>“</w:t>
      </w:r>
      <w:r w:rsidRPr="00414345">
        <w:rPr>
          <w:color w:val="000000"/>
          <w:sz w:val="24"/>
          <w:szCs w:val="24"/>
        </w:rPr>
        <w:t>龙头效应</w:t>
      </w:r>
      <w:r w:rsidRPr="00414345">
        <w:rPr>
          <w:color w:val="000000"/>
          <w:sz w:val="24"/>
          <w:szCs w:val="24"/>
        </w:rPr>
        <w:t>”</w:t>
      </w:r>
      <w:r w:rsidRPr="00414345">
        <w:rPr>
          <w:color w:val="000000"/>
          <w:sz w:val="24"/>
          <w:szCs w:val="24"/>
        </w:rPr>
        <w:t>仍在发生）继续向好，未来细分的行业龙头业绩仍有望好于预期。我们会继续在制造业、消费和科技领域寻找拥有竞争优势的公司。我们将继续勤勉尽责地积极调研，努力为投资人赚取回报。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140,445,313.27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81.96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140,445,313.27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81.96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9,997,000.00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5.83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9,997,000.00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5.83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12,917,195.13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7.54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8,006,485.29</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4.67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171,365,993.69</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55,819,259.61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8,081,300.00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6,676,000.00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19,965,129.40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18,096,092.00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68,028.32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108,705,809.33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64.41</w:t>
            </w:r>
          </w:p>
        </w:tc>
      </w:tr>
    </w:tbl>
    <w:p w:rsidR="002C1EC8" w:rsidRDefault="002C1EC8"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tbl>
      <w:tblPr>
        <w:tblpPr w:leftFromText="180" w:rightFromText="180" w:vertAnchor="text" w:tblpXSpec="center" w:tblpY="1"/>
        <w:tblOverlap w:val="never"/>
        <w:tblW w:w="8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F51C4E" w:rsidRPr="00FF0BBF" w:rsidTr="00BB4993">
        <w:tc>
          <w:tcPr>
            <w:tcW w:w="2397" w:type="dxa"/>
            <w:vAlign w:val="center"/>
          </w:tcPr>
          <w:p w:rsidR="00F51C4E" w:rsidRPr="00FF0BBF" w:rsidRDefault="00F51C4E" w:rsidP="00BB4993">
            <w:pPr>
              <w:spacing w:before="29" w:line="360" w:lineRule="auto"/>
              <w:ind w:left="17"/>
              <w:jc w:val="center"/>
              <w:rPr>
                <w:color w:val="000000"/>
                <w:sz w:val="24"/>
              </w:rPr>
            </w:pPr>
            <w:r w:rsidRPr="00FF0BBF">
              <w:rPr>
                <w:rFonts w:hint="eastAsia"/>
                <w:color w:val="000000"/>
                <w:sz w:val="24"/>
              </w:rPr>
              <w:t>行业类别</w:t>
            </w:r>
          </w:p>
        </w:tc>
        <w:tc>
          <w:tcPr>
            <w:tcW w:w="3119" w:type="dxa"/>
            <w:vAlign w:val="center"/>
          </w:tcPr>
          <w:p w:rsidR="00F51C4E" w:rsidRPr="00FF0BBF" w:rsidRDefault="00F51C4E" w:rsidP="00BB4993">
            <w:pPr>
              <w:spacing w:before="29" w:line="360" w:lineRule="auto"/>
              <w:ind w:left="17"/>
              <w:jc w:val="center"/>
              <w:rPr>
                <w:color w:val="000000"/>
                <w:sz w:val="24"/>
              </w:rPr>
            </w:pPr>
            <w:r w:rsidRPr="00FF0BBF">
              <w:rPr>
                <w:rFonts w:hint="eastAsia"/>
                <w:color w:val="000000"/>
                <w:sz w:val="24"/>
              </w:rPr>
              <w:t>公允价值（人民币）</w:t>
            </w:r>
          </w:p>
        </w:tc>
        <w:tc>
          <w:tcPr>
            <w:tcW w:w="3118" w:type="dxa"/>
            <w:vAlign w:val="center"/>
          </w:tcPr>
          <w:p w:rsidR="00F51C4E" w:rsidRPr="00FF0BBF" w:rsidRDefault="00F51C4E" w:rsidP="00BB4993">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1647DC" w:rsidTr="00BB4993">
        <w:tc>
          <w:tcPr>
            <w:tcW w:w="2397" w:type="dxa"/>
            <w:vAlign w:val="bottom"/>
          </w:tcPr>
          <w:p w:rsidR="001647DC" w:rsidRDefault="002C1EC8" w:rsidP="00BB4993">
            <w:pPr>
              <w:jc w:val="center"/>
            </w:pPr>
            <w:r>
              <w:rPr>
                <w:color w:val="000000"/>
                <w:sz w:val="24"/>
              </w:rPr>
              <w:t>信息技术</w:t>
            </w:r>
          </w:p>
        </w:tc>
        <w:tc>
          <w:tcPr>
            <w:tcW w:w="3119" w:type="dxa"/>
            <w:vAlign w:val="center"/>
          </w:tcPr>
          <w:p w:rsidR="001647DC" w:rsidRDefault="002C1EC8" w:rsidP="00BB4993">
            <w:pPr>
              <w:jc w:val="center"/>
            </w:pPr>
            <w:r>
              <w:rPr>
                <w:color w:val="000000"/>
                <w:sz w:val="24"/>
              </w:rPr>
              <w:t>10,391,155.20</w:t>
            </w:r>
          </w:p>
        </w:tc>
        <w:tc>
          <w:tcPr>
            <w:tcW w:w="3118" w:type="dxa"/>
            <w:vAlign w:val="center"/>
          </w:tcPr>
          <w:p w:rsidR="001647DC" w:rsidRDefault="002C1EC8" w:rsidP="00BB4993">
            <w:pPr>
              <w:jc w:val="center"/>
            </w:pPr>
            <w:r>
              <w:rPr>
                <w:color w:val="000000"/>
                <w:sz w:val="24"/>
              </w:rPr>
              <w:t>6.16</w:t>
            </w:r>
          </w:p>
        </w:tc>
      </w:tr>
      <w:tr w:rsidR="001647DC" w:rsidTr="00BB4993">
        <w:tc>
          <w:tcPr>
            <w:tcW w:w="2397" w:type="dxa"/>
            <w:vAlign w:val="bottom"/>
          </w:tcPr>
          <w:p w:rsidR="001647DC" w:rsidRDefault="002C1EC8" w:rsidP="00BB4993">
            <w:pPr>
              <w:jc w:val="center"/>
            </w:pPr>
            <w:r>
              <w:rPr>
                <w:color w:val="000000"/>
                <w:sz w:val="24"/>
              </w:rPr>
              <w:t>金融</w:t>
            </w:r>
          </w:p>
        </w:tc>
        <w:tc>
          <w:tcPr>
            <w:tcW w:w="3119" w:type="dxa"/>
            <w:vAlign w:val="center"/>
          </w:tcPr>
          <w:p w:rsidR="001647DC" w:rsidRDefault="002C1EC8" w:rsidP="00BB4993">
            <w:pPr>
              <w:jc w:val="center"/>
            </w:pPr>
            <w:r>
              <w:rPr>
                <w:color w:val="000000"/>
                <w:sz w:val="24"/>
              </w:rPr>
              <w:t>8,172,210.60</w:t>
            </w:r>
          </w:p>
        </w:tc>
        <w:tc>
          <w:tcPr>
            <w:tcW w:w="3118" w:type="dxa"/>
            <w:vAlign w:val="center"/>
          </w:tcPr>
          <w:p w:rsidR="001647DC" w:rsidRDefault="002C1EC8" w:rsidP="00BB4993">
            <w:pPr>
              <w:jc w:val="center"/>
            </w:pPr>
            <w:r>
              <w:rPr>
                <w:color w:val="000000"/>
                <w:sz w:val="24"/>
              </w:rPr>
              <w:t>4.84</w:t>
            </w:r>
          </w:p>
        </w:tc>
      </w:tr>
      <w:tr w:rsidR="001647DC" w:rsidTr="00BB4993">
        <w:tc>
          <w:tcPr>
            <w:tcW w:w="2397" w:type="dxa"/>
            <w:vAlign w:val="bottom"/>
          </w:tcPr>
          <w:p w:rsidR="001647DC" w:rsidRDefault="002C1EC8" w:rsidP="00BB4993">
            <w:pPr>
              <w:jc w:val="center"/>
            </w:pPr>
            <w:r>
              <w:rPr>
                <w:color w:val="000000"/>
                <w:sz w:val="24"/>
              </w:rPr>
              <w:t>非日常生活消费品</w:t>
            </w:r>
          </w:p>
        </w:tc>
        <w:tc>
          <w:tcPr>
            <w:tcW w:w="3119" w:type="dxa"/>
            <w:vAlign w:val="center"/>
          </w:tcPr>
          <w:p w:rsidR="001647DC" w:rsidRDefault="002C1EC8" w:rsidP="00BB4993">
            <w:pPr>
              <w:jc w:val="center"/>
            </w:pPr>
            <w:r>
              <w:rPr>
                <w:color w:val="000000"/>
                <w:sz w:val="24"/>
              </w:rPr>
              <w:t>6,765,075.00</w:t>
            </w:r>
          </w:p>
        </w:tc>
        <w:tc>
          <w:tcPr>
            <w:tcW w:w="3118" w:type="dxa"/>
            <w:vAlign w:val="center"/>
          </w:tcPr>
          <w:p w:rsidR="001647DC" w:rsidRDefault="002C1EC8" w:rsidP="00BB4993">
            <w:pPr>
              <w:jc w:val="center"/>
            </w:pPr>
            <w:r>
              <w:rPr>
                <w:color w:val="000000"/>
                <w:sz w:val="24"/>
              </w:rPr>
              <w:t>4.01</w:t>
            </w:r>
          </w:p>
        </w:tc>
      </w:tr>
      <w:tr w:rsidR="001647DC" w:rsidTr="00BB4993">
        <w:tc>
          <w:tcPr>
            <w:tcW w:w="2397" w:type="dxa"/>
            <w:vAlign w:val="bottom"/>
          </w:tcPr>
          <w:p w:rsidR="001647DC" w:rsidRDefault="002C1EC8" w:rsidP="00BB4993">
            <w:pPr>
              <w:jc w:val="center"/>
            </w:pPr>
            <w:r>
              <w:rPr>
                <w:color w:val="000000"/>
                <w:sz w:val="24"/>
              </w:rPr>
              <w:t>工业</w:t>
            </w:r>
          </w:p>
        </w:tc>
        <w:tc>
          <w:tcPr>
            <w:tcW w:w="3119" w:type="dxa"/>
            <w:vAlign w:val="center"/>
          </w:tcPr>
          <w:p w:rsidR="001647DC" w:rsidRDefault="002C1EC8" w:rsidP="00BB4993">
            <w:pPr>
              <w:jc w:val="center"/>
            </w:pPr>
            <w:r>
              <w:rPr>
                <w:color w:val="000000"/>
                <w:sz w:val="24"/>
              </w:rPr>
              <w:t>3,436,658.10</w:t>
            </w:r>
          </w:p>
        </w:tc>
        <w:tc>
          <w:tcPr>
            <w:tcW w:w="3118" w:type="dxa"/>
            <w:vAlign w:val="center"/>
          </w:tcPr>
          <w:p w:rsidR="001647DC" w:rsidRDefault="002C1EC8" w:rsidP="00BB4993">
            <w:pPr>
              <w:jc w:val="center"/>
            </w:pPr>
            <w:r>
              <w:rPr>
                <w:color w:val="000000"/>
                <w:sz w:val="24"/>
              </w:rPr>
              <w:t>2.04</w:t>
            </w:r>
          </w:p>
        </w:tc>
      </w:tr>
      <w:tr w:rsidR="001647DC" w:rsidTr="00BB4993">
        <w:tc>
          <w:tcPr>
            <w:tcW w:w="2397" w:type="dxa"/>
            <w:vAlign w:val="bottom"/>
          </w:tcPr>
          <w:p w:rsidR="001647DC" w:rsidRDefault="002C1EC8" w:rsidP="00BB4993">
            <w:pPr>
              <w:jc w:val="center"/>
            </w:pPr>
            <w:r>
              <w:rPr>
                <w:color w:val="000000"/>
                <w:sz w:val="24"/>
              </w:rPr>
              <w:t>能源</w:t>
            </w:r>
          </w:p>
        </w:tc>
        <w:tc>
          <w:tcPr>
            <w:tcW w:w="3119" w:type="dxa"/>
            <w:vAlign w:val="center"/>
          </w:tcPr>
          <w:p w:rsidR="001647DC" w:rsidRDefault="002C1EC8" w:rsidP="00BB4993">
            <w:pPr>
              <w:jc w:val="center"/>
            </w:pPr>
            <w:r>
              <w:rPr>
                <w:color w:val="000000"/>
                <w:sz w:val="24"/>
              </w:rPr>
              <w:t>2,974,405.04</w:t>
            </w:r>
          </w:p>
        </w:tc>
        <w:tc>
          <w:tcPr>
            <w:tcW w:w="3118" w:type="dxa"/>
            <w:vAlign w:val="center"/>
          </w:tcPr>
          <w:p w:rsidR="001647DC" w:rsidRDefault="002C1EC8" w:rsidP="00BB4993">
            <w:pPr>
              <w:jc w:val="center"/>
            </w:pPr>
            <w:r>
              <w:rPr>
                <w:color w:val="000000"/>
                <w:sz w:val="24"/>
              </w:rPr>
              <w:t>1.76</w:t>
            </w:r>
          </w:p>
        </w:tc>
      </w:tr>
      <w:tr w:rsidR="00F51C4E" w:rsidRPr="00FF0BBF" w:rsidTr="00BB4993">
        <w:tc>
          <w:tcPr>
            <w:tcW w:w="2397" w:type="dxa"/>
            <w:vAlign w:val="center"/>
          </w:tcPr>
          <w:p w:rsidR="00F51C4E" w:rsidRPr="00FF0BBF" w:rsidRDefault="00F51C4E" w:rsidP="00BB4993">
            <w:pPr>
              <w:spacing w:before="29" w:line="360" w:lineRule="auto"/>
              <w:ind w:left="17"/>
              <w:jc w:val="center"/>
              <w:rPr>
                <w:color w:val="000000"/>
                <w:sz w:val="24"/>
              </w:rPr>
            </w:pPr>
            <w:r w:rsidRPr="00FF0BBF">
              <w:rPr>
                <w:rFonts w:hint="eastAsia"/>
                <w:color w:val="000000"/>
                <w:sz w:val="24"/>
              </w:rPr>
              <w:t>合计</w:t>
            </w:r>
          </w:p>
        </w:tc>
        <w:tc>
          <w:tcPr>
            <w:tcW w:w="3119" w:type="dxa"/>
            <w:vAlign w:val="center"/>
          </w:tcPr>
          <w:p w:rsidR="00F51C4E" w:rsidRPr="00FF0BBF" w:rsidRDefault="00F51C4E" w:rsidP="00BB4993">
            <w:pPr>
              <w:spacing w:before="29" w:line="360" w:lineRule="auto"/>
              <w:ind w:left="17"/>
              <w:jc w:val="center"/>
              <w:rPr>
                <w:color w:val="000000"/>
                <w:sz w:val="24"/>
              </w:rPr>
            </w:pPr>
            <w:r w:rsidRPr="00FF0BBF">
              <w:rPr>
                <w:rFonts w:hint="eastAsia"/>
                <w:color w:val="000000"/>
                <w:sz w:val="24"/>
              </w:rPr>
              <w:t>31,739,503.94</w:t>
            </w:r>
          </w:p>
        </w:tc>
        <w:tc>
          <w:tcPr>
            <w:tcW w:w="3118" w:type="dxa"/>
            <w:vAlign w:val="center"/>
          </w:tcPr>
          <w:p w:rsidR="00F51C4E" w:rsidRPr="00FF0BBF" w:rsidRDefault="00F51C4E" w:rsidP="00BB4993">
            <w:pPr>
              <w:spacing w:before="29" w:line="360" w:lineRule="auto"/>
              <w:ind w:left="17"/>
              <w:jc w:val="center"/>
              <w:rPr>
                <w:color w:val="000000"/>
                <w:sz w:val="24"/>
              </w:rPr>
            </w:pPr>
            <w:r w:rsidRPr="00FF0BBF">
              <w:rPr>
                <w:rFonts w:hint="eastAsia"/>
                <w:color w:val="000000"/>
                <w:sz w:val="24"/>
              </w:rPr>
              <w:t>18.81</w:t>
            </w:r>
          </w:p>
        </w:tc>
      </w:tr>
    </w:tbl>
    <w:p w:rsidR="00F51C4E" w:rsidRDefault="00F51C4E" w:rsidP="00F51C4E">
      <w:pPr>
        <w:spacing w:before="29" w:line="360" w:lineRule="auto"/>
        <w:ind w:left="17"/>
        <w:rPr>
          <w:color w:val="000000"/>
          <w:sz w:val="24"/>
        </w:rPr>
      </w:pPr>
      <w:bookmarkStart w:id="0" w:name="_GoBack"/>
      <w:bookmarkEnd w:id="0"/>
      <w:r w:rsidRPr="00FF0BBF">
        <w:rPr>
          <w:color w:val="000000"/>
          <w:sz w:val="24"/>
        </w:rPr>
        <w:t>注：以上分类采用全球行业分类标准（</w:t>
      </w:r>
      <w:r w:rsidRPr="00FF0BBF">
        <w:rPr>
          <w:color w:val="000000"/>
          <w:sz w:val="24"/>
        </w:rPr>
        <w:t>GICS</w:t>
      </w:r>
      <w:r w:rsidRPr="00FF0BBF">
        <w:rPr>
          <w:color w:val="000000"/>
          <w:sz w:val="24"/>
        </w:rPr>
        <w:t>）。</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647DC">
        <w:trPr>
          <w:jc w:val="center"/>
        </w:trPr>
        <w:tc>
          <w:tcPr>
            <w:tcW w:w="855" w:type="dxa"/>
            <w:vAlign w:val="center"/>
          </w:tcPr>
          <w:p w:rsidR="001647DC" w:rsidRDefault="002C1EC8">
            <w:pPr>
              <w:jc w:val="center"/>
            </w:pPr>
            <w:r>
              <w:rPr>
                <w:color w:val="000000"/>
                <w:sz w:val="24"/>
                <w:szCs w:val="24"/>
              </w:rPr>
              <w:t>1</w:t>
            </w:r>
          </w:p>
        </w:tc>
        <w:tc>
          <w:tcPr>
            <w:tcW w:w="1334" w:type="dxa"/>
            <w:vAlign w:val="center"/>
          </w:tcPr>
          <w:p w:rsidR="001647DC" w:rsidRDefault="002C1EC8">
            <w:pPr>
              <w:jc w:val="center"/>
            </w:pPr>
            <w:r>
              <w:rPr>
                <w:color w:val="000000"/>
                <w:sz w:val="24"/>
                <w:szCs w:val="24"/>
              </w:rPr>
              <w:t>000651</w:t>
            </w:r>
          </w:p>
        </w:tc>
        <w:tc>
          <w:tcPr>
            <w:tcW w:w="1777" w:type="dxa"/>
            <w:vAlign w:val="center"/>
          </w:tcPr>
          <w:p w:rsidR="001647DC" w:rsidRDefault="002C1EC8">
            <w:pPr>
              <w:jc w:val="center"/>
            </w:pPr>
            <w:r>
              <w:rPr>
                <w:color w:val="000000"/>
                <w:sz w:val="24"/>
                <w:szCs w:val="24"/>
              </w:rPr>
              <w:t>格力电器</w:t>
            </w:r>
          </w:p>
        </w:tc>
        <w:tc>
          <w:tcPr>
            <w:tcW w:w="1334" w:type="dxa"/>
            <w:vAlign w:val="center"/>
          </w:tcPr>
          <w:p w:rsidR="001647DC" w:rsidRDefault="002C1EC8">
            <w:pPr>
              <w:jc w:val="right"/>
            </w:pPr>
            <w:r>
              <w:rPr>
                <w:color w:val="000000"/>
                <w:sz w:val="24"/>
                <w:szCs w:val="24"/>
              </w:rPr>
              <w:t>190,000</w:t>
            </w:r>
          </w:p>
        </w:tc>
        <w:tc>
          <w:tcPr>
            <w:tcW w:w="1924" w:type="dxa"/>
            <w:vAlign w:val="center"/>
          </w:tcPr>
          <w:p w:rsidR="001647DC" w:rsidRDefault="002C1EC8">
            <w:pPr>
              <w:jc w:val="right"/>
            </w:pPr>
            <w:r>
              <w:rPr>
                <w:color w:val="000000"/>
                <w:sz w:val="24"/>
                <w:szCs w:val="24"/>
              </w:rPr>
              <w:t>10,887,000.00</w:t>
            </w:r>
          </w:p>
        </w:tc>
        <w:tc>
          <w:tcPr>
            <w:tcW w:w="1644" w:type="dxa"/>
            <w:vAlign w:val="center"/>
          </w:tcPr>
          <w:p w:rsidR="001647DC" w:rsidRDefault="002C1EC8">
            <w:pPr>
              <w:jc w:val="right"/>
            </w:pPr>
            <w:r>
              <w:rPr>
                <w:color w:val="000000"/>
                <w:sz w:val="24"/>
                <w:szCs w:val="24"/>
              </w:rPr>
              <w:t>6.45</w:t>
            </w:r>
          </w:p>
        </w:tc>
      </w:tr>
      <w:tr w:rsidR="001647DC">
        <w:trPr>
          <w:jc w:val="center"/>
        </w:trPr>
        <w:tc>
          <w:tcPr>
            <w:tcW w:w="855" w:type="dxa"/>
            <w:vAlign w:val="center"/>
          </w:tcPr>
          <w:p w:rsidR="001647DC" w:rsidRDefault="002C1EC8">
            <w:pPr>
              <w:jc w:val="center"/>
            </w:pPr>
            <w:r>
              <w:rPr>
                <w:color w:val="000000"/>
                <w:sz w:val="24"/>
                <w:szCs w:val="24"/>
              </w:rPr>
              <w:t>2</w:t>
            </w:r>
          </w:p>
        </w:tc>
        <w:tc>
          <w:tcPr>
            <w:tcW w:w="1334" w:type="dxa"/>
            <w:vAlign w:val="center"/>
          </w:tcPr>
          <w:p w:rsidR="001647DC" w:rsidRDefault="002C1EC8">
            <w:pPr>
              <w:jc w:val="center"/>
            </w:pPr>
            <w:r>
              <w:rPr>
                <w:color w:val="000000"/>
                <w:sz w:val="24"/>
                <w:szCs w:val="24"/>
              </w:rPr>
              <w:t>002555</w:t>
            </w:r>
          </w:p>
        </w:tc>
        <w:tc>
          <w:tcPr>
            <w:tcW w:w="1777" w:type="dxa"/>
            <w:vAlign w:val="center"/>
          </w:tcPr>
          <w:p w:rsidR="001647DC" w:rsidRDefault="002C1EC8">
            <w:pPr>
              <w:jc w:val="center"/>
            </w:pPr>
            <w:r>
              <w:rPr>
                <w:color w:val="000000"/>
                <w:sz w:val="24"/>
                <w:szCs w:val="24"/>
              </w:rPr>
              <w:t>三七互娱</w:t>
            </w:r>
          </w:p>
        </w:tc>
        <w:tc>
          <w:tcPr>
            <w:tcW w:w="1334" w:type="dxa"/>
            <w:vAlign w:val="center"/>
          </w:tcPr>
          <w:p w:rsidR="001647DC" w:rsidRDefault="002C1EC8">
            <w:pPr>
              <w:jc w:val="right"/>
            </w:pPr>
            <w:r>
              <w:rPr>
                <w:color w:val="000000"/>
                <w:sz w:val="24"/>
                <w:szCs w:val="24"/>
              </w:rPr>
              <w:t>600,000</w:t>
            </w:r>
          </w:p>
        </w:tc>
        <w:tc>
          <w:tcPr>
            <w:tcW w:w="1924" w:type="dxa"/>
            <w:vAlign w:val="center"/>
          </w:tcPr>
          <w:p w:rsidR="001647DC" w:rsidRDefault="002C1EC8">
            <w:pPr>
              <w:jc w:val="right"/>
            </w:pPr>
            <w:r>
              <w:rPr>
                <w:color w:val="000000"/>
                <w:sz w:val="24"/>
                <w:szCs w:val="24"/>
              </w:rPr>
              <w:t>10,818,000.00</w:t>
            </w:r>
          </w:p>
        </w:tc>
        <w:tc>
          <w:tcPr>
            <w:tcW w:w="1644" w:type="dxa"/>
            <w:vAlign w:val="center"/>
          </w:tcPr>
          <w:p w:rsidR="001647DC" w:rsidRDefault="002C1EC8">
            <w:pPr>
              <w:jc w:val="right"/>
            </w:pPr>
            <w:r>
              <w:rPr>
                <w:color w:val="000000"/>
                <w:sz w:val="24"/>
                <w:szCs w:val="24"/>
              </w:rPr>
              <w:t>6.41</w:t>
            </w:r>
          </w:p>
        </w:tc>
      </w:tr>
      <w:tr w:rsidR="001647DC">
        <w:trPr>
          <w:jc w:val="center"/>
        </w:trPr>
        <w:tc>
          <w:tcPr>
            <w:tcW w:w="855" w:type="dxa"/>
            <w:vAlign w:val="center"/>
          </w:tcPr>
          <w:p w:rsidR="001647DC" w:rsidRDefault="002C1EC8">
            <w:pPr>
              <w:jc w:val="center"/>
            </w:pPr>
            <w:r>
              <w:rPr>
                <w:color w:val="000000"/>
                <w:sz w:val="24"/>
                <w:szCs w:val="24"/>
              </w:rPr>
              <w:t>3</w:t>
            </w:r>
          </w:p>
        </w:tc>
        <w:tc>
          <w:tcPr>
            <w:tcW w:w="1334" w:type="dxa"/>
            <w:vAlign w:val="center"/>
          </w:tcPr>
          <w:p w:rsidR="001647DC" w:rsidRDefault="002C1EC8">
            <w:pPr>
              <w:jc w:val="center"/>
            </w:pPr>
            <w:r>
              <w:rPr>
                <w:color w:val="000000"/>
                <w:sz w:val="24"/>
                <w:szCs w:val="24"/>
              </w:rPr>
              <w:t>02382.HK</w:t>
            </w:r>
          </w:p>
        </w:tc>
        <w:tc>
          <w:tcPr>
            <w:tcW w:w="1777" w:type="dxa"/>
            <w:vAlign w:val="center"/>
          </w:tcPr>
          <w:p w:rsidR="001647DC" w:rsidRDefault="002C1EC8">
            <w:pPr>
              <w:jc w:val="center"/>
            </w:pPr>
            <w:r>
              <w:rPr>
                <w:color w:val="000000"/>
                <w:sz w:val="24"/>
                <w:szCs w:val="24"/>
              </w:rPr>
              <w:t>舜宇光学科技</w:t>
            </w:r>
          </w:p>
        </w:tc>
        <w:tc>
          <w:tcPr>
            <w:tcW w:w="1334" w:type="dxa"/>
            <w:vAlign w:val="center"/>
          </w:tcPr>
          <w:p w:rsidR="001647DC" w:rsidRDefault="002C1EC8">
            <w:pPr>
              <w:jc w:val="right"/>
            </w:pPr>
            <w:r>
              <w:rPr>
                <w:color w:val="000000"/>
                <w:sz w:val="24"/>
                <w:szCs w:val="24"/>
              </w:rPr>
              <w:t>100,000</w:t>
            </w:r>
          </w:p>
        </w:tc>
        <w:tc>
          <w:tcPr>
            <w:tcW w:w="1924" w:type="dxa"/>
            <w:vAlign w:val="center"/>
          </w:tcPr>
          <w:p w:rsidR="001647DC" w:rsidRDefault="002C1EC8">
            <w:pPr>
              <w:jc w:val="right"/>
            </w:pPr>
            <w:r>
              <w:rPr>
                <w:color w:val="000000"/>
                <w:sz w:val="24"/>
                <w:szCs w:val="24"/>
              </w:rPr>
              <w:t>10,391,155.20</w:t>
            </w:r>
          </w:p>
        </w:tc>
        <w:tc>
          <w:tcPr>
            <w:tcW w:w="1644" w:type="dxa"/>
            <w:vAlign w:val="center"/>
          </w:tcPr>
          <w:p w:rsidR="001647DC" w:rsidRDefault="002C1EC8">
            <w:pPr>
              <w:jc w:val="right"/>
            </w:pPr>
            <w:r>
              <w:rPr>
                <w:color w:val="000000"/>
                <w:sz w:val="24"/>
                <w:szCs w:val="24"/>
              </w:rPr>
              <w:t>6.16</w:t>
            </w:r>
          </w:p>
        </w:tc>
      </w:tr>
      <w:tr w:rsidR="001647DC">
        <w:trPr>
          <w:jc w:val="center"/>
        </w:trPr>
        <w:tc>
          <w:tcPr>
            <w:tcW w:w="855" w:type="dxa"/>
            <w:vAlign w:val="center"/>
          </w:tcPr>
          <w:p w:rsidR="001647DC" w:rsidRDefault="002C1EC8">
            <w:pPr>
              <w:jc w:val="center"/>
            </w:pPr>
            <w:r>
              <w:rPr>
                <w:color w:val="000000"/>
                <w:sz w:val="24"/>
                <w:szCs w:val="24"/>
              </w:rPr>
              <w:t>4</w:t>
            </w:r>
          </w:p>
        </w:tc>
        <w:tc>
          <w:tcPr>
            <w:tcW w:w="1334" w:type="dxa"/>
            <w:vAlign w:val="center"/>
          </w:tcPr>
          <w:p w:rsidR="001647DC" w:rsidRDefault="002C1EC8">
            <w:pPr>
              <w:jc w:val="center"/>
            </w:pPr>
            <w:r>
              <w:rPr>
                <w:color w:val="000000"/>
                <w:sz w:val="24"/>
                <w:szCs w:val="24"/>
              </w:rPr>
              <w:t>002475</w:t>
            </w:r>
          </w:p>
        </w:tc>
        <w:tc>
          <w:tcPr>
            <w:tcW w:w="1777" w:type="dxa"/>
            <w:vAlign w:val="center"/>
          </w:tcPr>
          <w:p w:rsidR="001647DC" w:rsidRDefault="002C1EC8">
            <w:pPr>
              <w:jc w:val="center"/>
            </w:pPr>
            <w:r>
              <w:rPr>
                <w:color w:val="000000"/>
                <w:sz w:val="24"/>
                <w:szCs w:val="24"/>
              </w:rPr>
              <w:t>立讯精密</w:t>
            </w:r>
          </w:p>
        </w:tc>
        <w:tc>
          <w:tcPr>
            <w:tcW w:w="1334" w:type="dxa"/>
            <w:vAlign w:val="center"/>
          </w:tcPr>
          <w:p w:rsidR="001647DC" w:rsidRDefault="002C1EC8">
            <w:pPr>
              <w:jc w:val="right"/>
            </w:pPr>
            <w:r>
              <w:rPr>
                <w:color w:val="000000"/>
                <w:sz w:val="24"/>
                <w:szCs w:val="24"/>
              </w:rPr>
              <w:t>300,000</w:t>
            </w:r>
          </w:p>
        </w:tc>
        <w:tc>
          <w:tcPr>
            <w:tcW w:w="1924" w:type="dxa"/>
            <w:vAlign w:val="center"/>
          </w:tcPr>
          <w:p w:rsidR="001647DC" w:rsidRDefault="002C1EC8">
            <w:pPr>
              <w:jc w:val="right"/>
            </w:pPr>
            <w:r>
              <w:rPr>
                <w:color w:val="000000"/>
                <w:sz w:val="24"/>
                <w:szCs w:val="24"/>
              </w:rPr>
              <w:t>8,028,000.00</w:t>
            </w:r>
          </w:p>
        </w:tc>
        <w:tc>
          <w:tcPr>
            <w:tcW w:w="1644" w:type="dxa"/>
            <w:vAlign w:val="center"/>
          </w:tcPr>
          <w:p w:rsidR="001647DC" w:rsidRDefault="002C1EC8">
            <w:pPr>
              <w:jc w:val="right"/>
            </w:pPr>
            <w:r>
              <w:rPr>
                <w:color w:val="000000"/>
                <w:sz w:val="24"/>
                <w:szCs w:val="24"/>
              </w:rPr>
              <w:t>4.76</w:t>
            </w:r>
          </w:p>
        </w:tc>
      </w:tr>
      <w:tr w:rsidR="001647DC">
        <w:trPr>
          <w:jc w:val="center"/>
        </w:trPr>
        <w:tc>
          <w:tcPr>
            <w:tcW w:w="855" w:type="dxa"/>
            <w:vAlign w:val="center"/>
          </w:tcPr>
          <w:p w:rsidR="001647DC" w:rsidRDefault="002C1EC8">
            <w:pPr>
              <w:jc w:val="center"/>
            </w:pPr>
            <w:r>
              <w:rPr>
                <w:color w:val="000000"/>
                <w:sz w:val="24"/>
                <w:szCs w:val="24"/>
              </w:rPr>
              <w:t>5</w:t>
            </w:r>
          </w:p>
        </w:tc>
        <w:tc>
          <w:tcPr>
            <w:tcW w:w="1334" w:type="dxa"/>
            <w:vAlign w:val="center"/>
          </w:tcPr>
          <w:p w:rsidR="001647DC" w:rsidRDefault="002C1EC8">
            <w:pPr>
              <w:jc w:val="center"/>
            </w:pPr>
            <w:r>
              <w:rPr>
                <w:color w:val="000000"/>
                <w:sz w:val="24"/>
                <w:szCs w:val="24"/>
              </w:rPr>
              <w:t>600276</w:t>
            </w:r>
          </w:p>
        </w:tc>
        <w:tc>
          <w:tcPr>
            <w:tcW w:w="1777" w:type="dxa"/>
            <w:vAlign w:val="center"/>
          </w:tcPr>
          <w:p w:rsidR="001647DC" w:rsidRDefault="002C1EC8">
            <w:pPr>
              <w:jc w:val="center"/>
            </w:pPr>
            <w:r>
              <w:rPr>
                <w:color w:val="000000"/>
                <w:sz w:val="24"/>
                <w:szCs w:val="24"/>
              </w:rPr>
              <w:t>恒瑞医药</w:t>
            </w:r>
          </w:p>
        </w:tc>
        <w:tc>
          <w:tcPr>
            <w:tcW w:w="1334" w:type="dxa"/>
            <w:vAlign w:val="center"/>
          </w:tcPr>
          <w:p w:rsidR="001647DC" w:rsidRDefault="002C1EC8">
            <w:pPr>
              <w:jc w:val="right"/>
            </w:pPr>
            <w:r>
              <w:rPr>
                <w:color w:val="000000"/>
                <w:sz w:val="24"/>
                <w:szCs w:val="24"/>
              </w:rPr>
              <w:t>90,000</w:t>
            </w:r>
          </w:p>
        </w:tc>
        <w:tc>
          <w:tcPr>
            <w:tcW w:w="1924" w:type="dxa"/>
            <w:vAlign w:val="center"/>
          </w:tcPr>
          <w:p w:rsidR="001647DC" w:rsidRDefault="002C1EC8">
            <w:pPr>
              <w:jc w:val="right"/>
            </w:pPr>
            <w:r>
              <w:rPr>
                <w:color w:val="000000"/>
                <w:sz w:val="24"/>
                <w:szCs w:val="24"/>
              </w:rPr>
              <w:t>7,261,200.00</w:t>
            </w:r>
          </w:p>
        </w:tc>
        <w:tc>
          <w:tcPr>
            <w:tcW w:w="1644" w:type="dxa"/>
            <w:vAlign w:val="center"/>
          </w:tcPr>
          <w:p w:rsidR="001647DC" w:rsidRDefault="002C1EC8">
            <w:pPr>
              <w:jc w:val="right"/>
            </w:pPr>
            <w:r>
              <w:rPr>
                <w:color w:val="000000"/>
                <w:sz w:val="24"/>
                <w:szCs w:val="24"/>
              </w:rPr>
              <w:t>4.30</w:t>
            </w:r>
          </w:p>
        </w:tc>
      </w:tr>
      <w:tr w:rsidR="001647DC">
        <w:trPr>
          <w:jc w:val="center"/>
        </w:trPr>
        <w:tc>
          <w:tcPr>
            <w:tcW w:w="855" w:type="dxa"/>
            <w:vAlign w:val="center"/>
          </w:tcPr>
          <w:p w:rsidR="001647DC" w:rsidRDefault="002C1EC8">
            <w:pPr>
              <w:jc w:val="center"/>
            </w:pPr>
            <w:r>
              <w:rPr>
                <w:color w:val="000000"/>
                <w:sz w:val="24"/>
                <w:szCs w:val="24"/>
              </w:rPr>
              <w:t>6</w:t>
            </w:r>
          </w:p>
        </w:tc>
        <w:tc>
          <w:tcPr>
            <w:tcW w:w="1334" w:type="dxa"/>
            <w:vAlign w:val="center"/>
          </w:tcPr>
          <w:p w:rsidR="001647DC" w:rsidRDefault="002C1EC8">
            <w:pPr>
              <w:jc w:val="center"/>
            </w:pPr>
            <w:r>
              <w:rPr>
                <w:color w:val="000000"/>
                <w:sz w:val="24"/>
                <w:szCs w:val="24"/>
              </w:rPr>
              <w:t>601318</w:t>
            </w:r>
          </w:p>
        </w:tc>
        <w:tc>
          <w:tcPr>
            <w:tcW w:w="1777" w:type="dxa"/>
            <w:vAlign w:val="center"/>
          </w:tcPr>
          <w:p w:rsidR="001647DC" w:rsidRDefault="002C1EC8">
            <w:pPr>
              <w:jc w:val="center"/>
            </w:pPr>
            <w:r>
              <w:rPr>
                <w:color w:val="000000"/>
                <w:sz w:val="24"/>
                <w:szCs w:val="24"/>
              </w:rPr>
              <w:t>中国平安</w:t>
            </w:r>
          </w:p>
        </w:tc>
        <w:tc>
          <w:tcPr>
            <w:tcW w:w="1334" w:type="dxa"/>
            <w:vAlign w:val="center"/>
          </w:tcPr>
          <w:p w:rsidR="001647DC" w:rsidRDefault="002C1EC8">
            <w:pPr>
              <w:jc w:val="right"/>
            </w:pPr>
            <w:r>
              <w:rPr>
                <w:color w:val="000000"/>
                <w:sz w:val="24"/>
                <w:szCs w:val="24"/>
              </w:rPr>
              <w:t>80,000</w:t>
            </w:r>
          </w:p>
        </w:tc>
        <w:tc>
          <w:tcPr>
            <w:tcW w:w="1924" w:type="dxa"/>
            <w:vAlign w:val="center"/>
          </w:tcPr>
          <w:p w:rsidR="001647DC" w:rsidRDefault="002C1EC8">
            <w:pPr>
              <w:jc w:val="right"/>
            </w:pPr>
            <w:r>
              <w:rPr>
                <w:color w:val="000000"/>
                <w:sz w:val="24"/>
                <w:szCs w:val="24"/>
              </w:rPr>
              <w:t>6,963,200.00</w:t>
            </w:r>
          </w:p>
        </w:tc>
        <w:tc>
          <w:tcPr>
            <w:tcW w:w="1644" w:type="dxa"/>
            <w:vAlign w:val="center"/>
          </w:tcPr>
          <w:p w:rsidR="001647DC" w:rsidRDefault="002C1EC8">
            <w:pPr>
              <w:jc w:val="right"/>
            </w:pPr>
            <w:r>
              <w:rPr>
                <w:color w:val="000000"/>
                <w:sz w:val="24"/>
                <w:szCs w:val="24"/>
              </w:rPr>
              <w:t>4.13</w:t>
            </w:r>
          </w:p>
        </w:tc>
      </w:tr>
      <w:tr w:rsidR="001647DC">
        <w:trPr>
          <w:jc w:val="center"/>
        </w:trPr>
        <w:tc>
          <w:tcPr>
            <w:tcW w:w="855" w:type="dxa"/>
            <w:vAlign w:val="center"/>
          </w:tcPr>
          <w:p w:rsidR="001647DC" w:rsidRDefault="002C1EC8">
            <w:pPr>
              <w:jc w:val="center"/>
            </w:pPr>
            <w:r>
              <w:rPr>
                <w:color w:val="000000"/>
                <w:sz w:val="24"/>
                <w:szCs w:val="24"/>
              </w:rPr>
              <w:t>7</w:t>
            </w:r>
          </w:p>
        </w:tc>
        <w:tc>
          <w:tcPr>
            <w:tcW w:w="1334" w:type="dxa"/>
            <w:vAlign w:val="center"/>
          </w:tcPr>
          <w:p w:rsidR="001647DC" w:rsidRDefault="002C1EC8">
            <w:pPr>
              <w:jc w:val="center"/>
            </w:pPr>
            <w:r>
              <w:rPr>
                <w:color w:val="000000"/>
                <w:sz w:val="24"/>
                <w:szCs w:val="24"/>
              </w:rPr>
              <w:t>600036</w:t>
            </w:r>
          </w:p>
        </w:tc>
        <w:tc>
          <w:tcPr>
            <w:tcW w:w="1777" w:type="dxa"/>
            <w:vAlign w:val="center"/>
          </w:tcPr>
          <w:p w:rsidR="001647DC" w:rsidRDefault="002C1EC8">
            <w:pPr>
              <w:jc w:val="center"/>
            </w:pPr>
            <w:r>
              <w:rPr>
                <w:color w:val="000000"/>
                <w:sz w:val="24"/>
                <w:szCs w:val="24"/>
              </w:rPr>
              <w:t>招商银行</w:t>
            </w:r>
          </w:p>
        </w:tc>
        <w:tc>
          <w:tcPr>
            <w:tcW w:w="1334" w:type="dxa"/>
            <w:vAlign w:val="center"/>
          </w:tcPr>
          <w:p w:rsidR="001647DC" w:rsidRDefault="002C1EC8">
            <w:pPr>
              <w:jc w:val="right"/>
            </w:pPr>
            <w:r>
              <w:rPr>
                <w:color w:val="000000"/>
                <w:sz w:val="24"/>
                <w:szCs w:val="24"/>
              </w:rPr>
              <w:t>200,000</w:t>
            </w:r>
          </w:p>
        </w:tc>
        <w:tc>
          <w:tcPr>
            <w:tcW w:w="1924" w:type="dxa"/>
            <w:vAlign w:val="center"/>
          </w:tcPr>
          <w:p w:rsidR="001647DC" w:rsidRDefault="002C1EC8">
            <w:pPr>
              <w:jc w:val="right"/>
            </w:pPr>
            <w:r>
              <w:rPr>
                <w:color w:val="000000"/>
                <w:sz w:val="24"/>
                <w:szCs w:val="24"/>
              </w:rPr>
              <w:t>6,950,000.00</w:t>
            </w:r>
          </w:p>
        </w:tc>
        <w:tc>
          <w:tcPr>
            <w:tcW w:w="1644" w:type="dxa"/>
            <w:vAlign w:val="center"/>
          </w:tcPr>
          <w:p w:rsidR="001647DC" w:rsidRDefault="002C1EC8">
            <w:pPr>
              <w:jc w:val="right"/>
            </w:pPr>
            <w:r>
              <w:rPr>
                <w:color w:val="000000"/>
                <w:sz w:val="24"/>
                <w:szCs w:val="24"/>
              </w:rPr>
              <w:t>4.12</w:t>
            </w:r>
          </w:p>
        </w:tc>
      </w:tr>
      <w:tr w:rsidR="001647DC">
        <w:trPr>
          <w:jc w:val="center"/>
        </w:trPr>
        <w:tc>
          <w:tcPr>
            <w:tcW w:w="855" w:type="dxa"/>
            <w:vAlign w:val="center"/>
          </w:tcPr>
          <w:p w:rsidR="001647DC" w:rsidRDefault="002C1EC8">
            <w:pPr>
              <w:jc w:val="center"/>
            </w:pPr>
            <w:r>
              <w:rPr>
                <w:color w:val="000000"/>
                <w:sz w:val="24"/>
                <w:szCs w:val="24"/>
              </w:rPr>
              <w:t>8</w:t>
            </w:r>
          </w:p>
        </w:tc>
        <w:tc>
          <w:tcPr>
            <w:tcW w:w="1334" w:type="dxa"/>
            <w:vAlign w:val="center"/>
          </w:tcPr>
          <w:p w:rsidR="001647DC" w:rsidRDefault="002C1EC8">
            <w:pPr>
              <w:jc w:val="center"/>
            </w:pPr>
            <w:r>
              <w:rPr>
                <w:color w:val="000000"/>
                <w:sz w:val="24"/>
                <w:szCs w:val="24"/>
              </w:rPr>
              <w:t>02238.HK</w:t>
            </w:r>
          </w:p>
        </w:tc>
        <w:tc>
          <w:tcPr>
            <w:tcW w:w="1777" w:type="dxa"/>
            <w:vAlign w:val="center"/>
          </w:tcPr>
          <w:p w:rsidR="001647DC" w:rsidRDefault="002C1EC8">
            <w:pPr>
              <w:jc w:val="center"/>
            </w:pPr>
            <w:r>
              <w:rPr>
                <w:color w:val="000000"/>
                <w:sz w:val="24"/>
                <w:szCs w:val="24"/>
              </w:rPr>
              <w:t>广汽集团</w:t>
            </w:r>
          </w:p>
        </w:tc>
        <w:tc>
          <w:tcPr>
            <w:tcW w:w="1334" w:type="dxa"/>
            <w:vAlign w:val="center"/>
          </w:tcPr>
          <w:p w:rsidR="001647DC" w:rsidRDefault="002C1EC8">
            <w:pPr>
              <w:jc w:val="right"/>
            </w:pPr>
            <w:r>
              <w:rPr>
                <w:color w:val="000000"/>
                <w:sz w:val="24"/>
                <w:szCs w:val="24"/>
              </w:rPr>
              <w:t>1,000,000</w:t>
            </w:r>
          </w:p>
        </w:tc>
        <w:tc>
          <w:tcPr>
            <w:tcW w:w="1924" w:type="dxa"/>
            <w:vAlign w:val="center"/>
          </w:tcPr>
          <w:p w:rsidR="001647DC" w:rsidRDefault="002C1EC8">
            <w:pPr>
              <w:jc w:val="right"/>
            </w:pPr>
            <w:r>
              <w:rPr>
                <w:color w:val="000000"/>
                <w:sz w:val="24"/>
                <w:szCs w:val="24"/>
              </w:rPr>
              <w:t>6,765,075.00</w:t>
            </w:r>
          </w:p>
        </w:tc>
        <w:tc>
          <w:tcPr>
            <w:tcW w:w="1644" w:type="dxa"/>
            <w:vAlign w:val="center"/>
          </w:tcPr>
          <w:p w:rsidR="001647DC" w:rsidRDefault="002C1EC8">
            <w:pPr>
              <w:jc w:val="right"/>
            </w:pPr>
            <w:r>
              <w:rPr>
                <w:color w:val="000000"/>
                <w:sz w:val="24"/>
                <w:szCs w:val="24"/>
              </w:rPr>
              <w:t>4.01</w:t>
            </w:r>
          </w:p>
        </w:tc>
      </w:tr>
      <w:tr w:rsidR="001647DC">
        <w:trPr>
          <w:jc w:val="center"/>
        </w:trPr>
        <w:tc>
          <w:tcPr>
            <w:tcW w:w="855" w:type="dxa"/>
            <w:vAlign w:val="center"/>
          </w:tcPr>
          <w:p w:rsidR="001647DC" w:rsidRDefault="002C1EC8">
            <w:pPr>
              <w:jc w:val="center"/>
            </w:pPr>
            <w:r>
              <w:rPr>
                <w:color w:val="000000"/>
                <w:sz w:val="24"/>
                <w:szCs w:val="24"/>
              </w:rPr>
              <w:t>9</w:t>
            </w:r>
          </w:p>
        </w:tc>
        <w:tc>
          <w:tcPr>
            <w:tcW w:w="1334" w:type="dxa"/>
            <w:vAlign w:val="center"/>
          </w:tcPr>
          <w:p w:rsidR="001647DC" w:rsidRDefault="002C1EC8">
            <w:pPr>
              <w:jc w:val="center"/>
            </w:pPr>
            <w:r>
              <w:rPr>
                <w:color w:val="000000"/>
                <w:sz w:val="24"/>
                <w:szCs w:val="24"/>
              </w:rPr>
              <w:t>300207</w:t>
            </w:r>
          </w:p>
        </w:tc>
        <w:tc>
          <w:tcPr>
            <w:tcW w:w="1777" w:type="dxa"/>
            <w:vAlign w:val="center"/>
          </w:tcPr>
          <w:p w:rsidR="001647DC" w:rsidRDefault="002C1EC8">
            <w:pPr>
              <w:jc w:val="center"/>
            </w:pPr>
            <w:r>
              <w:rPr>
                <w:color w:val="000000"/>
                <w:sz w:val="24"/>
                <w:szCs w:val="24"/>
              </w:rPr>
              <w:t>欣旺达</w:t>
            </w:r>
          </w:p>
        </w:tc>
        <w:tc>
          <w:tcPr>
            <w:tcW w:w="1334" w:type="dxa"/>
            <w:vAlign w:val="center"/>
          </w:tcPr>
          <w:p w:rsidR="001647DC" w:rsidRDefault="002C1EC8">
            <w:pPr>
              <w:jc w:val="right"/>
            </w:pPr>
            <w:r>
              <w:rPr>
                <w:color w:val="000000"/>
                <w:sz w:val="24"/>
                <w:szCs w:val="24"/>
              </w:rPr>
              <w:t>400,000</w:t>
            </w:r>
          </w:p>
        </w:tc>
        <w:tc>
          <w:tcPr>
            <w:tcW w:w="1924" w:type="dxa"/>
            <w:vAlign w:val="center"/>
          </w:tcPr>
          <w:p w:rsidR="001647DC" w:rsidRDefault="002C1EC8">
            <w:pPr>
              <w:jc w:val="right"/>
            </w:pPr>
            <w:r>
              <w:rPr>
                <w:color w:val="000000"/>
                <w:sz w:val="24"/>
                <w:szCs w:val="24"/>
              </w:rPr>
              <w:t>6,060,000.00</w:t>
            </w:r>
          </w:p>
        </w:tc>
        <w:tc>
          <w:tcPr>
            <w:tcW w:w="1644" w:type="dxa"/>
            <w:vAlign w:val="center"/>
          </w:tcPr>
          <w:p w:rsidR="001647DC" w:rsidRDefault="002C1EC8">
            <w:pPr>
              <w:jc w:val="right"/>
            </w:pPr>
            <w:r>
              <w:rPr>
                <w:color w:val="000000"/>
                <w:sz w:val="24"/>
                <w:szCs w:val="24"/>
              </w:rPr>
              <w:t>3.59</w:t>
            </w:r>
          </w:p>
        </w:tc>
      </w:tr>
      <w:tr w:rsidR="001647DC">
        <w:trPr>
          <w:jc w:val="center"/>
        </w:trPr>
        <w:tc>
          <w:tcPr>
            <w:tcW w:w="855" w:type="dxa"/>
            <w:vAlign w:val="center"/>
          </w:tcPr>
          <w:p w:rsidR="001647DC" w:rsidRDefault="002C1EC8">
            <w:pPr>
              <w:jc w:val="center"/>
            </w:pPr>
            <w:r>
              <w:rPr>
                <w:color w:val="000000"/>
                <w:sz w:val="24"/>
                <w:szCs w:val="24"/>
              </w:rPr>
              <w:t>10</w:t>
            </w:r>
          </w:p>
        </w:tc>
        <w:tc>
          <w:tcPr>
            <w:tcW w:w="1334" w:type="dxa"/>
            <w:vAlign w:val="center"/>
          </w:tcPr>
          <w:p w:rsidR="001647DC" w:rsidRDefault="002C1EC8">
            <w:pPr>
              <w:jc w:val="center"/>
            </w:pPr>
            <w:r>
              <w:rPr>
                <w:color w:val="000000"/>
                <w:sz w:val="24"/>
                <w:szCs w:val="24"/>
              </w:rPr>
              <w:t>600406</w:t>
            </w:r>
          </w:p>
        </w:tc>
        <w:tc>
          <w:tcPr>
            <w:tcW w:w="1777" w:type="dxa"/>
            <w:vAlign w:val="center"/>
          </w:tcPr>
          <w:p w:rsidR="001647DC" w:rsidRDefault="002C1EC8">
            <w:pPr>
              <w:jc w:val="center"/>
            </w:pPr>
            <w:r>
              <w:rPr>
                <w:color w:val="000000"/>
                <w:sz w:val="24"/>
                <w:szCs w:val="24"/>
              </w:rPr>
              <w:t>国电南瑞</w:t>
            </w:r>
          </w:p>
        </w:tc>
        <w:tc>
          <w:tcPr>
            <w:tcW w:w="1334" w:type="dxa"/>
            <w:vAlign w:val="center"/>
          </w:tcPr>
          <w:p w:rsidR="001647DC" w:rsidRDefault="002C1EC8">
            <w:pPr>
              <w:jc w:val="right"/>
            </w:pPr>
            <w:r>
              <w:rPr>
                <w:color w:val="000000"/>
                <w:sz w:val="24"/>
                <w:szCs w:val="24"/>
              </w:rPr>
              <w:t>280,000</w:t>
            </w:r>
          </w:p>
        </w:tc>
        <w:tc>
          <w:tcPr>
            <w:tcW w:w="1924" w:type="dxa"/>
            <w:vAlign w:val="center"/>
          </w:tcPr>
          <w:p w:rsidR="001647DC" w:rsidRDefault="002C1EC8">
            <w:pPr>
              <w:jc w:val="right"/>
            </w:pPr>
            <w:r>
              <w:rPr>
                <w:color w:val="000000"/>
                <w:sz w:val="24"/>
                <w:szCs w:val="24"/>
              </w:rPr>
              <w:t>5,726,000.00</w:t>
            </w:r>
          </w:p>
        </w:tc>
        <w:tc>
          <w:tcPr>
            <w:tcW w:w="1644" w:type="dxa"/>
            <w:vAlign w:val="center"/>
          </w:tcPr>
          <w:p w:rsidR="001647DC" w:rsidRDefault="002C1EC8">
            <w:pPr>
              <w:jc w:val="right"/>
            </w:pPr>
            <w:r>
              <w:rPr>
                <w:color w:val="000000"/>
                <w:sz w:val="24"/>
                <w:szCs w:val="24"/>
              </w:rPr>
              <w:t>3.39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9,997,000.00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9,997,000.00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9,997,000.00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1647DC">
        <w:trPr>
          <w:jc w:val="center"/>
        </w:trPr>
        <w:tc>
          <w:tcPr>
            <w:tcW w:w="850" w:type="dxa"/>
            <w:vAlign w:val="center"/>
          </w:tcPr>
          <w:p w:rsidR="001647DC" w:rsidRDefault="002C1EC8">
            <w:pPr>
              <w:jc w:val="center"/>
            </w:pPr>
            <w:r>
              <w:rPr>
                <w:color w:val="000000"/>
                <w:sz w:val="24"/>
                <w:szCs w:val="24"/>
              </w:rPr>
              <w:t>1</w:t>
            </w:r>
          </w:p>
        </w:tc>
        <w:tc>
          <w:tcPr>
            <w:tcW w:w="1475" w:type="dxa"/>
            <w:vAlign w:val="center"/>
          </w:tcPr>
          <w:p w:rsidR="001647DC" w:rsidRDefault="002C1EC8">
            <w:pPr>
              <w:jc w:val="center"/>
            </w:pPr>
            <w:r>
              <w:rPr>
                <w:color w:val="000000"/>
                <w:sz w:val="24"/>
                <w:szCs w:val="24"/>
              </w:rPr>
              <w:t>190206</w:t>
            </w:r>
          </w:p>
        </w:tc>
        <w:tc>
          <w:tcPr>
            <w:tcW w:w="1769" w:type="dxa"/>
            <w:vAlign w:val="center"/>
          </w:tcPr>
          <w:p w:rsidR="001647DC" w:rsidRDefault="002C1EC8">
            <w:pPr>
              <w:jc w:val="center"/>
            </w:pPr>
            <w:r>
              <w:rPr>
                <w:color w:val="000000"/>
                <w:sz w:val="24"/>
                <w:szCs w:val="24"/>
              </w:rPr>
              <w:t>19</w:t>
            </w:r>
            <w:r>
              <w:rPr>
                <w:color w:val="000000"/>
                <w:sz w:val="24"/>
                <w:szCs w:val="24"/>
              </w:rPr>
              <w:t>国开</w:t>
            </w:r>
            <w:r>
              <w:rPr>
                <w:color w:val="000000"/>
                <w:sz w:val="24"/>
                <w:szCs w:val="24"/>
              </w:rPr>
              <w:t>06</w:t>
            </w:r>
          </w:p>
        </w:tc>
        <w:tc>
          <w:tcPr>
            <w:tcW w:w="1387" w:type="dxa"/>
            <w:vAlign w:val="center"/>
          </w:tcPr>
          <w:p w:rsidR="001647DC" w:rsidRDefault="002C1EC8">
            <w:pPr>
              <w:jc w:val="right"/>
            </w:pPr>
            <w:r>
              <w:rPr>
                <w:color w:val="000000"/>
                <w:sz w:val="24"/>
                <w:szCs w:val="24"/>
              </w:rPr>
              <w:t>100,000</w:t>
            </w:r>
          </w:p>
        </w:tc>
        <w:tc>
          <w:tcPr>
            <w:tcW w:w="2150" w:type="dxa"/>
            <w:vAlign w:val="center"/>
          </w:tcPr>
          <w:p w:rsidR="001647DC" w:rsidRDefault="002C1EC8">
            <w:pPr>
              <w:jc w:val="right"/>
            </w:pPr>
            <w:r>
              <w:rPr>
                <w:color w:val="000000"/>
                <w:sz w:val="24"/>
                <w:szCs w:val="24"/>
              </w:rPr>
              <w:t>9,997,000.00</w:t>
            </w:r>
          </w:p>
        </w:tc>
        <w:tc>
          <w:tcPr>
            <w:tcW w:w="1237" w:type="dxa"/>
            <w:vAlign w:val="center"/>
          </w:tcPr>
          <w:p w:rsidR="001647DC" w:rsidRDefault="002C1EC8">
            <w:pPr>
              <w:jc w:val="right"/>
            </w:pPr>
            <w:r>
              <w:rPr>
                <w:color w:val="000000"/>
                <w:sz w:val="24"/>
                <w:szCs w:val="24"/>
              </w:rPr>
              <w:t>5.92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2C1EC8" w:rsidRDefault="002C1EC8" w:rsidP="00C15CAC">
      <w:pPr>
        <w:autoSpaceDE w:val="0"/>
        <w:autoSpaceDN w:val="0"/>
        <w:adjustRightInd w:val="0"/>
        <w:spacing w:before="29" w:line="288" w:lineRule="auto"/>
        <w:jc w:val="left"/>
        <w:rPr>
          <w:b/>
          <w:bCs/>
          <w:color w:val="000000"/>
          <w:kern w:val="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662,117.88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7,190,170.02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32,000.00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122,124.89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72.50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8,006,485.29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C1EC8" w:rsidRDefault="002C1EC8" w:rsidP="00C15CAC">
      <w:pPr>
        <w:autoSpaceDE w:val="0"/>
        <w:autoSpaceDN w:val="0"/>
        <w:adjustRightInd w:val="0"/>
        <w:spacing w:before="29" w:line="288" w:lineRule="auto"/>
        <w:jc w:val="left"/>
        <w:rPr>
          <w:b/>
          <w:bCs/>
          <w:color w:val="000000"/>
          <w:kern w:val="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C1EC8" w:rsidRDefault="002C1EC8" w:rsidP="00C15CAC">
      <w:pPr>
        <w:autoSpaceDE w:val="0"/>
        <w:autoSpaceDN w:val="0"/>
        <w:adjustRightInd w:val="0"/>
        <w:spacing w:before="29" w:line="288" w:lineRule="auto"/>
        <w:jc w:val="left"/>
        <w:rPr>
          <w:b/>
          <w:bCs/>
          <w:color w:val="000000"/>
          <w:kern w:val="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292,625,238.65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5,566,426.76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150,706,540.12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147,485,125.29</w:t>
            </w:r>
          </w:p>
        </w:tc>
      </w:tr>
    </w:tbl>
    <w:p w:rsidR="001647DC" w:rsidRDefault="002C1EC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 xml:space="preserve"> </w:t>
      </w: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1647DC" w:rsidRDefault="002C1EC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、中国证监会准予交银施罗德核心资产混合型证券投资基金募集注册的文件；</w:t>
      </w:r>
      <w:r>
        <w:rPr>
          <w:color w:val="000000"/>
          <w:sz w:val="24"/>
          <w:szCs w:val="24"/>
        </w:rPr>
        <w:t xml:space="preserve"> </w:t>
      </w:r>
    </w:p>
    <w:p w:rsidR="001647DC" w:rsidRDefault="002C1EC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、《交银施罗德核心资产混合型证券投资基金基金合同》；</w:t>
      </w:r>
      <w:r>
        <w:rPr>
          <w:color w:val="000000"/>
          <w:sz w:val="24"/>
          <w:szCs w:val="24"/>
        </w:rPr>
        <w:t xml:space="preserve"> </w:t>
      </w:r>
    </w:p>
    <w:p w:rsidR="001647DC" w:rsidRDefault="002C1EC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、《交银施罗德核心资产混合型证券投资基金招募说明书》；</w:t>
      </w:r>
      <w:r>
        <w:rPr>
          <w:color w:val="000000"/>
          <w:sz w:val="24"/>
          <w:szCs w:val="24"/>
        </w:rPr>
        <w:t xml:space="preserve"> </w:t>
      </w:r>
    </w:p>
    <w:p w:rsidR="001647DC" w:rsidRDefault="002C1EC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、《交银施罗德核心资产混合型证券投资基金托管协议》；</w:t>
      </w:r>
      <w:r>
        <w:rPr>
          <w:color w:val="000000"/>
          <w:sz w:val="24"/>
          <w:szCs w:val="24"/>
        </w:rPr>
        <w:t xml:space="preserve"> </w:t>
      </w:r>
    </w:p>
    <w:p w:rsidR="001647DC" w:rsidRDefault="002C1EC8">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、关于申请募集注册交银施罗德核心资产混合型证券投资基金的法律意见书；</w:t>
      </w:r>
      <w:r>
        <w:rPr>
          <w:color w:val="000000"/>
          <w:sz w:val="24"/>
          <w:szCs w:val="24"/>
        </w:rPr>
        <w:t xml:space="preserve"> </w:t>
      </w:r>
    </w:p>
    <w:p w:rsidR="001647DC" w:rsidRDefault="002C1EC8">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1647DC" w:rsidRDefault="002C1EC8">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、报告期内交银施罗德核心资产混合型证券投资基金在指定报刊上各项公告的原稿。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1647DC" w:rsidRDefault="002C1EC8">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0E148C">
      <w:rPr>
        <w:noProof/>
        <w:kern w:val="0"/>
        <w:szCs w:val="21"/>
      </w:rPr>
      <w:t>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0E148C">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A00" w:rsidRDefault="00B83A00" w:rsidP="00876D65">
      <w:r>
        <w:separator/>
      </w:r>
    </w:p>
  </w:footnote>
  <w:footnote w:type="continuationSeparator" w:id="0">
    <w:p w:rsidR="00B83A00" w:rsidRDefault="00B83A0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交银施罗德核心资产混合型证券投资基金</w:t>
    </w:r>
    <w:r w:rsidRPr="003E676C">
      <w:rPr>
        <w:sz w:val="24"/>
        <w:szCs w:val="24"/>
      </w:rPr>
      <w:t>2019</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148C"/>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47DC"/>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1EC8"/>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4993"/>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61CF5-A647-4253-AED6-60E1803D6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12</Pages>
  <Words>1048</Words>
  <Characters>5974</Characters>
  <Application>Microsoft Office Word</Application>
  <DocSecurity>0</DocSecurity>
  <Lines>49</Lines>
  <Paragraphs>14</Paragraphs>
  <ScaleCrop>false</ScaleCrop>
  <Company/>
  <LinksUpToDate>false</LinksUpToDate>
  <CharactersWithSpaces>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张婉婧</cp:lastModifiedBy>
  <cp:revision>600</cp:revision>
  <dcterms:created xsi:type="dcterms:W3CDTF">2012-10-16T06:07:00Z</dcterms:created>
  <dcterms:modified xsi:type="dcterms:W3CDTF">2019-10-18T02:33:00Z</dcterms:modified>
</cp:coreProperties>
</file>