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2019</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2019</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二〇一九年十月二十二日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6E79BB" w:rsidRDefault="00112B4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E79BB" w:rsidRDefault="00112B4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10</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E79BB" w:rsidRDefault="00112B4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E79BB" w:rsidRDefault="00112B4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E79BB" w:rsidRDefault="00112B40">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2019</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60,346,524.38</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84F80" w:rsidRPr="008640AE" w:rsidTr="00384F80">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(2019</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-2019</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384F80" w:rsidRPr="008640AE" w:rsidTr="00384F8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2,7</w:t>
            </w:r>
            <w:r w:rsidR="00384F80">
              <w:rPr>
                <w:color w:val="000000"/>
                <w:sz w:val="24"/>
              </w:rPr>
              <w:t>45</w:t>
            </w:r>
            <w:r w:rsidRPr="008640AE">
              <w:rPr>
                <w:color w:val="000000"/>
                <w:sz w:val="24"/>
              </w:rPr>
              <w:t>,</w:t>
            </w:r>
            <w:r w:rsidR="00384F80">
              <w:rPr>
                <w:color w:val="000000"/>
                <w:sz w:val="24"/>
              </w:rPr>
              <w:t>373</w:t>
            </w:r>
            <w:r w:rsidRPr="008640AE">
              <w:rPr>
                <w:color w:val="000000"/>
                <w:sz w:val="24"/>
              </w:rPr>
              <w:t>.</w:t>
            </w:r>
            <w:r w:rsidR="00112B40">
              <w:rPr>
                <w:color w:val="000000"/>
                <w:sz w:val="24"/>
              </w:rPr>
              <w:t>0</w:t>
            </w:r>
            <w:r w:rsidR="00384F80">
              <w:rPr>
                <w:color w:val="000000"/>
                <w:sz w:val="24"/>
              </w:rPr>
              <w:t>9</w:t>
            </w:r>
          </w:p>
        </w:tc>
      </w:tr>
      <w:tr w:rsidR="00384F80" w:rsidRPr="008640AE" w:rsidTr="00384F8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w:t>
            </w:r>
            <w:r w:rsidR="00384F80">
              <w:rPr>
                <w:color w:val="000000"/>
                <w:sz w:val="24"/>
              </w:rPr>
              <w:t>410</w:t>
            </w:r>
            <w:r w:rsidRPr="008640AE">
              <w:rPr>
                <w:color w:val="000000"/>
                <w:sz w:val="24"/>
              </w:rPr>
              <w:t>,</w:t>
            </w:r>
            <w:r w:rsidR="00384F80">
              <w:rPr>
                <w:color w:val="000000"/>
                <w:sz w:val="24"/>
              </w:rPr>
              <w:t>984</w:t>
            </w:r>
            <w:r w:rsidRPr="008640AE">
              <w:rPr>
                <w:color w:val="000000"/>
                <w:sz w:val="24"/>
              </w:rPr>
              <w:t>.</w:t>
            </w:r>
            <w:r w:rsidR="00384F80">
              <w:rPr>
                <w:color w:val="000000"/>
                <w:sz w:val="24"/>
              </w:rPr>
              <w:t>07</w:t>
            </w:r>
          </w:p>
        </w:tc>
      </w:tr>
      <w:tr w:rsidR="00384F80" w:rsidRPr="008640AE" w:rsidTr="00384F8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w:t>
            </w:r>
            <w:r w:rsidR="00384F80">
              <w:rPr>
                <w:color w:val="000000"/>
                <w:sz w:val="24"/>
              </w:rPr>
              <w:t>398</w:t>
            </w:r>
          </w:p>
        </w:tc>
      </w:tr>
      <w:tr w:rsidR="00384F80" w:rsidRPr="008640AE" w:rsidTr="00384F8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122,104,304.24</w:t>
            </w:r>
          </w:p>
        </w:tc>
      </w:tr>
      <w:tr w:rsidR="00384F80" w:rsidRPr="008640AE" w:rsidTr="00384F80">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2.023</w:t>
            </w:r>
          </w:p>
        </w:tc>
      </w:tr>
    </w:tbl>
    <w:p w:rsidR="006E79BB" w:rsidRDefault="00112B4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6E79BB">
        <w:trPr>
          <w:jc w:val="center"/>
        </w:trPr>
        <w:tc>
          <w:tcPr>
            <w:tcW w:w="1701" w:type="dxa"/>
            <w:vAlign w:val="center"/>
          </w:tcPr>
          <w:p w:rsidR="006E79BB" w:rsidRDefault="00112B40">
            <w:pPr>
              <w:jc w:val="left"/>
            </w:pPr>
            <w:r>
              <w:rPr>
                <w:color w:val="000000"/>
                <w:sz w:val="24"/>
              </w:rPr>
              <w:t>过去三个月</w:t>
            </w:r>
          </w:p>
        </w:tc>
        <w:tc>
          <w:tcPr>
            <w:tcW w:w="1194" w:type="dxa"/>
            <w:vAlign w:val="center"/>
          </w:tcPr>
          <w:p w:rsidR="006E79BB" w:rsidRDefault="00112B40">
            <w:pPr>
              <w:jc w:val="right"/>
            </w:pPr>
            <w:r>
              <w:rPr>
                <w:color w:val="000000"/>
                <w:sz w:val="24"/>
              </w:rPr>
              <w:t>2.02%</w:t>
            </w:r>
          </w:p>
        </w:tc>
        <w:tc>
          <w:tcPr>
            <w:tcW w:w="1194" w:type="dxa"/>
            <w:vAlign w:val="center"/>
          </w:tcPr>
          <w:p w:rsidR="006E79BB" w:rsidRDefault="00112B40">
            <w:pPr>
              <w:jc w:val="right"/>
            </w:pPr>
            <w:r>
              <w:rPr>
                <w:color w:val="000000"/>
                <w:sz w:val="24"/>
              </w:rPr>
              <w:t>0.64%</w:t>
            </w:r>
          </w:p>
        </w:tc>
        <w:tc>
          <w:tcPr>
            <w:tcW w:w="1194" w:type="dxa"/>
            <w:vAlign w:val="center"/>
          </w:tcPr>
          <w:p w:rsidR="006E79BB" w:rsidRDefault="00112B40">
            <w:pPr>
              <w:jc w:val="right"/>
            </w:pPr>
            <w:r>
              <w:rPr>
                <w:color w:val="000000"/>
                <w:sz w:val="24"/>
              </w:rPr>
              <w:t>-3.04%</w:t>
            </w:r>
          </w:p>
        </w:tc>
        <w:tc>
          <w:tcPr>
            <w:tcW w:w="1343" w:type="dxa"/>
            <w:vAlign w:val="center"/>
          </w:tcPr>
          <w:p w:rsidR="006E79BB" w:rsidRDefault="00112B40">
            <w:pPr>
              <w:jc w:val="right"/>
            </w:pPr>
            <w:r>
              <w:rPr>
                <w:color w:val="000000"/>
                <w:sz w:val="24"/>
              </w:rPr>
              <w:t>0.68%</w:t>
            </w:r>
          </w:p>
        </w:tc>
        <w:tc>
          <w:tcPr>
            <w:tcW w:w="1194" w:type="dxa"/>
            <w:vAlign w:val="center"/>
          </w:tcPr>
          <w:p w:rsidR="006E79BB" w:rsidRDefault="00112B40">
            <w:pPr>
              <w:jc w:val="right"/>
            </w:pPr>
            <w:r>
              <w:rPr>
                <w:color w:val="000000"/>
                <w:sz w:val="24"/>
              </w:rPr>
              <w:t>5.06%</w:t>
            </w:r>
          </w:p>
        </w:tc>
        <w:tc>
          <w:tcPr>
            <w:tcW w:w="1048" w:type="dxa"/>
            <w:vAlign w:val="center"/>
          </w:tcPr>
          <w:p w:rsidR="006E79BB" w:rsidRDefault="00112B40">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2019</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6E79BB">
        <w:trPr>
          <w:jc w:val="center"/>
        </w:trPr>
        <w:tc>
          <w:tcPr>
            <w:tcW w:w="846" w:type="dxa"/>
            <w:vAlign w:val="center"/>
          </w:tcPr>
          <w:p w:rsidR="006E79BB" w:rsidRDefault="00112B40">
            <w:pPr>
              <w:jc w:val="center"/>
            </w:pPr>
            <w:r>
              <w:rPr>
                <w:color w:val="000000"/>
                <w:sz w:val="24"/>
              </w:rPr>
              <w:t>陈俊华</w:t>
            </w:r>
          </w:p>
        </w:tc>
        <w:tc>
          <w:tcPr>
            <w:tcW w:w="845" w:type="dxa"/>
            <w:vAlign w:val="center"/>
          </w:tcPr>
          <w:p w:rsidR="006E79BB" w:rsidRDefault="00112B40">
            <w:pPr>
              <w:jc w:val="center"/>
            </w:pPr>
            <w:r>
              <w:rPr>
                <w:color w:val="000000"/>
                <w:sz w:val="24"/>
              </w:rPr>
              <w:t>交银环球精选混合</w:t>
            </w:r>
            <w:r>
              <w:rPr>
                <w:color w:val="000000"/>
                <w:sz w:val="24"/>
              </w:rPr>
              <w:t>(QDII)</w:t>
            </w:r>
            <w:r>
              <w:rPr>
                <w:color w:val="000000"/>
                <w:sz w:val="24"/>
              </w:rPr>
              <w:t>、交银沪港深</w:t>
            </w:r>
            <w:r>
              <w:rPr>
                <w:color w:val="000000"/>
                <w:sz w:val="24"/>
              </w:rPr>
              <w:lastRenderedPageBreak/>
              <w:t>价值精选混合、交银核心资产混合的基金经理，公司跨境投资副总监</w:t>
            </w:r>
          </w:p>
        </w:tc>
        <w:tc>
          <w:tcPr>
            <w:tcW w:w="1549" w:type="dxa"/>
            <w:vAlign w:val="center"/>
          </w:tcPr>
          <w:p w:rsidR="006E79BB" w:rsidRDefault="00112B40">
            <w:pPr>
              <w:jc w:val="center"/>
            </w:pPr>
            <w:r>
              <w:rPr>
                <w:color w:val="000000"/>
                <w:sz w:val="24"/>
              </w:rPr>
              <w:lastRenderedPageBreak/>
              <w:t>2015-11-21</w:t>
            </w:r>
          </w:p>
        </w:tc>
        <w:tc>
          <w:tcPr>
            <w:tcW w:w="1548" w:type="dxa"/>
            <w:vAlign w:val="center"/>
          </w:tcPr>
          <w:p w:rsidR="006E79BB" w:rsidRDefault="00112B40">
            <w:pPr>
              <w:jc w:val="center"/>
            </w:pPr>
            <w:r>
              <w:rPr>
                <w:color w:val="000000"/>
                <w:sz w:val="24"/>
              </w:rPr>
              <w:t>-</w:t>
            </w:r>
          </w:p>
        </w:tc>
        <w:tc>
          <w:tcPr>
            <w:tcW w:w="1407" w:type="dxa"/>
            <w:vAlign w:val="center"/>
          </w:tcPr>
          <w:p w:rsidR="006E79BB" w:rsidRDefault="00112B40">
            <w:pPr>
              <w:jc w:val="center"/>
            </w:pPr>
            <w:r>
              <w:rPr>
                <w:color w:val="000000"/>
                <w:sz w:val="24"/>
              </w:rPr>
              <w:t>14</w:t>
            </w:r>
            <w:r>
              <w:rPr>
                <w:color w:val="000000"/>
                <w:sz w:val="24"/>
              </w:rPr>
              <w:t>年</w:t>
            </w:r>
          </w:p>
        </w:tc>
        <w:tc>
          <w:tcPr>
            <w:tcW w:w="2673" w:type="dxa"/>
            <w:vAlign w:val="center"/>
          </w:tcPr>
          <w:p w:rsidR="006E79BB" w:rsidRDefault="00112B40">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lastRenderedPageBreak/>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6E79BB">
        <w:trPr>
          <w:jc w:val="center"/>
        </w:trPr>
        <w:tc>
          <w:tcPr>
            <w:tcW w:w="846" w:type="dxa"/>
            <w:vAlign w:val="center"/>
          </w:tcPr>
          <w:p w:rsidR="006E79BB" w:rsidRDefault="00112B40">
            <w:pPr>
              <w:jc w:val="center"/>
            </w:pPr>
            <w:r>
              <w:rPr>
                <w:color w:val="000000"/>
                <w:sz w:val="24"/>
              </w:rPr>
              <w:lastRenderedPageBreak/>
              <w:t>周中</w:t>
            </w:r>
          </w:p>
        </w:tc>
        <w:tc>
          <w:tcPr>
            <w:tcW w:w="845" w:type="dxa"/>
            <w:vAlign w:val="center"/>
          </w:tcPr>
          <w:p w:rsidR="006E79BB" w:rsidRDefault="00112B40">
            <w:pPr>
              <w:jc w:val="center"/>
            </w:pPr>
            <w:r>
              <w:rPr>
                <w:color w:val="000000"/>
                <w:sz w:val="24"/>
              </w:rPr>
              <w:t>交银环球精选混合</w:t>
            </w:r>
            <w:r>
              <w:rPr>
                <w:color w:val="000000"/>
                <w:sz w:val="24"/>
              </w:rPr>
              <w:t>(QDII)</w:t>
            </w:r>
            <w:r>
              <w:rPr>
                <w:color w:val="000000"/>
                <w:sz w:val="24"/>
              </w:rPr>
              <w:t>、交银创新成长混合的基金经理</w:t>
            </w:r>
          </w:p>
        </w:tc>
        <w:tc>
          <w:tcPr>
            <w:tcW w:w="1549" w:type="dxa"/>
            <w:vAlign w:val="center"/>
          </w:tcPr>
          <w:p w:rsidR="006E79BB" w:rsidRDefault="00112B40">
            <w:pPr>
              <w:jc w:val="center"/>
            </w:pPr>
            <w:r>
              <w:rPr>
                <w:color w:val="000000"/>
                <w:sz w:val="24"/>
              </w:rPr>
              <w:t>2015-12-12</w:t>
            </w:r>
          </w:p>
        </w:tc>
        <w:tc>
          <w:tcPr>
            <w:tcW w:w="1548" w:type="dxa"/>
            <w:vAlign w:val="center"/>
          </w:tcPr>
          <w:p w:rsidR="006E79BB" w:rsidRDefault="00112B40">
            <w:pPr>
              <w:jc w:val="center"/>
            </w:pPr>
            <w:r>
              <w:rPr>
                <w:color w:val="000000"/>
                <w:sz w:val="24"/>
              </w:rPr>
              <w:t>-</w:t>
            </w:r>
          </w:p>
        </w:tc>
        <w:tc>
          <w:tcPr>
            <w:tcW w:w="1407" w:type="dxa"/>
            <w:vAlign w:val="center"/>
          </w:tcPr>
          <w:p w:rsidR="006E79BB" w:rsidRDefault="00112B40">
            <w:pPr>
              <w:jc w:val="center"/>
            </w:pPr>
            <w:r>
              <w:rPr>
                <w:color w:val="000000"/>
                <w:sz w:val="24"/>
              </w:rPr>
              <w:t>10</w:t>
            </w:r>
            <w:r>
              <w:rPr>
                <w:color w:val="000000"/>
                <w:sz w:val="24"/>
              </w:rPr>
              <w:t>年</w:t>
            </w:r>
          </w:p>
        </w:tc>
        <w:tc>
          <w:tcPr>
            <w:tcW w:w="2673" w:type="dxa"/>
            <w:vAlign w:val="center"/>
          </w:tcPr>
          <w:p w:rsidR="006E79BB" w:rsidRDefault="00112B40">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6E79BB">
        <w:trPr>
          <w:jc w:val="center"/>
        </w:trPr>
        <w:tc>
          <w:tcPr>
            <w:tcW w:w="2070" w:type="dxa"/>
            <w:vAlign w:val="center"/>
          </w:tcPr>
          <w:p w:rsidR="006E79BB" w:rsidRDefault="00112B40">
            <w:pPr>
              <w:jc w:val="center"/>
            </w:pPr>
            <w:r>
              <w:rPr>
                <w:color w:val="000000"/>
                <w:sz w:val="24"/>
              </w:rPr>
              <w:t>Simon Webber</w:t>
            </w:r>
          </w:p>
        </w:tc>
        <w:tc>
          <w:tcPr>
            <w:tcW w:w="2465" w:type="dxa"/>
            <w:vAlign w:val="center"/>
          </w:tcPr>
          <w:p w:rsidR="006E79BB" w:rsidRDefault="00112B40">
            <w:pPr>
              <w:jc w:val="center"/>
            </w:pPr>
            <w:r>
              <w:rPr>
                <w:color w:val="000000"/>
                <w:sz w:val="24"/>
              </w:rPr>
              <w:t>施罗德集团多区域（全球及国际）股票投资主管、全球和国际股票基金经理、全球气候变化股票基金经理</w:t>
            </w:r>
          </w:p>
        </w:tc>
        <w:tc>
          <w:tcPr>
            <w:tcW w:w="2116" w:type="dxa"/>
            <w:vAlign w:val="center"/>
          </w:tcPr>
          <w:p w:rsidR="006E79BB" w:rsidRDefault="00112B40">
            <w:pPr>
              <w:jc w:val="center"/>
            </w:pPr>
            <w:r>
              <w:rPr>
                <w:color w:val="000000"/>
                <w:sz w:val="24"/>
              </w:rPr>
              <w:t>20</w:t>
            </w:r>
            <w:r>
              <w:rPr>
                <w:color w:val="000000"/>
                <w:sz w:val="24"/>
              </w:rPr>
              <w:t>年</w:t>
            </w:r>
          </w:p>
        </w:tc>
        <w:tc>
          <w:tcPr>
            <w:tcW w:w="2217" w:type="dxa"/>
            <w:vAlign w:val="center"/>
          </w:tcPr>
          <w:p w:rsidR="006E79BB" w:rsidRDefault="00112B40">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6E79BB" w:rsidRDefault="00112B4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E79BB" w:rsidRDefault="00112B4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E79BB" w:rsidRDefault="00112B4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6E79BB" w:rsidRDefault="00112B40">
      <w:pPr>
        <w:spacing w:before="29" w:line="288" w:lineRule="auto"/>
        <w:ind w:firstLineChars="200" w:firstLine="480"/>
        <w:rPr>
          <w:color w:val="000000"/>
          <w:sz w:val="24"/>
        </w:rPr>
      </w:pPr>
      <w:r>
        <w:rPr>
          <w:color w:val="000000"/>
          <w:sz w:val="24"/>
        </w:rPr>
        <w:t>2019</w:t>
      </w:r>
      <w:r>
        <w:rPr>
          <w:color w:val="000000"/>
          <w:sz w:val="24"/>
        </w:rPr>
        <w:t>年三季度，贸易摩擦纷争短期放缓，但受海外经济数据低于预期和负利率的蔓延，投资者风险偏好显著降低，资金流出股市，流入债市。全球主要股市处震荡态势，港股因为本土分歧，当季下跌超过</w:t>
      </w:r>
      <w:r>
        <w:rPr>
          <w:color w:val="000000"/>
          <w:sz w:val="24"/>
        </w:rPr>
        <w:t>5%</w:t>
      </w:r>
      <w:r>
        <w:rPr>
          <w:color w:val="000000"/>
          <w:sz w:val="24"/>
        </w:rPr>
        <w:t>。九月末，美联储公布降息，在市场预期之内，未来预计低利率环境将存续较长时间，整体流动性较为宽裕，投资者关注的焦点则将重新回到经济改善的节奏和领域。</w:t>
      </w:r>
    </w:p>
    <w:p w:rsidR="006E79BB" w:rsidRDefault="00112B40">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三季度，我们优化仓位结构。欧美股市：降低工业和部分科技股仓位配置，提升必选消费配置；港股方面，减少了地产板块配置，增加科技和医药板块持仓。回顾三季度操作，我们维持高仓位运行，力求通过行业配置结构的变化为投资者带来超额收益，整体获得了正收益。</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2019</w:t>
      </w:r>
      <w:r w:rsidRPr="008640AE">
        <w:rPr>
          <w:color w:val="000000"/>
          <w:sz w:val="24"/>
        </w:rPr>
        <w:t>年四季度，我们将更多关注结构性机会和为</w:t>
      </w:r>
      <w:r w:rsidRPr="008640AE">
        <w:rPr>
          <w:color w:val="000000"/>
          <w:sz w:val="24"/>
        </w:rPr>
        <w:t>2020</w:t>
      </w:r>
      <w:r w:rsidRPr="008640AE">
        <w:rPr>
          <w:color w:val="000000"/>
          <w:sz w:val="24"/>
        </w:rPr>
        <w:t>年布局。香港方面，我们预计整体呈筑底、震荡阶段，信心恢复需要时间。但从绝对估值来看，我们认为安全边际充裕，预计医药、科技等抗周期品种仍有望获取超额收益，消费领域的改善步伐值得密切跟踪。海外方面，在低利率情况下，经济基本面情况更受关注，消费者信心指数、</w:t>
      </w:r>
      <w:r w:rsidRPr="008640AE">
        <w:rPr>
          <w:color w:val="000000"/>
          <w:sz w:val="24"/>
        </w:rPr>
        <w:t>PMI</w:t>
      </w:r>
      <w:r w:rsidRPr="008640AE">
        <w:rPr>
          <w:color w:val="000000"/>
          <w:sz w:val="24"/>
        </w:rPr>
        <w:t>指数以及就业率等反应实体经济波动的数据，需密切关注。总体而言，短期更偏防御，中长期，我们仍聚焦寻找业绩改善有望加速的企业。我们将继续勤勉尽责地积极调研，努力为投资人赚取回报。</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“3.1</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 xml:space="preserve">“3.2.1 </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7977A8" w:rsidRPr="007977A8" w:rsidRDefault="007977A8" w:rsidP="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1559" w:type="dxa"/>
            <w:shd w:val="clear" w:color="auto" w:fill="auto"/>
            <w:vAlign w:val="center"/>
          </w:tcPr>
          <w:p w:rsidR="00363E15" w:rsidRPr="008640AE" w:rsidRDefault="00363E15" w:rsidP="00890782">
            <w:pPr>
              <w:spacing w:before="29" w:line="288" w:lineRule="auto"/>
              <w:ind w:left="17"/>
              <w:jc w:val="center"/>
              <w:rPr>
                <w:color w:val="000000"/>
                <w:sz w:val="24"/>
              </w:rPr>
            </w:pPr>
            <w:r w:rsidRPr="008640AE">
              <w:rPr>
                <w:color w:val="000000"/>
                <w:sz w:val="24"/>
              </w:rPr>
              <w:t>占基金总资产的比例</w:t>
            </w:r>
            <w:r w:rsidR="00890782">
              <w:rPr>
                <w:rFonts w:hint="eastAsia"/>
                <w:color w:val="000000"/>
                <w:kern w:val="0"/>
                <w:sz w:val="24"/>
              </w:rPr>
              <w:t>(</w:t>
            </w:r>
            <w:r w:rsidR="00890782">
              <w:rPr>
                <w:color w:val="000000"/>
                <w:kern w:val="0"/>
                <w:sz w:val="24"/>
              </w:rPr>
              <w:t>%</w:t>
            </w:r>
            <w:r w:rsidR="00890782">
              <w:rPr>
                <w:rFonts w:hint="eastAsia"/>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104,323,337.77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84.89</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102,929,617.87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83.75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1,393,719.90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1.13</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08226F" w:rsidRPr="008640AE">
              <w:rPr>
                <w:color w:val="000000"/>
                <w:sz w:val="24"/>
              </w:rPr>
              <w:t>凭证</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18,263,042.67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14.86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66673A">
              <w:rPr>
                <w:rFonts w:hint="eastAsia"/>
                <w:color w:val="000000"/>
                <w:sz w:val="24"/>
              </w:rPr>
              <w:t>各项</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309,568.18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0.25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122,895,948.62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9F647F" w:rsidRPr="009F647F" w:rsidRDefault="009F647F" w:rsidP="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E79BB">
        <w:trPr>
          <w:jc w:val="center"/>
        </w:trPr>
        <w:tc>
          <w:tcPr>
            <w:tcW w:w="2484" w:type="dxa"/>
            <w:vAlign w:val="center"/>
          </w:tcPr>
          <w:p w:rsidR="006E79BB" w:rsidRDefault="00112B40">
            <w:pPr>
              <w:jc w:val="left"/>
            </w:pPr>
            <w:r>
              <w:rPr>
                <w:color w:val="000000"/>
                <w:sz w:val="24"/>
              </w:rPr>
              <w:t>美国</w:t>
            </w:r>
          </w:p>
        </w:tc>
        <w:tc>
          <w:tcPr>
            <w:tcW w:w="3214" w:type="dxa"/>
            <w:vAlign w:val="center"/>
          </w:tcPr>
          <w:p w:rsidR="006E79BB" w:rsidRDefault="00112B40">
            <w:pPr>
              <w:jc w:val="right"/>
            </w:pPr>
            <w:r>
              <w:rPr>
                <w:color w:val="000000"/>
                <w:sz w:val="24"/>
              </w:rPr>
              <w:t>55,857,111.50</w:t>
            </w:r>
          </w:p>
        </w:tc>
        <w:tc>
          <w:tcPr>
            <w:tcW w:w="3170" w:type="dxa"/>
            <w:vAlign w:val="center"/>
          </w:tcPr>
          <w:p w:rsidR="006E79BB" w:rsidRDefault="00112B40">
            <w:pPr>
              <w:jc w:val="right"/>
            </w:pPr>
            <w:r>
              <w:rPr>
                <w:color w:val="000000"/>
                <w:sz w:val="24"/>
              </w:rPr>
              <w:t>45.75</w:t>
            </w:r>
          </w:p>
        </w:tc>
      </w:tr>
      <w:tr w:rsidR="006E79BB">
        <w:trPr>
          <w:jc w:val="center"/>
        </w:trPr>
        <w:tc>
          <w:tcPr>
            <w:tcW w:w="2484" w:type="dxa"/>
            <w:vAlign w:val="center"/>
          </w:tcPr>
          <w:p w:rsidR="006E79BB" w:rsidRDefault="00112B40">
            <w:pPr>
              <w:jc w:val="left"/>
            </w:pPr>
            <w:r>
              <w:rPr>
                <w:color w:val="000000"/>
                <w:sz w:val="24"/>
              </w:rPr>
              <w:t>香港</w:t>
            </w:r>
          </w:p>
        </w:tc>
        <w:tc>
          <w:tcPr>
            <w:tcW w:w="3214" w:type="dxa"/>
            <w:vAlign w:val="center"/>
          </w:tcPr>
          <w:p w:rsidR="006E79BB" w:rsidRDefault="00112B40">
            <w:pPr>
              <w:jc w:val="right"/>
            </w:pPr>
            <w:r>
              <w:rPr>
                <w:color w:val="000000"/>
                <w:sz w:val="24"/>
              </w:rPr>
              <w:t>18,274,944.57</w:t>
            </w:r>
          </w:p>
        </w:tc>
        <w:tc>
          <w:tcPr>
            <w:tcW w:w="3170" w:type="dxa"/>
            <w:vAlign w:val="center"/>
          </w:tcPr>
          <w:p w:rsidR="006E79BB" w:rsidRDefault="00112B40">
            <w:pPr>
              <w:jc w:val="right"/>
            </w:pPr>
            <w:r>
              <w:rPr>
                <w:color w:val="000000"/>
                <w:sz w:val="24"/>
              </w:rPr>
              <w:t>14.97</w:t>
            </w:r>
          </w:p>
        </w:tc>
      </w:tr>
      <w:tr w:rsidR="006E79BB">
        <w:trPr>
          <w:jc w:val="center"/>
        </w:trPr>
        <w:tc>
          <w:tcPr>
            <w:tcW w:w="2484" w:type="dxa"/>
            <w:vAlign w:val="center"/>
          </w:tcPr>
          <w:p w:rsidR="006E79BB" w:rsidRDefault="00112B40">
            <w:pPr>
              <w:jc w:val="left"/>
            </w:pPr>
            <w:r>
              <w:rPr>
                <w:color w:val="000000"/>
                <w:sz w:val="24"/>
              </w:rPr>
              <w:t>法国</w:t>
            </w:r>
          </w:p>
        </w:tc>
        <w:tc>
          <w:tcPr>
            <w:tcW w:w="3214" w:type="dxa"/>
            <w:vAlign w:val="center"/>
          </w:tcPr>
          <w:p w:rsidR="006E79BB" w:rsidRDefault="00112B40">
            <w:pPr>
              <w:jc w:val="right"/>
            </w:pPr>
            <w:r>
              <w:rPr>
                <w:color w:val="000000"/>
                <w:sz w:val="24"/>
              </w:rPr>
              <w:t>8,025,592.83</w:t>
            </w:r>
          </w:p>
        </w:tc>
        <w:tc>
          <w:tcPr>
            <w:tcW w:w="3170" w:type="dxa"/>
            <w:vAlign w:val="center"/>
          </w:tcPr>
          <w:p w:rsidR="006E79BB" w:rsidRDefault="00112B40">
            <w:pPr>
              <w:jc w:val="right"/>
            </w:pPr>
            <w:r>
              <w:rPr>
                <w:color w:val="000000"/>
                <w:sz w:val="24"/>
              </w:rPr>
              <w:t>6.57</w:t>
            </w:r>
          </w:p>
        </w:tc>
      </w:tr>
      <w:tr w:rsidR="006E79BB">
        <w:trPr>
          <w:jc w:val="center"/>
        </w:trPr>
        <w:tc>
          <w:tcPr>
            <w:tcW w:w="2484" w:type="dxa"/>
            <w:vAlign w:val="center"/>
          </w:tcPr>
          <w:p w:rsidR="006E79BB" w:rsidRDefault="00112B40">
            <w:pPr>
              <w:jc w:val="left"/>
            </w:pPr>
            <w:r>
              <w:rPr>
                <w:color w:val="000000"/>
                <w:sz w:val="24"/>
              </w:rPr>
              <w:t>瑞士</w:t>
            </w:r>
          </w:p>
        </w:tc>
        <w:tc>
          <w:tcPr>
            <w:tcW w:w="3214" w:type="dxa"/>
            <w:vAlign w:val="center"/>
          </w:tcPr>
          <w:p w:rsidR="006E79BB" w:rsidRDefault="00112B40">
            <w:pPr>
              <w:jc w:val="right"/>
            </w:pPr>
            <w:r>
              <w:rPr>
                <w:color w:val="000000"/>
                <w:sz w:val="24"/>
              </w:rPr>
              <w:t>5,524,921.84</w:t>
            </w:r>
          </w:p>
        </w:tc>
        <w:tc>
          <w:tcPr>
            <w:tcW w:w="3170" w:type="dxa"/>
            <w:vAlign w:val="center"/>
          </w:tcPr>
          <w:p w:rsidR="006E79BB" w:rsidRDefault="00112B40">
            <w:pPr>
              <w:jc w:val="right"/>
            </w:pPr>
            <w:r>
              <w:rPr>
                <w:color w:val="000000"/>
                <w:sz w:val="24"/>
              </w:rPr>
              <w:t>4.52</w:t>
            </w:r>
          </w:p>
        </w:tc>
      </w:tr>
      <w:tr w:rsidR="006E79BB">
        <w:trPr>
          <w:jc w:val="center"/>
        </w:trPr>
        <w:tc>
          <w:tcPr>
            <w:tcW w:w="2484" w:type="dxa"/>
            <w:vAlign w:val="center"/>
          </w:tcPr>
          <w:p w:rsidR="006E79BB" w:rsidRDefault="00112B40">
            <w:pPr>
              <w:jc w:val="left"/>
            </w:pPr>
            <w:r>
              <w:rPr>
                <w:color w:val="000000"/>
                <w:sz w:val="24"/>
              </w:rPr>
              <w:t>德国</w:t>
            </w:r>
          </w:p>
        </w:tc>
        <w:tc>
          <w:tcPr>
            <w:tcW w:w="3214" w:type="dxa"/>
            <w:vAlign w:val="center"/>
          </w:tcPr>
          <w:p w:rsidR="006E79BB" w:rsidRDefault="00112B40">
            <w:pPr>
              <w:jc w:val="right"/>
            </w:pPr>
            <w:r>
              <w:rPr>
                <w:color w:val="000000"/>
                <w:sz w:val="24"/>
              </w:rPr>
              <w:t>5,312,051.90</w:t>
            </w:r>
          </w:p>
        </w:tc>
        <w:tc>
          <w:tcPr>
            <w:tcW w:w="3170" w:type="dxa"/>
            <w:vAlign w:val="center"/>
          </w:tcPr>
          <w:p w:rsidR="006E79BB" w:rsidRDefault="00112B40">
            <w:pPr>
              <w:jc w:val="right"/>
            </w:pPr>
            <w:r>
              <w:rPr>
                <w:color w:val="000000"/>
                <w:sz w:val="24"/>
              </w:rPr>
              <w:t>4.35</w:t>
            </w:r>
          </w:p>
        </w:tc>
      </w:tr>
      <w:tr w:rsidR="006E79BB">
        <w:trPr>
          <w:jc w:val="center"/>
        </w:trPr>
        <w:tc>
          <w:tcPr>
            <w:tcW w:w="2484" w:type="dxa"/>
            <w:vAlign w:val="center"/>
          </w:tcPr>
          <w:p w:rsidR="006E79BB" w:rsidRDefault="00112B40">
            <w:pPr>
              <w:jc w:val="left"/>
            </w:pPr>
            <w:r>
              <w:rPr>
                <w:color w:val="000000"/>
                <w:sz w:val="24"/>
              </w:rPr>
              <w:t>日本</w:t>
            </w:r>
          </w:p>
        </w:tc>
        <w:tc>
          <w:tcPr>
            <w:tcW w:w="3214" w:type="dxa"/>
            <w:vAlign w:val="center"/>
          </w:tcPr>
          <w:p w:rsidR="006E79BB" w:rsidRDefault="00112B40">
            <w:pPr>
              <w:jc w:val="right"/>
            </w:pPr>
            <w:r>
              <w:rPr>
                <w:color w:val="000000"/>
                <w:sz w:val="24"/>
              </w:rPr>
              <w:t>4,146,799.62</w:t>
            </w:r>
          </w:p>
        </w:tc>
        <w:tc>
          <w:tcPr>
            <w:tcW w:w="3170" w:type="dxa"/>
            <w:vAlign w:val="center"/>
          </w:tcPr>
          <w:p w:rsidR="006E79BB" w:rsidRDefault="00112B40">
            <w:pPr>
              <w:jc w:val="right"/>
            </w:pPr>
            <w:r>
              <w:rPr>
                <w:color w:val="000000"/>
                <w:sz w:val="24"/>
              </w:rPr>
              <w:t>3.40</w:t>
            </w:r>
          </w:p>
        </w:tc>
      </w:tr>
      <w:tr w:rsidR="006E79BB">
        <w:trPr>
          <w:jc w:val="center"/>
        </w:trPr>
        <w:tc>
          <w:tcPr>
            <w:tcW w:w="2484" w:type="dxa"/>
            <w:vAlign w:val="center"/>
          </w:tcPr>
          <w:p w:rsidR="006E79BB" w:rsidRDefault="00112B40">
            <w:pPr>
              <w:jc w:val="left"/>
            </w:pPr>
            <w:r>
              <w:rPr>
                <w:color w:val="000000"/>
                <w:sz w:val="24"/>
              </w:rPr>
              <w:t>荷兰</w:t>
            </w:r>
          </w:p>
        </w:tc>
        <w:tc>
          <w:tcPr>
            <w:tcW w:w="3214" w:type="dxa"/>
            <w:vAlign w:val="center"/>
          </w:tcPr>
          <w:p w:rsidR="006E79BB" w:rsidRDefault="00112B40">
            <w:pPr>
              <w:jc w:val="right"/>
            </w:pPr>
            <w:r>
              <w:rPr>
                <w:color w:val="000000"/>
                <w:sz w:val="24"/>
              </w:rPr>
              <w:t>2,404,261.03</w:t>
            </w:r>
          </w:p>
        </w:tc>
        <w:tc>
          <w:tcPr>
            <w:tcW w:w="3170" w:type="dxa"/>
            <w:vAlign w:val="center"/>
          </w:tcPr>
          <w:p w:rsidR="006E79BB" w:rsidRDefault="00112B40">
            <w:pPr>
              <w:jc w:val="right"/>
            </w:pPr>
            <w:r>
              <w:rPr>
                <w:color w:val="000000"/>
                <w:sz w:val="24"/>
              </w:rPr>
              <w:t>1.97</w:t>
            </w:r>
          </w:p>
        </w:tc>
      </w:tr>
      <w:tr w:rsidR="006E79BB">
        <w:trPr>
          <w:jc w:val="center"/>
        </w:trPr>
        <w:tc>
          <w:tcPr>
            <w:tcW w:w="2484" w:type="dxa"/>
            <w:vAlign w:val="center"/>
          </w:tcPr>
          <w:p w:rsidR="006E79BB" w:rsidRDefault="00112B40">
            <w:pPr>
              <w:jc w:val="left"/>
            </w:pPr>
            <w:r>
              <w:rPr>
                <w:color w:val="000000"/>
                <w:sz w:val="24"/>
              </w:rPr>
              <w:t>英国</w:t>
            </w:r>
          </w:p>
        </w:tc>
        <w:tc>
          <w:tcPr>
            <w:tcW w:w="3214" w:type="dxa"/>
            <w:vAlign w:val="center"/>
          </w:tcPr>
          <w:p w:rsidR="006E79BB" w:rsidRDefault="00112B40">
            <w:pPr>
              <w:jc w:val="right"/>
            </w:pPr>
            <w:r>
              <w:rPr>
                <w:color w:val="000000"/>
                <w:sz w:val="24"/>
              </w:rPr>
              <w:t>1,473,725.58</w:t>
            </w:r>
          </w:p>
        </w:tc>
        <w:tc>
          <w:tcPr>
            <w:tcW w:w="3170" w:type="dxa"/>
            <w:vAlign w:val="center"/>
          </w:tcPr>
          <w:p w:rsidR="006E79BB" w:rsidRDefault="00112B40">
            <w:pPr>
              <w:jc w:val="right"/>
            </w:pPr>
            <w:r>
              <w:rPr>
                <w:color w:val="000000"/>
                <w:sz w:val="24"/>
              </w:rPr>
              <w:t>1.21</w:t>
            </w:r>
          </w:p>
        </w:tc>
      </w:tr>
      <w:tr w:rsidR="006E79BB">
        <w:trPr>
          <w:jc w:val="center"/>
        </w:trPr>
        <w:tc>
          <w:tcPr>
            <w:tcW w:w="2484" w:type="dxa"/>
            <w:vAlign w:val="center"/>
          </w:tcPr>
          <w:p w:rsidR="006E79BB" w:rsidRDefault="00112B40">
            <w:pPr>
              <w:jc w:val="left"/>
            </w:pPr>
            <w:r>
              <w:rPr>
                <w:color w:val="000000"/>
                <w:sz w:val="24"/>
              </w:rPr>
              <w:t>奥地利</w:t>
            </w:r>
          </w:p>
        </w:tc>
        <w:tc>
          <w:tcPr>
            <w:tcW w:w="3214" w:type="dxa"/>
            <w:vAlign w:val="center"/>
          </w:tcPr>
          <w:p w:rsidR="006E79BB" w:rsidRDefault="00112B40">
            <w:pPr>
              <w:jc w:val="right"/>
            </w:pPr>
            <w:r>
              <w:rPr>
                <w:color w:val="000000"/>
                <w:sz w:val="24"/>
              </w:rPr>
              <w:t>1,429,955.54</w:t>
            </w:r>
          </w:p>
        </w:tc>
        <w:tc>
          <w:tcPr>
            <w:tcW w:w="3170" w:type="dxa"/>
            <w:vAlign w:val="center"/>
          </w:tcPr>
          <w:p w:rsidR="006E79BB" w:rsidRDefault="00112B40">
            <w:pPr>
              <w:jc w:val="right"/>
            </w:pPr>
            <w:r>
              <w:rPr>
                <w:color w:val="000000"/>
                <w:sz w:val="24"/>
              </w:rPr>
              <w:t>1.17</w:t>
            </w:r>
          </w:p>
        </w:tc>
      </w:tr>
      <w:tr w:rsidR="006E79BB">
        <w:trPr>
          <w:jc w:val="center"/>
        </w:trPr>
        <w:tc>
          <w:tcPr>
            <w:tcW w:w="2484" w:type="dxa"/>
            <w:vAlign w:val="center"/>
          </w:tcPr>
          <w:p w:rsidR="006E79BB" w:rsidRDefault="00112B40">
            <w:pPr>
              <w:jc w:val="left"/>
            </w:pPr>
            <w:r>
              <w:rPr>
                <w:color w:val="000000"/>
                <w:sz w:val="24"/>
              </w:rPr>
              <w:t>加拿大</w:t>
            </w:r>
          </w:p>
        </w:tc>
        <w:tc>
          <w:tcPr>
            <w:tcW w:w="3214" w:type="dxa"/>
            <w:vAlign w:val="center"/>
          </w:tcPr>
          <w:p w:rsidR="006E79BB" w:rsidRDefault="00112B40">
            <w:pPr>
              <w:jc w:val="right"/>
            </w:pPr>
            <w:r>
              <w:rPr>
                <w:color w:val="000000"/>
                <w:sz w:val="24"/>
              </w:rPr>
              <w:t>937,641.39</w:t>
            </w:r>
          </w:p>
        </w:tc>
        <w:tc>
          <w:tcPr>
            <w:tcW w:w="3170" w:type="dxa"/>
            <w:vAlign w:val="center"/>
          </w:tcPr>
          <w:p w:rsidR="006E79BB" w:rsidRDefault="00112B40">
            <w:pPr>
              <w:jc w:val="right"/>
            </w:pPr>
            <w:r>
              <w:rPr>
                <w:color w:val="000000"/>
                <w:sz w:val="24"/>
              </w:rPr>
              <w:t>0.77</w:t>
            </w:r>
          </w:p>
        </w:tc>
      </w:tr>
      <w:tr w:rsidR="006E79BB">
        <w:trPr>
          <w:jc w:val="center"/>
        </w:trPr>
        <w:tc>
          <w:tcPr>
            <w:tcW w:w="2484" w:type="dxa"/>
            <w:vAlign w:val="center"/>
          </w:tcPr>
          <w:p w:rsidR="006E79BB" w:rsidRDefault="00112B40">
            <w:pPr>
              <w:jc w:val="left"/>
            </w:pPr>
            <w:r>
              <w:rPr>
                <w:color w:val="000000"/>
                <w:sz w:val="24"/>
              </w:rPr>
              <w:t>澳大利亚</w:t>
            </w:r>
          </w:p>
        </w:tc>
        <w:tc>
          <w:tcPr>
            <w:tcW w:w="3214" w:type="dxa"/>
            <w:vAlign w:val="center"/>
          </w:tcPr>
          <w:p w:rsidR="006E79BB" w:rsidRDefault="00112B40">
            <w:pPr>
              <w:jc w:val="right"/>
            </w:pPr>
            <w:r>
              <w:rPr>
                <w:color w:val="000000"/>
                <w:sz w:val="24"/>
              </w:rPr>
              <w:t>936,331.97</w:t>
            </w:r>
          </w:p>
        </w:tc>
        <w:tc>
          <w:tcPr>
            <w:tcW w:w="3170" w:type="dxa"/>
            <w:vAlign w:val="center"/>
          </w:tcPr>
          <w:p w:rsidR="006E79BB" w:rsidRDefault="00112B40">
            <w:pPr>
              <w:jc w:val="right"/>
            </w:pPr>
            <w:r>
              <w:rPr>
                <w:color w:val="000000"/>
                <w:sz w:val="24"/>
              </w:rPr>
              <w:t>0.77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104,323,337.77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85.44</w:t>
            </w:r>
          </w:p>
        </w:tc>
      </w:tr>
    </w:tbl>
    <w:p w:rsidR="006E79BB" w:rsidRDefault="00112B4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DB3862" w:rsidRPr="00DB3862" w:rsidRDefault="00DB3862" w:rsidP="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3E1B25">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DB3862" w:rsidP="005546C0">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w="330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E79BB">
        <w:trPr>
          <w:jc w:val="center"/>
        </w:trPr>
        <w:tc>
          <w:tcPr>
            <w:tcW w:w="2904" w:type="dxa"/>
            <w:vAlign w:val="center"/>
          </w:tcPr>
          <w:p w:rsidR="006E79BB" w:rsidRDefault="00112B40">
            <w:pPr>
              <w:jc w:val="left"/>
            </w:pPr>
            <w:r>
              <w:rPr>
                <w:color w:val="000000"/>
                <w:sz w:val="24"/>
              </w:rPr>
              <w:t>金融</w:t>
            </w:r>
          </w:p>
        </w:tc>
        <w:tc>
          <w:tcPr>
            <w:tcW w:w="2657" w:type="dxa"/>
            <w:vAlign w:val="center"/>
          </w:tcPr>
          <w:p w:rsidR="006E79BB" w:rsidRDefault="00112B40">
            <w:pPr>
              <w:jc w:val="right"/>
            </w:pPr>
            <w:r>
              <w:rPr>
                <w:color w:val="000000"/>
                <w:sz w:val="24"/>
              </w:rPr>
              <w:t>16,584,614.06</w:t>
            </w:r>
          </w:p>
        </w:tc>
        <w:tc>
          <w:tcPr>
            <w:tcW w:w="3307" w:type="dxa"/>
            <w:vAlign w:val="center"/>
          </w:tcPr>
          <w:p w:rsidR="006E79BB" w:rsidRDefault="00112B40">
            <w:pPr>
              <w:jc w:val="right"/>
            </w:pPr>
            <w:r>
              <w:rPr>
                <w:color w:val="000000"/>
                <w:sz w:val="24"/>
              </w:rPr>
              <w:t>13.58</w:t>
            </w:r>
          </w:p>
        </w:tc>
      </w:tr>
      <w:tr w:rsidR="006E79BB">
        <w:trPr>
          <w:jc w:val="center"/>
        </w:trPr>
        <w:tc>
          <w:tcPr>
            <w:tcW w:w="2904" w:type="dxa"/>
            <w:vAlign w:val="center"/>
          </w:tcPr>
          <w:p w:rsidR="006E79BB" w:rsidRDefault="00112B40">
            <w:pPr>
              <w:jc w:val="left"/>
            </w:pPr>
            <w:r>
              <w:rPr>
                <w:color w:val="000000"/>
                <w:sz w:val="24"/>
              </w:rPr>
              <w:t>保健</w:t>
            </w:r>
          </w:p>
        </w:tc>
        <w:tc>
          <w:tcPr>
            <w:tcW w:w="2657" w:type="dxa"/>
            <w:vAlign w:val="center"/>
          </w:tcPr>
          <w:p w:rsidR="006E79BB" w:rsidRDefault="00112B40">
            <w:pPr>
              <w:jc w:val="right"/>
            </w:pPr>
            <w:r>
              <w:rPr>
                <w:color w:val="000000"/>
                <w:sz w:val="24"/>
              </w:rPr>
              <w:t>16,002,308.55</w:t>
            </w:r>
          </w:p>
        </w:tc>
        <w:tc>
          <w:tcPr>
            <w:tcW w:w="3307" w:type="dxa"/>
            <w:vAlign w:val="center"/>
          </w:tcPr>
          <w:p w:rsidR="006E79BB" w:rsidRDefault="00112B40">
            <w:pPr>
              <w:jc w:val="right"/>
            </w:pPr>
            <w:r>
              <w:rPr>
                <w:color w:val="000000"/>
                <w:sz w:val="24"/>
              </w:rPr>
              <w:t>13.11</w:t>
            </w:r>
          </w:p>
        </w:tc>
      </w:tr>
      <w:tr w:rsidR="006E79BB">
        <w:trPr>
          <w:jc w:val="center"/>
        </w:trPr>
        <w:tc>
          <w:tcPr>
            <w:tcW w:w="2904" w:type="dxa"/>
            <w:vAlign w:val="center"/>
          </w:tcPr>
          <w:p w:rsidR="006E79BB" w:rsidRDefault="00112B40">
            <w:pPr>
              <w:jc w:val="left"/>
            </w:pPr>
            <w:r>
              <w:rPr>
                <w:color w:val="000000"/>
                <w:sz w:val="24"/>
              </w:rPr>
              <w:t>信息技术</w:t>
            </w:r>
          </w:p>
        </w:tc>
        <w:tc>
          <w:tcPr>
            <w:tcW w:w="2657" w:type="dxa"/>
            <w:vAlign w:val="center"/>
          </w:tcPr>
          <w:p w:rsidR="006E79BB" w:rsidRDefault="00112B40">
            <w:pPr>
              <w:jc w:val="right"/>
            </w:pPr>
            <w:r>
              <w:rPr>
                <w:color w:val="000000"/>
                <w:sz w:val="24"/>
              </w:rPr>
              <w:t>15,854,341.05</w:t>
            </w:r>
          </w:p>
        </w:tc>
        <w:tc>
          <w:tcPr>
            <w:tcW w:w="3307" w:type="dxa"/>
            <w:vAlign w:val="center"/>
          </w:tcPr>
          <w:p w:rsidR="006E79BB" w:rsidRDefault="00112B40">
            <w:pPr>
              <w:jc w:val="right"/>
            </w:pPr>
            <w:r>
              <w:rPr>
                <w:color w:val="000000"/>
                <w:sz w:val="24"/>
              </w:rPr>
              <w:t>12.98</w:t>
            </w:r>
          </w:p>
        </w:tc>
      </w:tr>
      <w:tr w:rsidR="006E79BB">
        <w:trPr>
          <w:jc w:val="center"/>
        </w:trPr>
        <w:tc>
          <w:tcPr>
            <w:tcW w:w="2904" w:type="dxa"/>
            <w:vAlign w:val="center"/>
          </w:tcPr>
          <w:p w:rsidR="006E79BB" w:rsidRDefault="00112B40">
            <w:pPr>
              <w:jc w:val="left"/>
            </w:pPr>
            <w:r>
              <w:rPr>
                <w:color w:val="000000"/>
                <w:sz w:val="24"/>
              </w:rPr>
              <w:t>非必需消费品</w:t>
            </w:r>
          </w:p>
        </w:tc>
        <w:tc>
          <w:tcPr>
            <w:tcW w:w="2657" w:type="dxa"/>
            <w:vAlign w:val="center"/>
          </w:tcPr>
          <w:p w:rsidR="006E79BB" w:rsidRDefault="00112B40">
            <w:pPr>
              <w:jc w:val="right"/>
            </w:pPr>
            <w:r>
              <w:rPr>
                <w:color w:val="000000"/>
                <w:sz w:val="24"/>
              </w:rPr>
              <w:t>13,805,648.10</w:t>
            </w:r>
          </w:p>
        </w:tc>
        <w:tc>
          <w:tcPr>
            <w:tcW w:w="3307" w:type="dxa"/>
            <w:vAlign w:val="center"/>
          </w:tcPr>
          <w:p w:rsidR="006E79BB" w:rsidRDefault="00112B40">
            <w:pPr>
              <w:jc w:val="right"/>
            </w:pPr>
            <w:r>
              <w:rPr>
                <w:color w:val="000000"/>
                <w:sz w:val="24"/>
              </w:rPr>
              <w:t>11.31</w:t>
            </w:r>
          </w:p>
        </w:tc>
      </w:tr>
      <w:tr w:rsidR="006E79BB">
        <w:trPr>
          <w:jc w:val="center"/>
        </w:trPr>
        <w:tc>
          <w:tcPr>
            <w:tcW w:w="2904" w:type="dxa"/>
            <w:vAlign w:val="center"/>
          </w:tcPr>
          <w:p w:rsidR="006E79BB" w:rsidRDefault="00112B40">
            <w:pPr>
              <w:jc w:val="left"/>
            </w:pPr>
            <w:r>
              <w:rPr>
                <w:color w:val="000000"/>
                <w:sz w:val="24"/>
              </w:rPr>
              <w:t>必需消费品</w:t>
            </w:r>
          </w:p>
        </w:tc>
        <w:tc>
          <w:tcPr>
            <w:tcW w:w="2657" w:type="dxa"/>
            <w:vAlign w:val="center"/>
          </w:tcPr>
          <w:p w:rsidR="006E79BB" w:rsidRDefault="00112B40">
            <w:pPr>
              <w:jc w:val="right"/>
            </w:pPr>
            <w:r>
              <w:rPr>
                <w:color w:val="000000"/>
                <w:sz w:val="24"/>
              </w:rPr>
              <w:t>11,753,170.50</w:t>
            </w:r>
          </w:p>
        </w:tc>
        <w:tc>
          <w:tcPr>
            <w:tcW w:w="3307" w:type="dxa"/>
            <w:vAlign w:val="center"/>
          </w:tcPr>
          <w:p w:rsidR="006E79BB" w:rsidRDefault="00112B40">
            <w:pPr>
              <w:jc w:val="right"/>
            </w:pPr>
            <w:r>
              <w:rPr>
                <w:color w:val="000000"/>
                <w:sz w:val="24"/>
              </w:rPr>
              <w:t>9.63</w:t>
            </w:r>
          </w:p>
        </w:tc>
      </w:tr>
      <w:tr w:rsidR="006E79BB">
        <w:trPr>
          <w:jc w:val="center"/>
        </w:trPr>
        <w:tc>
          <w:tcPr>
            <w:tcW w:w="2904" w:type="dxa"/>
            <w:vAlign w:val="center"/>
          </w:tcPr>
          <w:p w:rsidR="006E79BB" w:rsidRDefault="00112B40">
            <w:pPr>
              <w:jc w:val="left"/>
            </w:pPr>
            <w:r>
              <w:rPr>
                <w:color w:val="000000"/>
                <w:sz w:val="24"/>
              </w:rPr>
              <w:t>电信服务</w:t>
            </w:r>
          </w:p>
        </w:tc>
        <w:tc>
          <w:tcPr>
            <w:tcW w:w="2657" w:type="dxa"/>
            <w:vAlign w:val="center"/>
          </w:tcPr>
          <w:p w:rsidR="006E79BB" w:rsidRDefault="00112B40">
            <w:pPr>
              <w:jc w:val="right"/>
            </w:pPr>
            <w:r>
              <w:rPr>
                <w:color w:val="000000"/>
                <w:sz w:val="24"/>
              </w:rPr>
              <w:t>10,676,183.71</w:t>
            </w:r>
          </w:p>
        </w:tc>
        <w:tc>
          <w:tcPr>
            <w:tcW w:w="3307" w:type="dxa"/>
            <w:vAlign w:val="center"/>
          </w:tcPr>
          <w:p w:rsidR="006E79BB" w:rsidRDefault="00112B40">
            <w:pPr>
              <w:jc w:val="right"/>
            </w:pPr>
            <w:r>
              <w:rPr>
                <w:color w:val="000000"/>
                <w:sz w:val="24"/>
              </w:rPr>
              <w:t>8.74</w:t>
            </w:r>
          </w:p>
        </w:tc>
      </w:tr>
      <w:tr w:rsidR="006E79BB">
        <w:trPr>
          <w:jc w:val="center"/>
        </w:trPr>
        <w:tc>
          <w:tcPr>
            <w:tcW w:w="2904" w:type="dxa"/>
            <w:vAlign w:val="center"/>
          </w:tcPr>
          <w:p w:rsidR="006E79BB" w:rsidRDefault="00112B40">
            <w:pPr>
              <w:jc w:val="left"/>
            </w:pPr>
            <w:r>
              <w:rPr>
                <w:color w:val="000000"/>
                <w:sz w:val="24"/>
              </w:rPr>
              <w:t>工业</w:t>
            </w:r>
          </w:p>
        </w:tc>
        <w:tc>
          <w:tcPr>
            <w:tcW w:w="2657" w:type="dxa"/>
            <w:vAlign w:val="center"/>
          </w:tcPr>
          <w:p w:rsidR="006E79BB" w:rsidRDefault="00112B40">
            <w:pPr>
              <w:jc w:val="right"/>
            </w:pPr>
            <w:r>
              <w:rPr>
                <w:color w:val="000000"/>
                <w:sz w:val="24"/>
              </w:rPr>
              <w:t>10,126,003.67</w:t>
            </w:r>
          </w:p>
        </w:tc>
        <w:tc>
          <w:tcPr>
            <w:tcW w:w="3307" w:type="dxa"/>
            <w:vAlign w:val="center"/>
          </w:tcPr>
          <w:p w:rsidR="006E79BB" w:rsidRDefault="00112B40">
            <w:pPr>
              <w:jc w:val="right"/>
            </w:pPr>
            <w:r>
              <w:rPr>
                <w:color w:val="000000"/>
                <w:sz w:val="24"/>
              </w:rPr>
              <w:t>8.29</w:t>
            </w:r>
          </w:p>
        </w:tc>
      </w:tr>
      <w:tr w:rsidR="006E79BB">
        <w:trPr>
          <w:jc w:val="center"/>
        </w:trPr>
        <w:tc>
          <w:tcPr>
            <w:tcW w:w="2904" w:type="dxa"/>
            <w:vAlign w:val="center"/>
          </w:tcPr>
          <w:p w:rsidR="006E79BB" w:rsidRDefault="00112B40">
            <w:pPr>
              <w:jc w:val="left"/>
            </w:pPr>
            <w:r>
              <w:rPr>
                <w:color w:val="000000"/>
                <w:sz w:val="24"/>
              </w:rPr>
              <w:t>能源</w:t>
            </w:r>
          </w:p>
        </w:tc>
        <w:tc>
          <w:tcPr>
            <w:tcW w:w="2657" w:type="dxa"/>
            <w:vAlign w:val="center"/>
          </w:tcPr>
          <w:p w:rsidR="006E79BB" w:rsidRDefault="00112B40">
            <w:pPr>
              <w:jc w:val="right"/>
            </w:pPr>
            <w:r>
              <w:rPr>
                <w:color w:val="000000"/>
                <w:sz w:val="24"/>
              </w:rPr>
              <w:t>4,805,203.96</w:t>
            </w:r>
          </w:p>
        </w:tc>
        <w:tc>
          <w:tcPr>
            <w:tcW w:w="3307" w:type="dxa"/>
            <w:vAlign w:val="center"/>
          </w:tcPr>
          <w:p w:rsidR="006E79BB" w:rsidRDefault="00112B40">
            <w:pPr>
              <w:jc w:val="right"/>
            </w:pPr>
            <w:r>
              <w:rPr>
                <w:color w:val="000000"/>
                <w:sz w:val="24"/>
              </w:rPr>
              <w:t>3.94</w:t>
            </w:r>
          </w:p>
        </w:tc>
      </w:tr>
      <w:tr w:rsidR="006E79BB">
        <w:trPr>
          <w:jc w:val="center"/>
        </w:trPr>
        <w:tc>
          <w:tcPr>
            <w:tcW w:w="2904" w:type="dxa"/>
            <w:vAlign w:val="center"/>
          </w:tcPr>
          <w:p w:rsidR="006E79BB" w:rsidRDefault="00112B40">
            <w:pPr>
              <w:jc w:val="left"/>
            </w:pPr>
            <w:r>
              <w:rPr>
                <w:color w:val="000000"/>
                <w:sz w:val="24"/>
              </w:rPr>
              <w:t>材料</w:t>
            </w:r>
          </w:p>
        </w:tc>
        <w:tc>
          <w:tcPr>
            <w:tcW w:w="2657" w:type="dxa"/>
            <w:vAlign w:val="center"/>
          </w:tcPr>
          <w:p w:rsidR="006E79BB" w:rsidRDefault="00112B40">
            <w:pPr>
              <w:jc w:val="right"/>
            </w:pPr>
            <w:r>
              <w:rPr>
                <w:color w:val="000000"/>
                <w:sz w:val="24"/>
              </w:rPr>
              <w:t>2,783,310.81</w:t>
            </w:r>
          </w:p>
        </w:tc>
        <w:tc>
          <w:tcPr>
            <w:tcW w:w="3307" w:type="dxa"/>
            <w:vAlign w:val="center"/>
          </w:tcPr>
          <w:p w:rsidR="006E79BB" w:rsidRDefault="00112B40">
            <w:pPr>
              <w:jc w:val="right"/>
            </w:pPr>
            <w:r>
              <w:rPr>
                <w:color w:val="000000"/>
                <w:sz w:val="24"/>
              </w:rPr>
              <w:t>2.28</w:t>
            </w:r>
          </w:p>
        </w:tc>
      </w:tr>
      <w:tr w:rsidR="003E1B25" w:rsidTr="00BF2E35">
        <w:trPr>
          <w:jc w:val="center"/>
        </w:trPr>
        <w:tc>
          <w:tcPr>
            <w:tcW w:w="2904" w:type="dxa"/>
            <w:vAlign w:val="center"/>
          </w:tcPr>
          <w:p w:rsidR="003E1B25" w:rsidRDefault="003E1B25" w:rsidP="00BF2E35">
            <w:pPr>
              <w:jc w:val="left"/>
            </w:pPr>
            <w:r>
              <w:rPr>
                <w:color w:val="000000"/>
                <w:sz w:val="24"/>
              </w:rPr>
              <w:t>房地产</w:t>
            </w:r>
          </w:p>
        </w:tc>
        <w:tc>
          <w:tcPr>
            <w:tcW w:w="2657" w:type="dxa"/>
            <w:vAlign w:val="center"/>
          </w:tcPr>
          <w:p w:rsidR="003E1B25" w:rsidRDefault="003E1B25" w:rsidP="00BF2E35">
            <w:pPr>
              <w:jc w:val="right"/>
            </w:pPr>
            <w:r>
              <w:rPr>
                <w:color w:val="000000"/>
                <w:sz w:val="24"/>
              </w:rPr>
              <w:t>1,445,355.03</w:t>
            </w:r>
          </w:p>
        </w:tc>
        <w:tc>
          <w:tcPr>
            <w:tcW w:w="3307" w:type="dxa"/>
            <w:vAlign w:val="center"/>
          </w:tcPr>
          <w:p w:rsidR="003E1B25" w:rsidRDefault="003E1B25" w:rsidP="00BF2E35">
            <w:pPr>
              <w:jc w:val="right"/>
            </w:pPr>
            <w:r>
              <w:rPr>
                <w:color w:val="000000"/>
                <w:sz w:val="24"/>
              </w:rPr>
              <w:t>1.18</w:t>
            </w:r>
          </w:p>
        </w:tc>
      </w:tr>
      <w:tr w:rsidR="006E79BB">
        <w:trPr>
          <w:jc w:val="center"/>
        </w:trPr>
        <w:tc>
          <w:tcPr>
            <w:tcW w:w="2904" w:type="dxa"/>
            <w:vAlign w:val="center"/>
          </w:tcPr>
          <w:p w:rsidR="006E79BB" w:rsidRDefault="00112B40">
            <w:pPr>
              <w:jc w:val="left"/>
            </w:pPr>
            <w:bookmarkStart w:id="0" w:name="_GoBack"/>
            <w:bookmarkEnd w:id="0"/>
            <w:r>
              <w:rPr>
                <w:color w:val="000000"/>
                <w:sz w:val="24"/>
              </w:rPr>
              <w:t>公共事业</w:t>
            </w:r>
          </w:p>
        </w:tc>
        <w:tc>
          <w:tcPr>
            <w:tcW w:w="2657" w:type="dxa"/>
            <w:vAlign w:val="center"/>
          </w:tcPr>
          <w:p w:rsidR="006E79BB" w:rsidRDefault="00112B40">
            <w:pPr>
              <w:jc w:val="right"/>
            </w:pPr>
            <w:r>
              <w:rPr>
                <w:color w:val="000000"/>
                <w:sz w:val="24"/>
              </w:rPr>
              <w:t>487,198.33</w:t>
            </w:r>
          </w:p>
        </w:tc>
        <w:tc>
          <w:tcPr>
            <w:tcW w:w="3307" w:type="dxa"/>
            <w:vAlign w:val="center"/>
          </w:tcPr>
          <w:p w:rsidR="006E79BB" w:rsidRDefault="00112B40">
            <w:pPr>
              <w:jc w:val="right"/>
            </w:pPr>
            <w:r>
              <w:rPr>
                <w:color w:val="000000"/>
                <w:sz w:val="24"/>
              </w:rPr>
              <w:t>0.40</w:t>
            </w:r>
          </w:p>
        </w:tc>
      </w:tr>
      <w:tr w:rsidR="00C37E98" w:rsidRPr="008640AE" w:rsidTr="003E1B25">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104,323,337.77</w:t>
            </w:r>
          </w:p>
        </w:tc>
        <w:tc>
          <w:tcPr>
            <w:tcW w:w="330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85.44</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6E79BB">
        <w:trPr>
          <w:jc w:val="center"/>
        </w:trPr>
        <w:tc>
          <w:tcPr>
            <w:tcW w:w="1243" w:type="dxa"/>
            <w:vAlign w:val="center"/>
          </w:tcPr>
          <w:p w:rsidR="006E79BB" w:rsidRDefault="00112B40">
            <w:pPr>
              <w:jc w:val="center"/>
            </w:pPr>
            <w:r>
              <w:rPr>
                <w:color w:val="000000"/>
                <w:sz w:val="24"/>
              </w:rPr>
              <w:t>1</w:t>
            </w:r>
          </w:p>
        </w:tc>
        <w:tc>
          <w:tcPr>
            <w:tcW w:w="971" w:type="dxa"/>
            <w:vAlign w:val="center"/>
          </w:tcPr>
          <w:p w:rsidR="006E79BB" w:rsidRDefault="00112B40">
            <w:pPr>
              <w:jc w:val="center"/>
            </w:pPr>
            <w:r>
              <w:rPr>
                <w:color w:val="000000"/>
                <w:sz w:val="24"/>
              </w:rPr>
              <w:t>MERCK &amp; CO. INC.</w:t>
            </w:r>
          </w:p>
        </w:tc>
        <w:tc>
          <w:tcPr>
            <w:tcW w:w="993" w:type="dxa"/>
            <w:vAlign w:val="center"/>
          </w:tcPr>
          <w:p w:rsidR="006E79BB" w:rsidRDefault="00112B40">
            <w:pPr>
              <w:jc w:val="center"/>
            </w:pPr>
            <w:r>
              <w:rPr>
                <w:color w:val="000000"/>
                <w:sz w:val="24"/>
              </w:rPr>
              <w:t>默克公司</w:t>
            </w:r>
          </w:p>
        </w:tc>
        <w:tc>
          <w:tcPr>
            <w:tcW w:w="725" w:type="dxa"/>
            <w:vAlign w:val="center"/>
          </w:tcPr>
          <w:p w:rsidR="006E79BB" w:rsidRDefault="00112B40">
            <w:pPr>
              <w:jc w:val="center"/>
            </w:pPr>
            <w:r>
              <w:rPr>
                <w:color w:val="000000"/>
                <w:sz w:val="24"/>
              </w:rPr>
              <w:t>MRK US</w:t>
            </w:r>
          </w:p>
        </w:tc>
        <w:tc>
          <w:tcPr>
            <w:tcW w:w="747" w:type="dxa"/>
            <w:vAlign w:val="center"/>
          </w:tcPr>
          <w:p w:rsidR="006E79BB" w:rsidRDefault="00112B40">
            <w:pPr>
              <w:jc w:val="center"/>
            </w:pPr>
            <w:r>
              <w:rPr>
                <w:color w:val="000000"/>
                <w:sz w:val="24"/>
              </w:rPr>
              <w:t>美国证券交易所</w:t>
            </w:r>
          </w:p>
        </w:tc>
        <w:tc>
          <w:tcPr>
            <w:tcW w:w="975" w:type="dxa"/>
            <w:vAlign w:val="center"/>
          </w:tcPr>
          <w:p w:rsidR="006E79BB" w:rsidRDefault="00112B40">
            <w:pPr>
              <w:jc w:val="center"/>
            </w:pPr>
            <w:r>
              <w:rPr>
                <w:color w:val="000000"/>
                <w:sz w:val="24"/>
              </w:rPr>
              <w:t>美国</w:t>
            </w:r>
          </w:p>
        </w:tc>
        <w:tc>
          <w:tcPr>
            <w:tcW w:w="1175" w:type="dxa"/>
            <w:vAlign w:val="center"/>
          </w:tcPr>
          <w:p w:rsidR="006E79BB" w:rsidRDefault="00112B40">
            <w:pPr>
              <w:jc w:val="right"/>
            </w:pPr>
            <w:r>
              <w:rPr>
                <w:color w:val="000000"/>
                <w:sz w:val="24"/>
              </w:rPr>
              <w:t>4,995</w:t>
            </w:r>
          </w:p>
        </w:tc>
        <w:tc>
          <w:tcPr>
            <w:tcW w:w="975" w:type="dxa"/>
            <w:vAlign w:val="center"/>
          </w:tcPr>
          <w:p w:rsidR="006E79BB" w:rsidRDefault="00112B40">
            <w:pPr>
              <w:jc w:val="right"/>
            </w:pPr>
            <w:r>
              <w:rPr>
                <w:color w:val="000000"/>
                <w:sz w:val="24"/>
              </w:rPr>
              <w:t>2,974,006.63</w:t>
            </w:r>
          </w:p>
        </w:tc>
        <w:tc>
          <w:tcPr>
            <w:tcW w:w="1175" w:type="dxa"/>
            <w:vAlign w:val="center"/>
          </w:tcPr>
          <w:p w:rsidR="006E79BB" w:rsidRDefault="00112B40">
            <w:pPr>
              <w:jc w:val="right"/>
            </w:pPr>
            <w:r>
              <w:rPr>
                <w:color w:val="000000"/>
                <w:sz w:val="24"/>
              </w:rPr>
              <w:t>2.44</w:t>
            </w:r>
          </w:p>
        </w:tc>
      </w:tr>
      <w:tr w:rsidR="006E79BB">
        <w:trPr>
          <w:jc w:val="center"/>
        </w:trPr>
        <w:tc>
          <w:tcPr>
            <w:tcW w:w="1243" w:type="dxa"/>
            <w:vAlign w:val="center"/>
          </w:tcPr>
          <w:p w:rsidR="006E79BB" w:rsidRDefault="00112B40">
            <w:pPr>
              <w:jc w:val="center"/>
            </w:pPr>
            <w:r>
              <w:rPr>
                <w:color w:val="000000"/>
                <w:sz w:val="24"/>
              </w:rPr>
              <w:t>2</w:t>
            </w:r>
          </w:p>
        </w:tc>
        <w:tc>
          <w:tcPr>
            <w:tcW w:w="971" w:type="dxa"/>
            <w:vAlign w:val="center"/>
          </w:tcPr>
          <w:p w:rsidR="006E79BB" w:rsidRDefault="00112B40">
            <w:pPr>
              <w:jc w:val="center"/>
            </w:pPr>
            <w:r>
              <w:rPr>
                <w:color w:val="000000"/>
                <w:sz w:val="24"/>
              </w:rPr>
              <w:t>the Nestlé Group</w:t>
            </w:r>
          </w:p>
        </w:tc>
        <w:tc>
          <w:tcPr>
            <w:tcW w:w="993" w:type="dxa"/>
            <w:vAlign w:val="center"/>
          </w:tcPr>
          <w:p w:rsidR="006E79BB" w:rsidRDefault="00112B40">
            <w:pPr>
              <w:jc w:val="center"/>
            </w:pPr>
            <w:r>
              <w:rPr>
                <w:color w:val="000000"/>
                <w:sz w:val="24"/>
              </w:rPr>
              <w:t>雀巢集团</w:t>
            </w:r>
          </w:p>
        </w:tc>
        <w:tc>
          <w:tcPr>
            <w:tcW w:w="725" w:type="dxa"/>
            <w:vAlign w:val="center"/>
          </w:tcPr>
          <w:p w:rsidR="006E79BB" w:rsidRDefault="00112B40">
            <w:pPr>
              <w:jc w:val="center"/>
            </w:pPr>
            <w:r>
              <w:rPr>
                <w:color w:val="000000"/>
                <w:sz w:val="24"/>
              </w:rPr>
              <w:t>NESN SW</w:t>
            </w:r>
          </w:p>
        </w:tc>
        <w:tc>
          <w:tcPr>
            <w:tcW w:w="747" w:type="dxa"/>
            <w:vAlign w:val="center"/>
          </w:tcPr>
          <w:p w:rsidR="006E79BB" w:rsidRDefault="00112B40">
            <w:pPr>
              <w:jc w:val="center"/>
            </w:pPr>
            <w:r>
              <w:rPr>
                <w:color w:val="000000"/>
                <w:sz w:val="24"/>
              </w:rPr>
              <w:t>瑞士证券交易所</w:t>
            </w:r>
          </w:p>
        </w:tc>
        <w:tc>
          <w:tcPr>
            <w:tcW w:w="975" w:type="dxa"/>
            <w:vAlign w:val="center"/>
          </w:tcPr>
          <w:p w:rsidR="006E79BB" w:rsidRDefault="00112B40">
            <w:pPr>
              <w:jc w:val="center"/>
            </w:pPr>
            <w:r>
              <w:rPr>
                <w:color w:val="000000"/>
                <w:sz w:val="24"/>
              </w:rPr>
              <w:t>瑞士</w:t>
            </w:r>
          </w:p>
        </w:tc>
        <w:tc>
          <w:tcPr>
            <w:tcW w:w="1175" w:type="dxa"/>
            <w:vAlign w:val="center"/>
          </w:tcPr>
          <w:p w:rsidR="006E79BB" w:rsidRDefault="00112B40">
            <w:pPr>
              <w:jc w:val="right"/>
            </w:pPr>
            <w:r>
              <w:rPr>
                <w:color w:val="000000"/>
                <w:sz w:val="24"/>
              </w:rPr>
              <w:t>3,788</w:t>
            </w:r>
          </w:p>
        </w:tc>
        <w:tc>
          <w:tcPr>
            <w:tcW w:w="975" w:type="dxa"/>
            <w:vAlign w:val="center"/>
          </w:tcPr>
          <w:p w:rsidR="006E79BB" w:rsidRDefault="00112B40">
            <w:pPr>
              <w:jc w:val="right"/>
            </w:pPr>
            <w:r>
              <w:rPr>
                <w:color w:val="000000"/>
                <w:sz w:val="24"/>
              </w:rPr>
              <w:t>2,908,886.33</w:t>
            </w:r>
          </w:p>
        </w:tc>
        <w:tc>
          <w:tcPr>
            <w:tcW w:w="1175" w:type="dxa"/>
            <w:vAlign w:val="center"/>
          </w:tcPr>
          <w:p w:rsidR="006E79BB" w:rsidRDefault="00112B40">
            <w:pPr>
              <w:jc w:val="right"/>
            </w:pPr>
            <w:r>
              <w:rPr>
                <w:color w:val="000000"/>
                <w:sz w:val="24"/>
              </w:rPr>
              <w:t>2.38</w:t>
            </w:r>
          </w:p>
        </w:tc>
      </w:tr>
      <w:tr w:rsidR="006E79BB">
        <w:trPr>
          <w:jc w:val="center"/>
        </w:trPr>
        <w:tc>
          <w:tcPr>
            <w:tcW w:w="1243" w:type="dxa"/>
            <w:vAlign w:val="center"/>
          </w:tcPr>
          <w:p w:rsidR="006E79BB" w:rsidRDefault="00112B40">
            <w:pPr>
              <w:jc w:val="center"/>
            </w:pPr>
            <w:r>
              <w:rPr>
                <w:color w:val="000000"/>
                <w:sz w:val="24"/>
              </w:rPr>
              <w:t>3</w:t>
            </w:r>
          </w:p>
        </w:tc>
        <w:tc>
          <w:tcPr>
            <w:tcW w:w="971" w:type="dxa"/>
            <w:vAlign w:val="center"/>
          </w:tcPr>
          <w:p w:rsidR="006E79BB" w:rsidRDefault="00112B40">
            <w:pPr>
              <w:jc w:val="center"/>
            </w:pPr>
            <w:r>
              <w:rPr>
                <w:color w:val="000000"/>
                <w:sz w:val="24"/>
              </w:rPr>
              <w:t>Comcast Corporation</w:t>
            </w:r>
          </w:p>
        </w:tc>
        <w:tc>
          <w:tcPr>
            <w:tcW w:w="993" w:type="dxa"/>
            <w:vAlign w:val="center"/>
          </w:tcPr>
          <w:p w:rsidR="006E79BB" w:rsidRDefault="00112B40">
            <w:pPr>
              <w:jc w:val="center"/>
            </w:pPr>
            <w:r>
              <w:rPr>
                <w:color w:val="000000"/>
                <w:sz w:val="24"/>
              </w:rPr>
              <w:t>康卡斯特公司</w:t>
            </w:r>
          </w:p>
        </w:tc>
        <w:tc>
          <w:tcPr>
            <w:tcW w:w="725" w:type="dxa"/>
            <w:vAlign w:val="center"/>
          </w:tcPr>
          <w:p w:rsidR="006E79BB" w:rsidRDefault="00112B40">
            <w:pPr>
              <w:jc w:val="center"/>
            </w:pPr>
            <w:r>
              <w:rPr>
                <w:color w:val="000000"/>
                <w:sz w:val="24"/>
              </w:rPr>
              <w:t>CMCSA US</w:t>
            </w:r>
          </w:p>
        </w:tc>
        <w:tc>
          <w:tcPr>
            <w:tcW w:w="747" w:type="dxa"/>
            <w:vAlign w:val="center"/>
          </w:tcPr>
          <w:p w:rsidR="006E79BB" w:rsidRDefault="00112B40">
            <w:pPr>
              <w:jc w:val="center"/>
            </w:pPr>
            <w:r>
              <w:rPr>
                <w:color w:val="000000"/>
                <w:sz w:val="24"/>
              </w:rPr>
              <w:t>美国证券交易所</w:t>
            </w:r>
          </w:p>
        </w:tc>
        <w:tc>
          <w:tcPr>
            <w:tcW w:w="975" w:type="dxa"/>
            <w:vAlign w:val="center"/>
          </w:tcPr>
          <w:p w:rsidR="006E79BB" w:rsidRDefault="00112B40">
            <w:pPr>
              <w:jc w:val="center"/>
            </w:pPr>
            <w:r>
              <w:rPr>
                <w:color w:val="000000"/>
                <w:sz w:val="24"/>
              </w:rPr>
              <w:t>美国</w:t>
            </w:r>
          </w:p>
        </w:tc>
        <w:tc>
          <w:tcPr>
            <w:tcW w:w="1175" w:type="dxa"/>
            <w:vAlign w:val="center"/>
          </w:tcPr>
          <w:p w:rsidR="006E79BB" w:rsidRDefault="00112B40">
            <w:pPr>
              <w:jc w:val="right"/>
            </w:pPr>
            <w:r>
              <w:rPr>
                <w:color w:val="000000"/>
                <w:sz w:val="24"/>
              </w:rPr>
              <w:t>9,086</w:t>
            </w:r>
          </w:p>
        </w:tc>
        <w:tc>
          <w:tcPr>
            <w:tcW w:w="975" w:type="dxa"/>
            <w:vAlign w:val="center"/>
          </w:tcPr>
          <w:p w:rsidR="006E79BB" w:rsidRDefault="00112B40">
            <w:pPr>
              <w:jc w:val="right"/>
            </w:pPr>
            <w:r>
              <w:rPr>
                <w:color w:val="000000"/>
                <w:sz w:val="24"/>
              </w:rPr>
              <w:t>2,897,037.77</w:t>
            </w:r>
          </w:p>
        </w:tc>
        <w:tc>
          <w:tcPr>
            <w:tcW w:w="1175" w:type="dxa"/>
            <w:vAlign w:val="center"/>
          </w:tcPr>
          <w:p w:rsidR="006E79BB" w:rsidRDefault="00112B40">
            <w:pPr>
              <w:jc w:val="right"/>
            </w:pPr>
            <w:r>
              <w:rPr>
                <w:color w:val="000000"/>
                <w:sz w:val="24"/>
              </w:rPr>
              <w:t>2.37</w:t>
            </w:r>
          </w:p>
        </w:tc>
      </w:tr>
      <w:tr w:rsidR="006E79BB">
        <w:trPr>
          <w:jc w:val="center"/>
        </w:trPr>
        <w:tc>
          <w:tcPr>
            <w:tcW w:w="1243" w:type="dxa"/>
            <w:vAlign w:val="center"/>
          </w:tcPr>
          <w:p w:rsidR="006E79BB" w:rsidRDefault="00112B40">
            <w:pPr>
              <w:jc w:val="center"/>
            </w:pPr>
            <w:r>
              <w:rPr>
                <w:color w:val="000000"/>
                <w:sz w:val="24"/>
              </w:rPr>
              <w:t>4</w:t>
            </w:r>
          </w:p>
        </w:tc>
        <w:tc>
          <w:tcPr>
            <w:tcW w:w="971" w:type="dxa"/>
            <w:vAlign w:val="center"/>
          </w:tcPr>
          <w:p w:rsidR="006E79BB" w:rsidRDefault="00112B40">
            <w:pPr>
              <w:jc w:val="center"/>
            </w:pPr>
            <w:r>
              <w:rPr>
                <w:color w:val="000000"/>
                <w:sz w:val="24"/>
              </w:rPr>
              <w:t>Texas Instruments Inc</w:t>
            </w:r>
          </w:p>
        </w:tc>
        <w:tc>
          <w:tcPr>
            <w:tcW w:w="993" w:type="dxa"/>
            <w:vAlign w:val="center"/>
          </w:tcPr>
          <w:p w:rsidR="006E79BB" w:rsidRDefault="00112B40">
            <w:pPr>
              <w:jc w:val="center"/>
            </w:pPr>
            <w:r>
              <w:rPr>
                <w:color w:val="000000"/>
                <w:sz w:val="24"/>
              </w:rPr>
              <w:t>德州仪器公司</w:t>
            </w:r>
          </w:p>
        </w:tc>
        <w:tc>
          <w:tcPr>
            <w:tcW w:w="725" w:type="dxa"/>
            <w:vAlign w:val="center"/>
          </w:tcPr>
          <w:p w:rsidR="006E79BB" w:rsidRDefault="00112B40">
            <w:pPr>
              <w:jc w:val="center"/>
            </w:pPr>
            <w:r>
              <w:rPr>
                <w:color w:val="000000"/>
                <w:sz w:val="24"/>
              </w:rPr>
              <w:t>TXN US</w:t>
            </w:r>
          </w:p>
        </w:tc>
        <w:tc>
          <w:tcPr>
            <w:tcW w:w="747" w:type="dxa"/>
            <w:vAlign w:val="center"/>
          </w:tcPr>
          <w:p w:rsidR="006E79BB" w:rsidRDefault="00112B40">
            <w:pPr>
              <w:jc w:val="center"/>
            </w:pPr>
            <w:r>
              <w:rPr>
                <w:color w:val="000000"/>
                <w:sz w:val="24"/>
              </w:rPr>
              <w:t>美国证券交易所</w:t>
            </w:r>
          </w:p>
        </w:tc>
        <w:tc>
          <w:tcPr>
            <w:tcW w:w="975" w:type="dxa"/>
            <w:vAlign w:val="center"/>
          </w:tcPr>
          <w:p w:rsidR="006E79BB" w:rsidRDefault="00112B40">
            <w:pPr>
              <w:jc w:val="center"/>
            </w:pPr>
            <w:r>
              <w:rPr>
                <w:color w:val="000000"/>
                <w:sz w:val="24"/>
              </w:rPr>
              <w:t>美国</w:t>
            </w:r>
          </w:p>
        </w:tc>
        <w:tc>
          <w:tcPr>
            <w:tcW w:w="1175" w:type="dxa"/>
            <w:vAlign w:val="center"/>
          </w:tcPr>
          <w:p w:rsidR="006E79BB" w:rsidRDefault="00112B40">
            <w:pPr>
              <w:jc w:val="right"/>
            </w:pPr>
            <w:r>
              <w:rPr>
                <w:color w:val="000000"/>
                <w:sz w:val="24"/>
              </w:rPr>
              <w:t>3,003</w:t>
            </w:r>
          </w:p>
        </w:tc>
        <w:tc>
          <w:tcPr>
            <w:tcW w:w="975" w:type="dxa"/>
            <w:vAlign w:val="center"/>
          </w:tcPr>
          <w:p w:rsidR="006E79BB" w:rsidRDefault="00112B40">
            <w:pPr>
              <w:jc w:val="right"/>
            </w:pPr>
            <w:r>
              <w:rPr>
                <w:color w:val="000000"/>
                <w:sz w:val="24"/>
              </w:rPr>
              <w:t>2,745,047.09</w:t>
            </w:r>
          </w:p>
        </w:tc>
        <w:tc>
          <w:tcPr>
            <w:tcW w:w="1175" w:type="dxa"/>
            <w:vAlign w:val="center"/>
          </w:tcPr>
          <w:p w:rsidR="006E79BB" w:rsidRDefault="00112B40">
            <w:pPr>
              <w:jc w:val="right"/>
            </w:pPr>
            <w:r>
              <w:rPr>
                <w:color w:val="000000"/>
                <w:sz w:val="24"/>
              </w:rPr>
              <w:t>2.25</w:t>
            </w:r>
          </w:p>
        </w:tc>
      </w:tr>
      <w:tr w:rsidR="006E79BB">
        <w:trPr>
          <w:jc w:val="center"/>
        </w:trPr>
        <w:tc>
          <w:tcPr>
            <w:tcW w:w="1243" w:type="dxa"/>
            <w:vAlign w:val="center"/>
          </w:tcPr>
          <w:p w:rsidR="006E79BB" w:rsidRDefault="00112B40">
            <w:pPr>
              <w:jc w:val="center"/>
            </w:pPr>
            <w:r>
              <w:rPr>
                <w:color w:val="000000"/>
                <w:sz w:val="24"/>
              </w:rPr>
              <w:t>5</w:t>
            </w:r>
          </w:p>
        </w:tc>
        <w:tc>
          <w:tcPr>
            <w:tcW w:w="971" w:type="dxa"/>
            <w:vAlign w:val="center"/>
          </w:tcPr>
          <w:p w:rsidR="006E79BB" w:rsidRDefault="00112B40">
            <w:pPr>
              <w:jc w:val="center"/>
            </w:pPr>
            <w:r>
              <w:rPr>
                <w:color w:val="000000"/>
                <w:sz w:val="24"/>
              </w:rPr>
              <w:t>TOTAL SA</w:t>
            </w:r>
          </w:p>
        </w:tc>
        <w:tc>
          <w:tcPr>
            <w:tcW w:w="993" w:type="dxa"/>
            <w:vAlign w:val="center"/>
          </w:tcPr>
          <w:p w:rsidR="006E79BB" w:rsidRDefault="00112B40">
            <w:pPr>
              <w:jc w:val="center"/>
            </w:pPr>
            <w:r>
              <w:rPr>
                <w:color w:val="000000"/>
                <w:sz w:val="24"/>
              </w:rPr>
              <w:t>道达尔公司</w:t>
            </w:r>
          </w:p>
        </w:tc>
        <w:tc>
          <w:tcPr>
            <w:tcW w:w="725" w:type="dxa"/>
            <w:vAlign w:val="center"/>
          </w:tcPr>
          <w:p w:rsidR="006E79BB" w:rsidRDefault="00112B40">
            <w:pPr>
              <w:jc w:val="center"/>
            </w:pPr>
            <w:r>
              <w:rPr>
                <w:color w:val="000000"/>
                <w:sz w:val="24"/>
              </w:rPr>
              <w:t>FP FP</w:t>
            </w:r>
          </w:p>
        </w:tc>
        <w:tc>
          <w:tcPr>
            <w:tcW w:w="747" w:type="dxa"/>
            <w:vAlign w:val="center"/>
          </w:tcPr>
          <w:p w:rsidR="006E79BB" w:rsidRDefault="00112B40">
            <w:pPr>
              <w:jc w:val="center"/>
            </w:pPr>
            <w:r>
              <w:rPr>
                <w:color w:val="000000"/>
                <w:sz w:val="24"/>
              </w:rPr>
              <w:t>法国证券交易所</w:t>
            </w:r>
          </w:p>
        </w:tc>
        <w:tc>
          <w:tcPr>
            <w:tcW w:w="975" w:type="dxa"/>
            <w:vAlign w:val="center"/>
          </w:tcPr>
          <w:p w:rsidR="006E79BB" w:rsidRDefault="00112B40">
            <w:pPr>
              <w:jc w:val="center"/>
            </w:pPr>
            <w:r>
              <w:rPr>
                <w:color w:val="000000"/>
                <w:sz w:val="24"/>
              </w:rPr>
              <w:t>法国</w:t>
            </w:r>
          </w:p>
        </w:tc>
        <w:tc>
          <w:tcPr>
            <w:tcW w:w="1175" w:type="dxa"/>
            <w:vAlign w:val="center"/>
          </w:tcPr>
          <w:p w:rsidR="006E79BB" w:rsidRDefault="00112B40">
            <w:pPr>
              <w:jc w:val="right"/>
            </w:pPr>
            <w:r>
              <w:rPr>
                <w:color w:val="000000"/>
                <w:sz w:val="24"/>
              </w:rPr>
              <w:t>7,313</w:t>
            </w:r>
          </w:p>
        </w:tc>
        <w:tc>
          <w:tcPr>
            <w:tcW w:w="975" w:type="dxa"/>
            <w:vAlign w:val="center"/>
          </w:tcPr>
          <w:p w:rsidR="006E79BB" w:rsidRDefault="00112B40">
            <w:pPr>
              <w:jc w:val="right"/>
            </w:pPr>
            <w:r>
              <w:rPr>
                <w:color w:val="000000"/>
                <w:sz w:val="24"/>
              </w:rPr>
              <w:t>2,700,341.46</w:t>
            </w:r>
          </w:p>
        </w:tc>
        <w:tc>
          <w:tcPr>
            <w:tcW w:w="1175" w:type="dxa"/>
            <w:vAlign w:val="center"/>
          </w:tcPr>
          <w:p w:rsidR="006E79BB" w:rsidRDefault="00112B40">
            <w:pPr>
              <w:jc w:val="right"/>
            </w:pPr>
            <w:r>
              <w:rPr>
                <w:color w:val="000000"/>
                <w:sz w:val="24"/>
              </w:rPr>
              <w:t>2.21</w:t>
            </w:r>
          </w:p>
        </w:tc>
      </w:tr>
      <w:tr w:rsidR="006E79BB">
        <w:trPr>
          <w:jc w:val="center"/>
        </w:trPr>
        <w:tc>
          <w:tcPr>
            <w:tcW w:w="1243" w:type="dxa"/>
            <w:vAlign w:val="center"/>
          </w:tcPr>
          <w:p w:rsidR="006E79BB" w:rsidRDefault="00112B40">
            <w:pPr>
              <w:jc w:val="center"/>
            </w:pPr>
            <w:r>
              <w:rPr>
                <w:color w:val="000000"/>
                <w:sz w:val="24"/>
              </w:rPr>
              <w:t>6</w:t>
            </w:r>
          </w:p>
        </w:tc>
        <w:tc>
          <w:tcPr>
            <w:tcW w:w="971" w:type="dxa"/>
            <w:vAlign w:val="center"/>
          </w:tcPr>
          <w:p w:rsidR="006E79BB" w:rsidRDefault="00112B40">
            <w:pPr>
              <w:jc w:val="center"/>
            </w:pPr>
            <w:r>
              <w:rPr>
                <w:color w:val="000000"/>
                <w:sz w:val="24"/>
              </w:rPr>
              <w:t>ROCHE HOLDING AG-GEN</w:t>
            </w:r>
          </w:p>
        </w:tc>
        <w:tc>
          <w:tcPr>
            <w:tcW w:w="993" w:type="dxa"/>
            <w:vAlign w:val="center"/>
          </w:tcPr>
          <w:p w:rsidR="006E79BB" w:rsidRDefault="00112B40">
            <w:pPr>
              <w:jc w:val="center"/>
            </w:pPr>
            <w:r>
              <w:rPr>
                <w:color w:val="000000"/>
                <w:sz w:val="24"/>
              </w:rPr>
              <w:t>罗氏控股</w:t>
            </w:r>
          </w:p>
        </w:tc>
        <w:tc>
          <w:tcPr>
            <w:tcW w:w="725" w:type="dxa"/>
            <w:vAlign w:val="center"/>
          </w:tcPr>
          <w:p w:rsidR="006E79BB" w:rsidRDefault="00112B40">
            <w:pPr>
              <w:jc w:val="center"/>
            </w:pPr>
            <w:r>
              <w:rPr>
                <w:color w:val="000000"/>
                <w:sz w:val="24"/>
              </w:rPr>
              <w:t>ROG SW</w:t>
            </w:r>
          </w:p>
        </w:tc>
        <w:tc>
          <w:tcPr>
            <w:tcW w:w="747" w:type="dxa"/>
            <w:vAlign w:val="center"/>
          </w:tcPr>
          <w:p w:rsidR="006E79BB" w:rsidRDefault="00112B40">
            <w:pPr>
              <w:jc w:val="center"/>
            </w:pPr>
            <w:r>
              <w:rPr>
                <w:color w:val="000000"/>
                <w:sz w:val="24"/>
              </w:rPr>
              <w:t>瑞士证券交易所</w:t>
            </w:r>
          </w:p>
        </w:tc>
        <w:tc>
          <w:tcPr>
            <w:tcW w:w="975" w:type="dxa"/>
            <w:vAlign w:val="center"/>
          </w:tcPr>
          <w:p w:rsidR="006E79BB" w:rsidRDefault="00112B40">
            <w:pPr>
              <w:jc w:val="center"/>
            </w:pPr>
            <w:r>
              <w:rPr>
                <w:color w:val="000000"/>
                <w:sz w:val="24"/>
              </w:rPr>
              <w:t>瑞士</w:t>
            </w:r>
          </w:p>
        </w:tc>
        <w:tc>
          <w:tcPr>
            <w:tcW w:w="1175" w:type="dxa"/>
            <w:vAlign w:val="center"/>
          </w:tcPr>
          <w:p w:rsidR="006E79BB" w:rsidRDefault="00112B40">
            <w:pPr>
              <w:jc w:val="right"/>
            </w:pPr>
            <w:r>
              <w:rPr>
                <w:color w:val="000000"/>
                <w:sz w:val="24"/>
              </w:rPr>
              <w:t>1,270</w:t>
            </w:r>
          </w:p>
        </w:tc>
        <w:tc>
          <w:tcPr>
            <w:tcW w:w="975" w:type="dxa"/>
            <w:vAlign w:val="center"/>
          </w:tcPr>
          <w:p w:rsidR="006E79BB" w:rsidRDefault="00112B40">
            <w:pPr>
              <w:jc w:val="right"/>
            </w:pPr>
            <w:r>
              <w:rPr>
                <w:color w:val="000000"/>
                <w:sz w:val="24"/>
              </w:rPr>
              <w:t>2,616,035.51</w:t>
            </w:r>
          </w:p>
        </w:tc>
        <w:tc>
          <w:tcPr>
            <w:tcW w:w="1175" w:type="dxa"/>
            <w:vAlign w:val="center"/>
          </w:tcPr>
          <w:p w:rsidR="006E79BB" w:rsidRDefault="00112B40">
            <w:pPr>
              <w:jc w:val="right"/>
            </w:pPr>
            <w:r>
              <w:rPr>
                <w:color w:val="000000"/>
                <w:sz w:val="24"/>
              </w:rPr>
              <w:t>2.14</w:t>
            </w:r>
          </w:p>
        </w:tc>
      </w:tr>
      <w:tr w:rsidR="006E79BB">
        <w:trPr>
          <w:jc w:val="center"/>
        </w:trPr>
        <w:tc>
          <w:tcPr>
            <w:tcW w:w="1243" w:type="dxa"/>
            <w:vAlign w:val="center"/>
          </w:tcPr>
          <w:p w:rsidR="006E79BB" w:rsidRDefault="00112B40">
            <w:pPr>
              <w:jc w:val="center"/>
            </w:pPr>
            <w:r>
              <w:rPr>
                <w:color w:val="000000"/>
                <w:sz w:val="24"/>
              </w:rPr>
              <w:t>7</w:t>
            </w:r>
          </w:p>
        </w:tc>
        <w:tc>
          <w:tcPr>
            <w:tcW w:w="971" w:type="dxa"/>
            <w:vAlign w:val="center"/>
          </w:tcPr>
          <w:p w:rsidR="006E79BB" w:rsidRDefault="00112B40">
            <w:pPr>
              <w:jc w:val="center"/>
            </w:pPr>
            <w:r>
              <w:rPr>
                <w:color w:val="000000"/>
                <w:sz w:val="24"/>
              </w:rPr>
              <w:t>Amazon.Com Inc</w:t>
            </w:r>
          </w:p>
        </w:tc>
        <w:tc>
          <w:tcPr>
            <w:tcW w:w="993" w:type="dxa"/>
            <w:vAlign w:val="center"/>
          </w:tcPr>
          <w:p w:rsidR="006E79BB" w:rsidRDefault="00112B40">
            <w:pPr>
              <w:jc w:val="center"/>
            </w:pPr>
            <w:r>
              <w:rPr>
                <w:color w:val="000000"/>
                <w:sz w:val="24"/>
              </w:rPr>
              <w:t>亚马逊公司</w:t>
            </w:r>
          </w:p>
        </w:tc>
        <w:tc>
          <w:tcPr>
            <w:tcW w:w="725" w:type="dxa"/>
            <w:vAlign w:val="center"/>
          </w:tcPr>
          <w:p w:rsidR="006E79BB" w:rsidRDefault="00112B40">
            <w:pPr>
              <w:jc w:val="center"/>
            </w:pPr>
            <w:r>
              <w:rPr>
                <w:color w:val="000000"/>
                <w:sz w:val="24"/>
              </w:rPr>
              <w:t>AMZN US</w:t>
            </w:r>
          </w:p>
        </w:tc>
        <w:tc>
          <w:tcPr>
            <w:tcW w:w="747" w:type="dxa"/>
            <w:vAlign w:val="center"/>
          </w:tcPr>
          <w:p w:rsidR="006E79BB" w:rsidRDefault="00112B40">
            <w:pPr>
              <w:jc w:val="center"/>
            </w:pPr>
            <w:r>
              <w:rPr>
                <w:color w:val="000000"/>
                <w:sz w:val="24"/>
              </w:rPr>
              <w:t>美国证券交易所</w:t>
            </w:r>
          </w:p>
        </w:tc>
        <w:tc>
          <w:tcPr>
            <w:tcW w:w="975" w:type="dxa"/>
            <w:vAlign w:val="center"/>
          </w:tcPr>
          <w:p w:rsidR="006E79BB" w:rsidRDefault="00112B40">
            <w:pPr>
              <w:jc w:val="center"/>
            </w:pPr>
            <w:r>
              <w:rPr>
                <w:color w:val="000000"/>
                <w:sz w:val="24"/>
              </w:rPr>
              <w:t>美国</w:t>
            </w:r>
          </w:p>
        </w:tc>
        <w:tc>
          <w:tcPr>
            <w:tcW w:w="1175" w:type="dxa"/>
            <w:vAlign w:val="center"/>
          </w:tcPr>
          <w:p w:rsidR="006E79BB" w:rsidRDefault="00112B40">
            <w:pPr>
              <w:jc w:val="right"/>
            </w:pPr>
            <w:r>
              <w:rPr>
                <w:color w:val="000000"/>
                <w:sz w:val="24"/>
              </w:rPr>
              <w:t>212</w:t>
            </w:r>
          </w:p>
        </w:tc>
        <w:tc>
          <w:tcPr>
            <w:tcW w:w="975" w:type="dxa"/>
            <w:vAlign w:val="center"/>
          </w:tcPr>
          <w:p w:rsidR="006E79BB" w:rsidRDefault="00112B40">
            <w:pPr>
              <w:jc w:val="right"/>
            </w:pPr>
            <w:r>
              <w:rPr>
                <w:color w:val="000000"/>
                <w:sz w:val="24"/>
              </w:rPr>
              <w:t>2,602,918.58</w:t>
            </w:r>
          </w:p>
        </w:tc>
        <w:tc>
          <w:tcPr>
            <w:tcW w:w="1175" w:type="dxa"/>
            <w:vAlign w:val="center"/>
          </w:tcPr>
          <w:p w:rsidR="006E79BB" w:rsidRDefault="00112B40">
            <w:pPr>
              <w:jc w:val="right"/>
            </w:pPr>
            <w:r>
              <w:rPr>
                <w:color w:val="000000"/>
                <w:sz w:val="24"/>
              </w:rPr>
              <w:t>2.13</w:t>
            </w:r>
          </w:p>
        </w:tc>
      </w:tr>
      <w:tr w:rsidR="006E79BB">
        <w:trPr>
          <w:jc w:val="center"/>
        </w:trPr>
        <w:tc>
          <w:tcPr>
            <w:tcW w:w="1243" w:type="dxa"/>
            <w:vAlign w:val="center"/>
          </w:tcPr>
          <w:p w:rsidR="006E79BB" w:rsidRDefault="00112B40">
            <w:pPr>
              <w:jc w:val="center"/>
            </w:pPr>
            <w:r>
              <w:rPr>
                <w:color w:val="000000"/>
                <w:sz w:val="24"/>
              </w:rPr>
              <w:t>8</w:t>
            </w:r>
          </w:p>
        </w:tc>
        <w:tc>
          <w:tcPr>
            <w:tcW w:w="971" w:type="dxa"/>
            <w:vAlign w:val="center"/>
          </w:tcPr>
          <w:p w:rsidR="006E79BB" w:rsidRDefault="00112B40">
            <w:pPr>
              <w:jc w:val="center"/>
            </w:pPr>
            <w:r>
              <w:rPr>
                <w:color w:val="000000"/>
                <w:sz w:val="24"/>
              </w:rPr>
              <w:t>Danaher</w:t>
            </w:r>
          </w:p>
        </w:tc>
        <w:tc>
          <w:tcPr>
            <w:tcW w:w="993" w:type="dxa"/>
            <w:vAlign w:val="center"/>
          </w:tcPr>
          <w:p w:rsidR="006E79BB" w:rsidRDefault="00112B40">
            <w:pPr>
              <w:jc w:val="center"/>
            </w:pPr>
            <w:r>
              <w:rPr>
                <w:color w:val="000000"/>
                <w:sz w:val="24"/>
              </w:rPr>
              <w:t>丹纳赫</w:t>
            </w:r>
          </w:p>
        </w:tc>
        <w:tc>
          <w:tcPr>
            <w:tcW w:w="725" w:type="dxa"/>
            <w:vAlign w:val="center"/>
          </w:tcPr>
          <w:p w:rsidR="006E79BB" w:rsidRDefault="00112B40">
            <w:pPr>
              <w:jc w:val="center"/>
            </w:pPr>
            <w:r>
              <w:rPr>
                <w:color w:val="000000"/>
                <w:sz w:val="24"/>
              </w:rPr>
              <w:t>DHR US</w:t>
            </w:r>
          </w:p>
        </w:tc>
        <w:tc>
          <w:tcPr>
            <w:tcW w:w="747" w:type="dxa"/>
            <w:vAlign w:val="center"/>
          </w:tcPr>
          <w:p w:rsidR="006E79BB" w:rsidRDefault="00112B40">
            <w:pPr>
              <w:jc w:val="center"/>
            </w:pPr>
            <w:r>
              <w:rPr>
                <w:color w:val="000000"/>
                <w:sz w:val="24"/>
              </w:rPr>
              <w:t>美国证券交易所</w:t>
            </w:r>
          </w:p>
        </w:tc>
        <w:tc>
          <w:tcPr>
            <w:tcW w:w="975" w:type="dxa"/>
            <w:vAlign w:val="center"/>
          </w:tcPr>
          <w:p w:rsidR="006E79BB" w:rsidRDefault="00112B40">
            <w:pPr>
              <w:jc w:val="center"/>
            </w:pPr>
            <w:r>
              <w:rPr>
                <w:color w:val="000000"/>
                <w:sz w:val="24"/>
              </w:rPr>
              <w:t>美国</w:t>
            </w:r>
          </w:p>
        </w:tc>
        <w:tc>
          <w:tcPr>
            <w:tcW w:w="1175" w:type="dxa"/>
            <w:vAlign w:val="center"/>
          </w:tcPr>
          <w:p w:rsidR="006E79BB" w:rsidRDefault="00112B40">
            <w:pPr>
              <w:jc w:val="right"/>
            </w:pPr>
            <w:r>
              <w:rPr>
                <w:color w:val="000000"/>
                <w:sz w:val="24"/>
              </w:rPr>
              <w:t>2,546</w:t>
            </w:r>
          </w:p>
        </w:tc>
        <w:tc>
          <w:tcPr>
            <w:tcW w:w="975" w:type="dxa"/>
            <w:vAlign w:val="center"/>
          </w:tcPr>
          <w:p w:rsidR="006E79BB" w:rsidRDefault="00112B40">
            <w:pPr>
              <w:jc w:val="right"/>
            </w:pPr>
            <w:r>
              <w:rPr>
                <w:color w:val="000000"/>
                <w:sz w:val="24"/>
              </w:rPr>
              <w:t>2,600,838.16</w:t>
            </w:r>
          </w:p>
        </w:tc>
        <w:tc>
          <w:tcPr>
            <w:tcW w:w="1175" w:type="dxa"/>
            <w:vAlign w:val="center"/>
          </w:tcPr>
          <w:p w:rsidR="006E79BB" w:rsidRDefault="00112B40">
            <w:pPr>
              <w:jc w:val="right"/>
            </w:pPr>
            <w:r>
              <w:rPr>
                <w:color w:val="000000"/>
                <w:sz w:val="24"/>
              </w:rPr>
              <w:t>2.13</w:t>
            </w:r>
          </w:p>
        </w:tc>
      </w:tr>
      <w:tr w:rsidR="006E79BB">
        <w:trPr>
          <w:jc w:val="center"/>
        </w:trPr>
        <w:tc>
          <w:tcPr>
            <w:tcW w:w="1243" w:type="dxa"/>
            <w:vAlign w:val="center"/>
          </w:tcPr>
          <w:p w:rsidR="006E79BB" w:rsidRDefault="00112B40">
            <w:pPr>
              <w:jc w:val="center"/>
            </w:pPr>
            <w:r>
              <w:rPr>
                <w:color w:val="000000"/>
                <w:sz w:val="24"/>
              </w:rPr>
              <w:t>9</w:t>
            </w:r>
          </w:p>
        </w:tc>
        <w:tc>
          <w:tcPr>
            <w:tcW w:w="971" w:type="dxa"/>
            <w:vAlign w:val="center"/>
          </w:tcPr>
          <w:p w:rsidR="006E79BB" w:rsidRDefault="00112B40">
            <w:pPr>
              <w:jc w:val="center"/>
            </w:pPr>
            <w:r>
              <w:rPr>
                <w:color w:val="000000"/>
                <w:sz w:val="24"/>
              </w:rPr>
              <w:t>T-Mobile US Inc</w:t>
            </w:r>
          </w:p>
        </w:tc>
        <w:tc>
          <w:tcPr>
            <w:tcW w:w="993" w:type="dxa"/>
            <w:vAlign w:val="center"/>
          </w:tcPr>
          <w:p w:rsidR="006E79BB" w:rsidRDefault="00112B40">
            <w:pPr>
              <w:jc w:val="center"/>
            </w:pPr>
            <w:r>
              <w:rPr>
                <w:color w:val="000000"/>
                <w:sz w:val="24"/>
              </w:rPr>
              <w:t>T-Mobile US</w:t>
            </w:r>
            <w:r>
              <w:rPr>
                <w:color w:val="000000"/>
                <w:sz w:val="24"/>
              </w:rPr>
              <w:t>有限公司</w:t>
            </w:r>
          </w:p>
        </w:tc>
        <w:tc>
          <w:tcPr>
            <w:tcW w:w="725" w:type="dxa"/>
            <w:vAlign w:val="center"/>
          </w:tcPr>
          <w:p w:rsidR="006E79BB" w:rsidRDefault="00112B40">
            <w:pPr>
              <w:jc w:val="center"/>
            </w:pPr>
            <w:r>
              <w:rPr>
                <w:color w:val="000000"/>
                <w:sz w:val="24"/>
              </w:rPr>
              <w:t>TMUS US</w:t>
            </w:r>
          </w:p>
        </w:tc>
        <w:tc>
          <w:tcPr>
            <w:tcW w:w="747" w:type="dxa"/>
            <w:vAlign w:val="center"/>
          </w:tcPr>
          <w:p w:rsidR="006E79BB" w:rsidRDefault="00112B40">
            <w:pPr>
              <w:jc w:val="center"/>
            </w:pPr>
            <w:r>
              <w:rPr>
                <w:color w:val="000000"/>
                <w:sz w:val="24"/>
              </w:rPr>
              <w:t>美国证券交易所</w:t>
            </w:r>
          </w:p>
        </w:tc>
        <w:tc>
          <w:tcPr>
            <w:tcW w:w="975" w:type="dxa"/>
            <w:vAlign w:val="center"/>
          </w:tcPr>
          <w:p w:rsidR="006E79BB" w:rsidRDefault="00112B40">
            <w:pPr>
              <w:jc w:val="center"/>
            </w:pPr>
            <w:r>
              <w:rPr>
                <w:color w:val="000000"/>
                <w:sz w:val="24"/>
              </w:rPr>
              <w:t>美国</w:t>
            </w:r>
          </w:p>
        </w:tc>
        <w:tc>
          <w:tcPr>
            <w:tcW w:w="1175" w:type="dxa"/>
            <w:vAlign w:val="center"/>
          </w:tcPr>
          <w:p w:rsidR="006E79BB" w:rsidRDefault="00112B40">
            <w:pPr>
              <w:jc w:val="right"/>
            </w:pPr>
            <w:r>
              <w:rPr>
                <w:color w:val="000000"/>
                <w:sz w:val="24"/>
              </w:rPr>
              <w:t>4,357</w:t>
            </w:r>
          </w:p>
        </w:tc>
        <w:tc>
          <w:tcPr>
            <w:tcW w:w="975" w:type="dxa"/>
            <w:vAlign w:val="center"/>
          </w:tcPr>
          <w:p w:rsidR="006E79BB" w:rsidRDefault="00112B40">
            <w:pPr>
              <w:jc w:val="right"/>
            </w:pPr>
            <w:r>
              <w:rPr>
                <w:color w:val="000000"/>
                <w:sz w:val="24"/>
              </w:rPr>
              <w:t>2,427,425.57</w:t>
            </w:r>
          </w:p>
        </w:tc>
        <w:tc>
          <w:tcPr>
            <w:tcW w:w="1175" w:type="dxa"/>
            <w:vAlign w:val="center"/>
          </w:tcPr>
          <w:p w:rsidR="006E79BB" w:rsidRDefault="00112B40">
            <w:pPr>
              <w:jc w:val="right"/>
            </w:pPr>
            <w:r>
              <w:rPr>
                <w:color w:val="000000"/>
                <w:sz w:val="24"/>
              </w:rPr>
              <w:t>1.99</w:t>
            </w:r>
          </w:p>
        </w:tc>
      </w:tr>
      <w:tr w:rsidR="006E79BB">
        <w:trPr>
          <w:jc w:val="center"/>
        </w:trPr>
        <w:tc>
          <w:tcPr>
            <w:tcW w:w="1243" w:type="dxa"/>
            <w:vAlign w:val="center"/>
          </w:tcPr>
          <w:p w:rsidR="006E79BB" w:rsidRDefault="00112B40">
            <w:pPr>
              <w:jc w:val="center"/>
            </w:pPr>
            <w:r>
              <w:rPr>
                <w:color w:val="000000"/>
                <w:sz w:val="24"/>
              </w:rPr>
              <w:t>10</w:t>
            </w:r>
          </w:p>
        </w:tc>
        <w:tc>
          <w:tcPr>
            <w:tcW w:w="971" w:type="dxa"/>
            <w:vAlign w:val="center"/>
          </w:tcPr>
          <w:p w:rsidR="006E79BB" w:rsidRDefault="00112B40">
            <w:pPr>
              <w:jc w:val="center"/>
            </w:pPr>
            <w:r>
              <w:rPr>
                <w:color w:val="000000"/>
                <w:sz w:val="24"/>
              </w:rPr>
              <w:t>ASML HOLDING NV</w:t>
            </w:r>
          </w:p>
        </w:tc>
        <w:tc>
          <w:tcPr>
            <w:tcW w:w="993" w:type="dxa"/>
            <w:vAlign w:val="center"/>
          </w:tcPr>
          <w:p w:rsidR="006E79BB" w:rsidRDefault="00112B40">
            <w:pPr>
              <w:jc w:val="center"/>
            </w:pPr>
            <w:r>
              <w:rPr>
                <w:color w:val="000000"/>
                <w:sz w:val="24"/>
              </w:rPr>
              <w:t>阿斯麦公司</w:t>
            </w:r>
          </w:p>
        </w:tc>
        <w:tc>
          <w:tcPr>
            <w:tcW w:w="725" w:type="dxa"/>
            <w:vAlign w:val="center"/>
          </w:tcPr>
          <w:p w:rsidR="006E79BB" w:rsidRDefault="00112B40">
            <w:pPr>
              <w:jc w:val="center"/>
            </w:pPr>
            <w:r>
              <w:rPr>
                <w:color w:val="000000"/>
                <w:sz w:val="24"/>
              </w:rPr>
              <w:t>ASML NA</w:t>
            </w:r>
          </w:p>
        </w:tc>
        <w:tc>
          <w:tcPr>
            <w:tcW w:w="747" w:type="dxa"/>
            <w:vAlign w:val="center"/>
          </w:tcPr>
          <w:p w:rsidR="006E79BB" w:rsidRDefault="00112B40">
            <w:pPr>
              <w:jc w:val="center"/>
            </w:pPr>
            <w:r>
              <w:rPr>
                <w:color w:val="000000"/>
                <w:sz w:val="24"/>
              </w:rPr>
              <w:t>荷兰证券交易所</w:t>
            </w:r>
          </w:p>
        </w:tc>
        <w:tc>
          <w:tcPr>
            <w:tcW w:w="975" w:type="dxa"/>
            <w:vAlign w:val="center"/>
          </w:tcPr>
          <w:p w:rsidR="006E79BB" w:rsidRDefault="00112B40">
            <w:pPr>
              <w:jc w:val="center"/>
            </w:pPr>
            <w:r>
              <w:rPr>
                <w:color w:val="000000"/>
                <w:sz w:val="24"/>
              </w:rPr>
              <w:t>荷兰</w:t>
            </w:r>
          </w:p>
        </w:tc>
        <w:tc>
          <w:tcPr>
            <w:tcW w:w="1175" w:type="dxa"/>
            <w:vAlign w:val="center"/>
          </w:tcPr>
          <w:p w:rsidR="006E79BB" w:rsidRDefault="00112B40">
            <w:pPr>
              <w:jc w:val="right"/>
            </w:pPr>
            <w:r>
              <w:rPr>
                <w:color w:val="000000"/>
                <w:sz w:val="24"/>
              </w:rPr>
              <w:t>1,372</w:t>
            </w:r>
          </w:p>
        </w:tc>
        <w:tc>
          <w:tcPr>
            <w:tcW w:w="975" w:type="dxa"/>
            <w:vAlign w:val="center"/>
          </w:tcPr>
          <w:p w:rsidR="006E79BB" w:rsidRDefault="00112B40">
            <w:pPr>
              <w:jc w:val="right"/>
            </w:pPr>
            <w:r>
              <w:rPr>
                <w:color w:val="000000"/>
                <w:sz w:val="24"/>
              </w:rPr>
              <w:t>2,404,261.03</w:t>
            </w:r>
          </w:p>
        </w:tc>
        <w:tc>
          <w:tcPr>
            <w:tcW w:w="1175" w:type="dxa"/>
            <w:vAlign w:val="center"/>
          </w:tcPr>
          <w:p w:rsidR="006E79BB" w:rsidRDefault="00112B40">
            <w:pPr>
              <w:jc w:val="right"/>
            </w:pPr>
            <w:r>
              <w:rPr>
                <w:color w:val="000000"/>
                <w:sz w:val="24"/>
              </w:rPr>
              <w:t>1.97</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090DB5">
          <w:rPr>
            <w:b/>
            <w:color w:val="000000"/>
            <w:kern w:val="0"/>
            <w:sz w:val="24"/>
          </w:rPr>
          <w:t>5.10.3</w:t>
        </w:r>
        <w:r w:rsidR="00B51E74" w:rsidRPr="00090DB5">
          <w:rPr>
            <w:rFonts w:hint="eastAsia"/>
            <w:b/>
            <w:color w:val="000000"/>
            <w:kern w:val="0"/>
            <w:sz w:val="24"/>
          </w:rPr>
          <w:t>期末</w:t>
        </w:r>
      </w:smartTag>
      <w:r w:rsidRPr="00090DB5">
        <w:rPr>
          <w:b/>
          <w:color w:val="000000"/>
          <w:kern w:val="0"/>
          <w:sz w:val="24"/>
        </w:rPr>
        <w:t>其他</w:t>
      </w:r>
      <w:r w:rsidR="00B51E74" w:rsidRPr="00090DB5">
        <w:rPr>
          <w:rFonts w:hint="eastAsia"/>
          <w:b/>
          <w:color w:val="000000"/>
          <w:kern w:val="0"/>
          <w:sz w:val="24"/>
        </w:rPr>
        <w:t>各项</w:t>
      </w:r>
      <w:r w:rsidRPr="00090DB5">
        <w:rPr>
          <w:b/>
          <w:color w:val="000000"/>
          <w:kern w:val="0"/>
          <w:sz w:val="24"/>
        </w:rPr>
        <w:t>资产构成</w:t>
      </w:r>
    </w:p>
    <w:p w:rsidR="00B93C3A" w:rsidRPr="008640AE" w:rsidRDefault="00B93C3A" w:rsidP="00B93C3A">
      <w:pPr>
        <w:autoSpaceDE w:val="0"/>
        <w:autoSpaceDN w:val="0"/>
        <w:adjustRightInd w:val="0"/>
        <w:spacing w:before="29" w:line="288" w:lineRule="auto"/>
        <w:jc w:val="right"/>
        <w:rPr>
          <w:color w:val="000000"/>
          <w:kern w:val="0"/>
          <w:sz w:val="24"/>
        </w:rPr>
      </w:pPr>
      <w:r w:rsidRPr="00B93C3A">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168,554.91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966.44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140,046.83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309,568.18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5.10.4</w:t>
      </w:r>
      <w:r w:rsidRPr="00090DB5">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090DB5">
          <w:rPr>
            <w:b/>
            <w:color w:val="000000"/>
            <w:kern w:val="0"/>
            <w:sz w:val="24"/>
          </w:rPr>
          <w:t>5.10.5</w:t>
        </w:r>
      </w:smartTag>
      <w:r w:rsidRPr="00090DB5">
        <w:rPr>
          <w:b/>
          <w:color w:val="000000"/>
          <w:kern w:val="0"/>
          <w:sz w:val="24"/>
        </w:rPr>
        <w:t>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5.10.6</w:t>
      </w:r>
      <w:r w:rsidR="001C46E1" w:rsidRPr="00090DB5">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60,003,232.74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4,049,137.82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3,705,846.18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60,346,524.38</w:t>
            </w:r>
          </w:p>
        </w:tc>
      </w:tr>
    </w:tbl>
    <w:p w:rsidR="006E79BB" w:rsidRDefault="00112B4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w:t>
      </w:r>
      <w:r w:rsidRPr="008640AE">
        <w:rPr>
          <w:color w:val="000000"/>
          <w:sz w:val="24"/>
        </w:rPr>
        <w:t>27,024,464.49</w:t>
      </w:r>
      <w:r w:rsidRPr="008640AE">
        <w:rPr>
          <w:color w:val="000000"/>
          <w:sz w:val="24"/>
        </w:rPr>
        <w:t>份，占本基金期末总份额的</w:t>
      </w:r>
      <w:r w:rsidRPr="008640AE">
        <w:rPr>
          <w:color w:val="000000"/>
          <w:sz w:val="24"/>
        </w:rPr>
        <w:t>44.78%</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BB304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E79BB">
        <w:tc>
          <w:tcPr>
            <w:tcW w:w="992" w:type="dxa"/>
            <w:vMerge w:val="restart"/>
          </w:tcPr>
          <w:p w:rsidR="006E79BB" w:rsidRDefault="006E79BB"/>
          <w:p w:rsidR="006E79BB" w:rsidRDefault="00112B40">
            <w:r>
              <w:rPr>
                <w:rFonts w:ascii="宋体" w:hAnsi="宋体" w:hint="eastAsia"/>
                <w:bCs/>
                <w:color w:val="000000"/>
                <w:kern w:val="0"/>
                <w:szCs w:val="21"/>
              </w:rPr>
              <w:t>机构</w:t>
            </w:r>
          </w:p>
        </w:tc>
        <w:tc>
          <w:tcPr>
            <w:tcW w:w="991" w:type="dxa"/>
            <w:vAlign w:val="center"/>
          </w:tcPr>
          <w:p w:rsidR="006E79BB" w:rsidRDefault="00112B40">
            <w:pPr>
              <w:jc w:val="center"/>
            </w:pPr>
            <w:r>
              <w:rPr>
                <w:rFonts w:ascii="宋体" w:hAnsi="宋体" w:hint="eastAsia"/>
                <w:color w:val="000000"/>
                <w:kern w:val="0"/>
                <w:szCs w:val="21"/>
              </w:rPr>
              <w:t>1</w:t>
            </w:r>
          </w:p>
        </w:tc>
        <w:tc>
          <w:tcPr>
            <w:tcW w:w="1843" w:type="dxa"/>
            <w:vAlign w:val="center"/>
          </w:tcPr>
          <w:p w:rsidR="006E79BB" w:rsidRDefault="00112B40">
            <w:pPr>
              <w:jc w:val="center"/>
            </w:pPr>
            <w:r>
              <w:rPr>
                <w:rFonts w:ascii="宋体" w:hAnsi="宋体" w:hint="eastAsia"/>
                <w:color w:val="000000"/>
                <w:kern w:val="0"/>
                <w:szCs w:val="21"/>
              </w:rPr>
              <w:t>2019/7/1-2019/9/30</w:t>
            </w:r>
          </w:p>
        </w:tc>
        <w:tc>
          <w:tcPr>
            <w:tcW w:w="851" w:type="dxa"/>
            <w:vAlign w:val="center"/>
          </w:tcPr>
          <w:p w:rsidR="006E79BB" w:rsidRDefault="00112B40">
            <w:pPr>
              <w:jc w:val="center"/>
            </w:pPr>
            <w:r>
              <w:rPr>
                <w:rFonts w:ascii="宋体" w:hAnsi="宋体" w:hint="eastAsia"/>
                <w:color w:val="000000"/>
                <w:kern w:val="0"/>
                <w:szCs w:val="21"/>
              </w:rPr>
              <w:t>27,024,464.49</w:t>
            </w:r>
          </w:p>
        </w:tc>
        <w:tc>
          <w:tcPr>
            <w:tcW w:w="850" w:type="dxa"/>
            <w:vAlign w:val="center"/>
          </w:tcPr>
          <w:p w:rsidR="006E79BB" w:rsidRDefault="00112B40">
            <w:pPr>
              <w:jc w:val="center"/>
            </w:pPr>
            <w:r>
              <w:rPr>
                <w:rFonts w:ascii="宋体" w:hAnsi="宋体" w:hint="eastAsia"/>
                <w:color w:val="000000"/>
                <w:kern w:val="0"/>
                <w:szCs w:val="21"/>
              </w:rPr>
              <w:t>-</w:t>
            </w:r>
          </w:p>
        </w:tc>
        <w:tc>
          <w:tcPr>
            <w:tcW w:w="1134" w:type="dxa"/>
            <w:vAlign w:val="center"/>
          </w:tcPr>
          <w:p w:rsidR="006E79BB" w:rsidRDefault="00112B40">
            <w:pPr>
              <w:jc w:val="center"/>
            </w:pPr>
            <w:r>
              <w:rPr>
                <w:rFonts w:ascii="宋体" w:hAnsi="宋体" w:hint="eastAsia"/>
                <w:color w:val="000000"/>
                <w:kern w:val="0"/>
                <w:szCs w:val="21"/>
              </w:rPr>
              <w:t>-</w:t>
            </w:r>
          </w:p>
        </w:tc>
        <w:tc>
          <w:tcPr>
            <w:tcW w:w="1419" w:type="dxa"/>
            <w:vAlign w:val="center"/>
          </w:tcPr>
          <w:p w:rsidR="006E79BB" w:rsidRDefault="00112B40">
            <w:pPr>
              <w:jc w:val="center"/>
            </w:pPr>
            <w:r>
              <w:rPr>
                <w:rFonts w:ascii="宋体" w:hAnsi="宋体" w:hint="eastAsia"/>
                <w:color w:val="000000"/>
                <w:kern w:val="0"/>
                <w:szCs w:val="21"/>
              </w:rPr>
              <w:t>27,024,464.49</w:t>
            </w:r>
          </w:p>
        </w:tc>
        <w:tc>
          <w:tcPr>
            <w:tcW w:w="1130" w:type="dxa"/>
            <w:vAlign w:val="center"/>
          </w:tcPr>
          <w:p w:rsidR="006E79BB" w:rsidRDefault="00112B40">
            <w:pPr>
              <w:jc w:val="center"/>
            </w:pPr>
            <w:r>
              <w:rPr>
                <w:rFonts w:ascii="宋体" w:hAnsi="宋体" w:hint="eastAsia"/>
                <w:color w:val="000000"/>
                <w:kern w:val="0"/>
                <w:szCs w:val="21"/>
              </w:rPr>
              <w:t>44.78%</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6E79BB" w:rsidRDefault="00112B40">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6E79BB" w:rsidRDefault="00112B40">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6E79BB" w:rsidRDefault="00112B40">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6E79BB" w:rsidRDefault="00112B40">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6E79BB" w:rsidRDefault="00112B40">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6E79BB" w:rsidRDefault="00112B4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E79BB" w:rsidRDefault="00112B40">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6E79BB" w:rsidRDefault="00112B4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1A" w:rsidRDefault="0045691A">
      <w:r>
        <w:separator/>
      </w:r>
    </w:p>
  </w:endnote>
  <w:endnote w:type="continuationSeparator" w:id="0">
    <w:p w:rsidR="0045691A" w:rsidRDefault="0045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3E1B25">
      <w:rPr>
        <w:noProof/>
        <w:kern w:val="0"/>
        <w:szCs w:val="21"/>
      </w:rPr>
      <w:t>8</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3E1B25">
      <w:rPr>
        <w:noProof/>
        <w:kern w:val="0"/>
        <w:szCs w:val="21"/>
      </w:rPr>
      <w:t>13</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B2A0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1A" w:rsidRDefault="0045691A">
      <w:r>
        <w:separator/>
      </w:r>
    </w:p>
  </w:footnote>
  <w:footnote w:type="continuationSeparator" w:id="0">
    <w:p w:rsidR="0045691A" w:rsidRDefault="0045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0DB5"/>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B40"/>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4F80"/>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1B2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91A"/>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E79BB"/>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6DD"/>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00AB"/>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078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1E74"/>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5DAD"/>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114</TotalTime>
  <Pages>13</Pages>
  <Words>1162</Words>
  <Characters>6625</Characters>
  <Application>Microsoft Office Word</Application>
  <DocSecurity>0</DocSecurity>
  <Lines>55</Lines>
  <Paragraphs>15</Paragraphs>
  <ScaleCrop>false</ScaleCrop>
  <Company>TRT. Ltd. Co.</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254</cp:revision>
  <cp:lastPrinted>2007-07-19T00:46:00Z</cp:lastPrinted>
  <dcterms:created xsi:type="dcterms:W3CDTF">2013-08-01T05:26:00Z</dcterms:created>
  <dcterms:modified xsi:type="dcterms:W3CDTF">2019-10-18T02:28:00Z</dcterms:modified>
</cp:coreProperties>
</file>