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二〇一九年十月二十二日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995,212,349.75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4B3255" w:rsidP="007C14DF">
            <w:pPr>
              <w:spacing w:before="29" w:line="288" w:lineRule="auto"/>
              <w:jc w:val="left"/>
              <w:rPr>
                <w:sz w:val="24"/>
              </w:rPr>
            </w:pPr>
            <w:r>
              <w:rPr>
                <w:color w:val="000000" w:themeColor="text1"/>
                <w:sz w:val="24"/>
              </w:rPr>
              <w:t>519723</w:t>
            </w:r>
            <w:r>
              <w:rPr>
                <w:rFonts w:hint="eastAsia"/>
                <w:color w:val="000000" w:themeColor="text1"/>
                <w:sz w:val="24"/>
              </w:rPr>
              <w:t>（前端）、</w:t>
            </w:r>
            <w:r>
              <w:rPr>
                <w:color w:val="000000" w:themeColor="text1"/>
                <w:sz w:val="24"/>
              </w:rPr>
              <w:t>519724</w:t>
            </w:r>
            <w:r>
              <w:rPr>
                <w:rFonts w:hint="eastAsia"/>
                <w:color w:val="000000" w:themeColor="text1"/>
                <w:sz w:val="24"/>
              </w:rPr>
              <w:t>（后端）</w:t>
            </w:r>
            <w:bookmarkStart w:id="0" w:name="_GoBack"/>
            <w:bookmarkEnd w:id="0"/>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862,359,687.76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132,852,661.99</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11,866,316.75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1,477,519.70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14,446,740.05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1,771,892.37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933,187,966.12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143,197,063.65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1.078</w:t>
            </w:r>
          </w:p>
        </w:tc>
      </w:tr>
    </w:tbl>
    <w:p w:rsidR="00C40F09" w:rsidRDefault="00BC78E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0F09">
        <w:trPr>
          <w:jc w:val="center"/>
        </w:trPr>
        <w:tc>
          <w:tcPr>
            <w:tcW w:w="1266" w:type="dxa"/>
            <w:vAlign w:val="center"/>
          </w:tcPr>
          <w:p w:rsidR="00C40F09" w:rsidRDefault="00BC78E1">
            <w:pPr>
              <w:jc w:val="left"/>
            </w:pPr>
            <w:r>
              <w:rPr>
                <w:color w:val="000000"/>
                <w:sz w:val="24"/>
              </w:rPr>
              <w:t>过去三个月</w:t>
            </w:r>
          </w:p>
        </w:tc>
        <w:tc>
          <w:tcPr>
            <w:tcW w:w="1267" w:type="dxa"/>
            <w:vAlign w:val="center"/>
          </w:tcPr>
          <w:p w:rsidR="00C40F09" w:rsidRDefault="00BC78E1">
            <w:pPr>
              <w:jc w:val="center"/>
            </w:pPr>
            <w:r>
              <w:rPr>
                <w:color w:val="000000"/>
                <w:sz w:val="24"/>
              </w:rPr>
              <w:t>1.40%</w:t>
            </w:r>
          </w:p>
        </w:tc>
        <w:tc>
          <w:tcPr>
            <w:tcW w:w="1267" w:type="dxa"/>
            <w:vAlign w:val="center"/>
          </w:tcPr>
          <w:p w:rsidR="00C40F09" w:rsidRDefault="00BC78E1">
            <w:pPr>
              <w:jc w:val="center"/>
            </w:pPr>
            <w:r>
              <w:rPr>
                <w:color w:val="000000"/>
                <w:sz w:val="24"/>
              </w:rPr>
              <w:t>0.04%</w:t>
            </w:r>
          </w:p>
        </w:tc>
        <w:tc>
          <w:tcPr>
            <w:tcW w:w="1267" w:type="dxa"/>
            <w:vAlign w:val="center"/>
          </w:tcPr>
          <w:p w:rsidR="00C40F09" w:rsidRDefault="00BC78E1">
            <w:pPr>
              <w:jc w:val="center"/>
            </w:pPr>
            <w:r>
              <w:rPr>
                <w:color w:val="000000"/>
                <w:sz w:val="24"/>
              </w:rPr>
              <w:t>0.45%</w:t>
            </w:r>
          </w:p>
        </w:tc>
        <w:tc>
          <w:tcPr>
            <w:tcW w:w="1267" w:type="dxa"/>
            <w:vAlign w:val="center"/>
          </w:tcPr>
          <w:p w:rsidR="00C40F09" w:rsidRDefault="00BC78E1">
            <w:pPr>
              <w:jc w:val="center"/>
            </w:pPr>
            <w:r>
              <w:rPr>
                <w:color w:val="000000"/>
                <w:sz w:val="24"/>
              </w:rPr>
              <w:t>0.04%</w:t>
            </w:r>
          </w:p>
        </w:tc>
        <w:tc>
          <w:tcPr>
            <w:tcW w:w="1267" w:type="dxa"/>
            <w:vAlign w:val="center"/>
          </w:tcPr>
          <w:p w:rsidR="00C40F09" w:rsidRDefault="00BC78E1">
            <w:pPr>
              <w:jc w:val="center"/>
            </w:pPr>
            <w:r>
              <w:rPr>
                <w:color w:val="000000"/>
                <w:sz w:val="24"/>
              </w:rPr>
              <w:t>0.95%</w:t>
            </w:r>
          </w:p>
        </w:tc>
        <w:tc>
          <w:tcPr>
            <w:tcW w:w="1267" w:type="dxa"/>
            <w:vAlign w:val="center"/>
          </w:tcPr>
          <w:p w:rsidR="00C40F09" w:rsidRDefault="00BC78E1">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40F09">
        <w:trPr>
          <w:jc w:val="center"/>
        </w:trPr>
        <w:tc>
          <w:tcPr>
            <w:tcW w:w="1266" w:type="dxa"/>
            <w:vAlign w:val="center"/>
          </w:tcPr>
          <w:p w:rsidR="00C40F09" w:rsidRDefault="00BC78E1">
            <w:pPr>
              <w:jc w:val="left"/>
            </w:pPr>
            <w:r>
              <w:rPr>
                <w:color w:val="000000"/>
                <w:sz w:val="24"/>
              </w:rPr>
              <w:t>过去三个月</w:t>
            </w:r>
          </w:p>
        </w:tc>
        <w:tc>
          <w:tcPr>
            <w:tcW w:w="1267" w:type="dxa"/>
            <w:vAlign w:val="center"/>
          </w:tcPr>
          <w:p w:rsidR="00C40F09" w:rsidRDefault="00BC78E1">
            <w:pPr>
              <w:jc w:val="center"/>
            </w:pPr>
            <w:r>
              <w:rPr>
                <w:color w:val="000000"/>
                <w:sz w:val="24"/>
              </w:rPr>
              <w:t>1.31%</w:t>
            </w:r>
          </w:p>
        </w:tc>
        <w:tc>
          <w:tcPr>
            <w:tcW w:w="1267" w:type="dxa"/>
            <w:vAlign w:val="center"/>
          </w:tcPr>
          <w:p w:rsidR="00C40F09" w:rsidRDefault="00BC78E1">
            <w:pPr>
              <w:jc w:val="center"/>
            </w:pPr>
            <w:r>
              <w:rPr>
                <w:color w:val="000000"/>
                <w:sz w:val="24"/>
              </w:rPr>
              <w:t>0.05%</w:t>
            </w:r>
          </w:p>
        </w:tc>
        <w:tc>
          <w:tcPr>
            <w:tcW w:w="1267" w:type="dxa"/>
            <w:vAlign w:val="center"/>
          </w:tcPr>
          <w:p w:rsidR="00C40F09" w:rsidRDefault="00BC78E1">
            <w:pPr>
              <w:jc w:val="center"/>
            </w:pPr>
            <w:r>
              <w:rPr>
                <w:color w:val="000000"/>
                <w:sz w:val="24"/>
              </w:rPr>
              <w:t>0.45%</w:t>
            </w:r>
          </w:p>
        </w:tc>
        <w:tc>
          <w:tcPr>
            <w:tcW w:w="1267" w:type="dxa"/>
            <w:vAlign w:val="center"/>
          </w:tcPr>
          <w:p w:rsidR="00C40F09" w:rsidRDefault="00BC78E1">
            <w:pPr>
              <w:jc w:val="center"/>
            </w:pPr>
            <w:r>
              <w:rPr>
                <w:color w:val="000000"/>
                <w:sz w:val="24"/>
              </w:rPr>
              <w:t>0.04%</w:t>
            </w:r>
          </w:p>
        </w:tc>
        <w:tc>
          <w:tcPr>
            <w:tcW w:w="1267" w:type="dxa"/>
            <w:vAlign w:val="center"/>
          </w:tcPr>
          <w:p w:rsidR="00C40F09" w:rsidRDefault="00BC78E1">
            <w:pPr>
              <w:jc w:val="center"/>
            </w:pPr>
            <w:r>
              <w:rPr>
                <w:color w:val="000000"/>
                <w:sz w:val="24"/>
              </w:rPr>
              <w:t>0.86%</w:t>
            </w:r>
          </w:p>
        </w:tc>
        <w:tc>
          <w:tcPr>
            <w:tcW w:w="1267" w:type="dxa"/>
            <w:vAlign w:val="center"/>
          </w:tcPr>
          <w:p w:rsidR="00C40F09" w:rsidRDefault="00BC78E1">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40F09">
        <w:trPr>
          <w:jc w:val="center"/>
        </w:trPr>
        <w:tc>
          <w:tcPr>
            <w:tcW w:w="946" w:type="dxa"/>
            <w:vAlign w:val="center"/>
          </w:tcPr>
          <w:p w:rsidR="00C40F09" w:rsidRDefault="00BC78E1">
            <w:pPr>
              <w:jc w:val="center"/>
            </w:pPr>
            <w:r>
              <w:rPr>
                <w:color w:val="000000"/>
                <w:sz w:val="24"/>
              </w:rPr>
              <w:t>唐赟</w:t>
            </w:r>
          </w:p>
        </w:tc>
        <w:tc>
          <w:tcPr>
            <w:tcW w:w="924" w:type="dxa"/>
            <w:vAlign w:val="center"/>
          </w:tcPr>
          <w:p w:rsidR="00C40F09" w:rsidRDefault="00BC78E1">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02" w:type="dxa"/>
            <w:vAlign w:val="center"/>
          </w:tcPr>
          <w:p w:rsidR="00C40F09" w:rsidRDefault="00BC78E1">
            <w:pPr>
              <w:jc w:val="center"/>
            </w:pPr>
            <w:r>
              <w:rPr>
                <w:color w:val="000000"/>
                <w:sz w:val="24"/>
              </w:rPr>
              <w:t>2015-08-04</w:t>
            </w:r>
          </w:p>
        </w:tc>
        <w:tc>
          <w:tcPr>
            <w:tcW w:w="1300" w:type="dxa"/>
            <w:vAlign w:val="center"/>
          </w:tcPr>
          <w:p w:rsidR="00C40F09" w:rsidRDefault="00BC78E1">
            <w:pPr>
              <w:jc w:val="center"/>
            </w:pPr>
            <w:r>
              <w:rPr>
                <w:color w:val="000000"/>
                <w:sz w:val="24"/>
              </w:rPr>
              <w:t>-</w:t>
            </w:r>
          </w:p>
        </w:tc>
        <w:tc>
          <w:tcPr>
            <w:tcW w:w="1245" w:type="dxa"/>
            <w:vAlign w:val="center"/>
          </w:tcPr>
          <w:p w:rsidR="00C40F09" w:rsidRDefault="00BC78E1">
            <w:pPr>
              <w:jc w:val="center"/>
            </w:pPr>
            <w:r>
              <w:rPr>
                <w:color w:val="000000"/>
                <w:sz w:val="24"/>
              </w:rPr>
              <w:t>9</w:t>
            </w:r>
            <w:r>
              <w:rPr>
                <w:color w:val="000000"/>
                <w:sz w:val="24"/>
              </w:rPr>
              <w:t>年</w:t>
            </w:r>
          </w:p>
        </w:tc>
        <w:tc>
          <w:tcPr>
            <w:tcW w:w="3251" w:type="dxa"/>
            <w:vAlign w:val="center"/>
          </w:tcPr>
          <w:p w:rsidR="00C40F09" w:rsidRDefault="00BC78E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C40F09" w:rsidRDefault="00BC78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40F09" w:rsidRDefault="00BC78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0F09" w:rsidRDefault="00BC78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40F09" w:rsidRDefault="00BC78E1">
      <w:pPr>
        <w:spacing w:before="29" w:line="288" w:lineRule="auto"/>
        <w:ind w:firstLineChars="200" w:firstLine="480"/>
        <w:rPr>
          <w:color w:val="000000"/>
          <w:sz w:val="24"/>
        </w:rPr>
      </w:pPr>
      <w:r>
        <w:rPr>
          <w:color w:val="000000"/>
          <w:sz w:val="24"/>
        </w:rPr>
        <w:t>本报告期内，债券市场收益率一度持续下行，后小幅回调。七至八月，债市收益率在宽松预期、国内外经济数据低预期以及海外风险的共振下震荡走低。七月初资金面比较宽松，但是由于市场对于通胀和经济回落的预期本来就较强，后资金面边际收紧，令债市全月呈现震荡格局。八月在国内经济数据低于预期，贸易争端，人民币汇率破</w:t>
      </w:r>
      <w:r>
        <w:rPr>
          <w:color w:val="000000"/>
          <w:sz w:val="24"/>
        </w:rPr>
        <w:t>7</w:t>
      </w:r>
      <w:r>
        <w:rPr>
          <w:color w:val="000000"/>
          <w:sz w:val="24"/>
        </w:rPr>
        <w:t>等事件催化下，债券市场收益率呈现快速下行，十年国债一度破</w:t>
      </w:r>
      <w:r>
        <w:rPr>
          <w:color w:val="000000"/>
          <w:sz w:val="24"/>
        </w:rPr>
        <w:t>3%</w:t>
      </w:r>
      <w:r>
        <w:rPr>
          <w:color w:val="000000"/>
          <w:sz w:val="24"/>
        </w:rPr>
        <w:t>。九月后，随着稳增长预期升温、通胀担忧加剧以及资金面紧平衡等因素出现，债券市场小幅调整。截至九月底，活跃十年国债收益率自七月初一路走低，八月中旬破</w:t>
      </w:r>
      <w:r>
        <w:rPr>
          <w:color w:val="000000"/>
          <w:sz w:val="24"/>
        </w:rPr>
        <w:t>3%</w:t>
      </w:r>
      <w:r>
        <w:rPr>
          <w:color w:val="000000"/>
          <w:sz w:val="24"/>
        </w:rPr>
        <w:t>，后再度小幅上行。</w:t>
      </w:r>
    </w:p>
    <w:p w:rsidR="00C40F09" w:rsidRDefault="00BC78E1">
      <w:pPr>
        <w:spacing w:before="29" w:line="288" w:lineRule="auto"/>
        <w:ind w:firstLineChars="200" w:firstLine="480"/>
        <w:rPr>
          <w:color w:val="000000"/>
          <w:sz w:val="24"/>
        </w:rPr>
      </w:pPr>
      <w:r>
        <w:rPr>
          <w:color w:val="000000"/>
          <w:sz w:val="24"/>
        </w:rPr>
        <w:t>我们认为，三季度债市在前期调整下存在配置机会，因此在季度初期的基金操作中，基金适当提升杠杆，增配了部分收益较好的城投品种。在八月中旬后的回调伊始，考虑到资金成本有所提升，短期经济下行压力被市场充分预期，基金适当减配长久期利率品种，以控制回撤。</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四季度，经济基本面下行压力仍然存在，经济内生企稳动力不强，而尽管宏观逆周期调控政策底线思维，但地产和基建发力始终受到种种限制。不过，我们担心通胀四季度上行压力会边际掣肘货币政策宽松。因此，我们认为四季度债券市场以震荡为主。基金方面，我们将视融资成本及市场收益率变动情况择机增配中短久期信用债品种，并积极关注长端利率的波段交易机会，以期提升基金静态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1,224,346,600.00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1,224,346,600.00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143,340,529.76</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13,919,018.08</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21,347,461.34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1,402,953,609.18</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56,858,600.00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56,858,600.00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386,334,000.00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35.89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60,070,000.00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5.58</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721,084,000.00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66.99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1,224,346,600.00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113.75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C40F09">
        <w:trPr>
          <w:jc w:val="center"/>
        </w:trPr>
        <w:tc>
          <w:tcPr>
            <w:tcW w:w="1075" w:type="dxa"/>
            <w:vAlign w:val="center"/>
          </w:tcPr>
          <w:p w:rsidR="00C40F09" w:rsidRDefault="00BC78E1">
            <w:pPr>
              <w:jc w:val="center"/>
            </w:pPr>
            <w:r>
              <w:rPr>
                <w:color w:val="000000"/>
                <w:sz w:val="24"/>
              </w:rPr>
              <w:t>1</w:t>
            </w:r>
          </w:p>
        </w:tc>
        <w:tc>
          <w:tcPr>
            <w:tcW w:w="1533" w:type="dxa"/>
            <w:vAlign w:val="center"/>
          </w:tcPr>
          <w:p w:rsidR="00C40F09" w:rsidRDefault="00BC78E1">
            <w:pPr>
              <w:jc w:val="center"/>
            </w:pPr>
            <w:r>
              <w:rPr>
                <w:color w:val="000000"/>
                <w:sz w:val="24"/>
              </w:rPr>
              <w:t>101800145</w:t>
            </w:r>
          </w:p>
        </w:tc>
        <w:tc>
          <w:tcPr>
            <w:tcW w:w="1533" w:type="dxa"/>
            <w:vAlign w:val="center"/>
          </w:tcPr>
          <w:p w:rsidR="00C40F09" w:rsidRDefault="00BC78E1">
            <w:pPr>
              <w:jc w:val="center"/>
            </w:pPr>
            <w:r>
              <w:rPr>
                <w:color w:val="000000"/>
                <w:sz w:val="24"/>
              </w:rPr>
              <w:t>18</w:t>
            </w:r>
            <w:r>
              <w:rPr>
                <w:color w:val="000000"/>
                <w:sz w:val="24"/>
              </w:rPr>
              <w:t>张保实业</w:t>
            </w:r>
            <w:r>
              <w:rPr>
                <w:color w:val="000000"/>
                <w:sz w:val="24"/>
              </w:rPr>
              <w:t>MTN001</w:t>
            </w:r>
          </w:p>
        </w:tc>
        <w:tc>
          <w:tcPr>
            <w:tcW w:w="1394" w:type="dxa"/>
            <w:vAlign w:val="center"/>
          </w:tcPr>
          <w:p w:rsidR="00C40F09" w:rsidRDefault="00BC78E1">
            <w:pPr>
              <w:jc w:val="right"/>
            </w:pPr>
            <w:r>
              <w:rPr>
                <w:color w:val="000000"/>
                <w:sz w:val="24"/>
              </w:rPr>
              <w:t>500,000</w:t>
            </w:r>
          </w:p>
        </w:tc>
        <w:tc>
          <w:tcPr>
            <w:tcW w:w="1944" w:type="dxa"/>
            <w:vAlign w:val="center"/>
          </w:tcPr>
          <w:p w:rsidR="00C40F09" w:rsidRDefault="00BC78E1">
            <w:pPr>
              <w:jc w:val="right"/>
            </w:pPr>
            <w:r>
              <w:rPr>
                <w:color w:val="000000"/>
                <w:sz w:val="24"/>
              </w:rPr>
              <w:t>51,925,000.00</w:t>
            </w:r>
          </w:p>
        </w:tc>
        <w:tc>
          <w:tcPr>
            <w:tcW w:w="1389" w:type="dxa"/>
            <w:vAlign w:val="center"/>
          </w:tcPr>
          <w:p w:rsidR="00C40F09" w:rsidRDefault="00BC78E1">
            <w:pPr>
              <w:jc w:val="right"/>
            </w:pPr>
            <w:r>
              <w:rPr>
                <w:color w:val="000000"/>
                <w:sz w:val="24"/>
              </w:rPr>
              <w:t>4.82</w:t>
            </w:r>
          </w:p>
        </w:tc>
      </w:tr>
      <w:tr w:rsidR="00C40F09">
        <w:trPr>
          <w:jc w:val="center"/>
        </w:trPr>
        <w:tc>
          <w:tcPr>
            <w:tcW w:w="1075" w:type="dxa"/>
            <w:vAlign w:val="center"/>
          </w:tcPr>
          <w:p w:rsidR="00C40F09" w:rsidRDefault="00BC78E1">
            <w:pPr>
              <w:jc w:val="center"/>
            </w:pPr>
            <w:r>
              <w:rPr>
                <w:color w:val="000000"/>
                <w:sz w:val="24"/>
              </w:rPr>
              <w:t>2</w:t>
            </w:r>
          </w:p>
        </w:tc>
        <w:tc>
          <w:tcPr>
            <w:tcW w:w="1533" w:type="dxa"/>
            <w:vAlign w:val="center"/>
          </w:tcPr>
          <w:p w:rsidR="00C40F09" w:rsidRDefault="00BC78E1">
            <w:pPr>
              <w:jc w:val="center"/>
            </w:pPr>
            <w:r>
              <w:rPr>
                <w:color w:val="000000"/>
                <w:sz w:val="24"/>
              </w:rPr>
              <w:t>101800369</w:t>
            </w:r>
          </w:p>
        </w:tc>
        <w:tc>
          <w:tcPr>
            <w:tcW w:w="1533" w:type="dxa"/>
            <w:vAlign w:val="center"/>
          </w:tcPr>
          <w:p w:rsidR="00C40F09" w:rsidRDefault="00BC78E1">
            <w:pPr>
              <w:jc w:val="center"/>
            </w:pPr>
            <w:r>
              <w:rPr>
                <w:color w:val="000000"/>
                <w:sz w:val="24"/>
              </w:rPr>
              <w:t>18</w:t>
            </w:r>
            <w:r>
              <w:rPr>
                <w:color w:val="000000"/>
                <w:sz w:val="24"/>
              </w:rPr>
              <w:t>豫投资</w:t>
            </w:r>
            <w:r>
              <w:rPr>
                <w:color w:val="000000"/>
                <w:sz w:val="24"/>
              </w:rPr>
              <w:t>MTN002</w:t>
            </w:r>
          </w:p>
        </w:tc>
        <w:tc>
          <w:tcPr>
            <w:tcW w:w="1394" w:type="dxa"/>
            <w:vAlign w:val="center"/>
          </w:tcPr>
          <w:p w:rsidR="00C40F09" w:rsidRDefault="00BC78E1">
            <w:pPr>
              <w:jc w:val="right"/>
            </w:pPr>
            <w:r>
              <w:rPr>
                <w:color w:val="000000"/>
                <w:sz w:val="24"/>
              </w:rPr>
              <w:t>500,000</w:t>
            </w:r>
          </w:p>
        </w:tc>
        <w:tc>
          <w:tcPr>
            <w:tcW w:w="1944" w:type="dxa"/>
            <w:vAlign w:val="center"/>
          </w:tcPr>
          <w:p w:rsidR="00C40F09" w:rsidRDefault="00BC78E1">
            <w:pPr>
              <w:jc w:val="right"/>
            </w:pPr>
            <w:r>
              <w:rPr>
                <w:color w:val="000000"/>
                <w:sz w:val="24"/>
              </w:rPr>
              <w:t>51,450,000.00</w:t>
            </w:r>
          </w:p>
        </w:tc>
        <w:tc>
          <w:tcPr>
            <w:tcW w:w="1389" w:type="dxa"/>
            <w:vAlign w:val="center"/>
          </w:tcPr>
          <w:p w:rsidR="00C40F09" w:rsidRDefault="00BC78E1">
            <w:pPr>
              <w:jc w:val="right"/>
            </w:pPr>
            <w:r>
              <w:rPr>
                <w:color w:val="000000"/>
                <w:sz w:val="24"/>
              </w:rPr>
              <w:t>4.78</w:t>
            </w:r>
          </w:p>
        </w:tc>
      </w:tr>
      <w:tr w:rsidR="00C40F09">
        <w:trPr>
          <w:jc w:val="center"/>
        </w:trPr>
        <w:tc>
          <w:tcPr>
            <w:tcW w:w="1075" w:type="dxa"/>
            <w:vAlign w:val="center"/>
          </w:tcPr>
          <w:p w:rsidR="00C40F09" w:rsidRDefault="00BC78E1">
            <w:pPr>
              <w:jc w:val="center"/>
            </w:pPr>
            <w:r>
              <w:rPr>
                <w:color w:val="000000"/>
                <w:sz w:val="24"/>
              </w:rPr>
              <w:t>3</w:t>
            </w:r>
          </w:p>
        </w:tc>
        <w:tc>
          <w:tcPr>
            <w:tcW w:w="1533" w:type="dxa"/>
            <w:vAlign w:val="center"/>
          </w:tcPr>
          <w:p w:rsidR="00C40F09" w:rsidRDefault="00BC78E1">
            <w:pPr>
              <w:jc w:val="center"/>
            </w:pPr>
            <w:r>
              <w:rPr>
                <w:color w:val="000000"/>
                <w:sz w:val="24"/>
              </w:rPr>
              <w:t>011901994</w:t>
            </w:r>
          </w:p>
        </w:tc>
        <w:tc>
          <w:tcPr>
            <w:tcW w:w="1533" w:type="dxa"/>
            <w:vAlign w:val="center"/>
          </w:tcPr>
          <w:p w:rsidR="00C40F09" w:rsidRDefault="00BC78E1">
            <w:pPr>
              <w:jc w:val="center"/>
            </w:pPr>
            <w:r>
              <w:rPr>
                <w:color w:val="000000"/>
                <w:sz w:val="24"/>
              </w:rPr>
              <w:t>19</w:t>
            </w:r>
            <w:r>
              <w:rPr>
                <w:color w:val="000000"/>
                <w:sz w:val="24"/>
              </w:rPr>
              <w:t>吉林高速</w:t>
            </w:r>
            <w:r>
              <w:rPr>
                <w:color w:val="000000"/>
                <w:sz w:val="24"/>
              </w:rPr>
              <w:t>SCP004</w:t>
            </w:r>
          </w:p>
        </w:tc>
        <w:tc>
          <w:tcPr>
            <w:tcW w:w="1394" w:type="dxa"/>
            <w:vAlign w:val="center"/>
          </w:tcPr>
          <w:p w:rsidR="00C40F09" w:rsidRDefault="00BC78E1">
            <w:pPr>
              <w:jc w:val="right"/>
            </w:pPr>
            <w:r>
              <w:rPr>
                <w:color w:val="000000"/>
                <w:sz w:val="24"/>
              </w:rPr>
              <w:t>500,000</w:t>
            </w:r>
          </w:p>
        </w:tc>
        <w:tc>
          <w:tcPr>
            <w:tcW w:w="1944" w:type="dxa"/>
            <w:vAlign w:val="center"/>
          </w:tcPr>
          <w:p w:rsidR="00C40F09" w:rsidRDefault="00BC78E1">
            <w:pPr>
              <w:jc w:val="right"/>
            </w:pPr>
            <w:r>
              <w:rPr>
                <w:color w:val="000000"/>
                <w:sz w:val="24"/>
              </w:rPr>
              <w:t>50,060,000.00</w:t>
            </w:r>
          </w:p>
        </w:tc>
        <w:tc>
          <w:tcPr>
            <w:tcW w:w="1389" w:type="dxa"/>
            <w:vAlign w:val="center"/>
          </w:tcPr>
          <w:p w:rsidR="00C40F09" w:rsidRDefault="00BC78E1">
            <w:pPr>
              <w:jc w:val="right"/>
            </w:pPr>
            <w:r>
              <w:rPr>
                <w:color w:val="000000"/>
                <w:sz w:val="24"/>
              </w:rPr>
              <w:t>4.65</w:t>
            </w:r>
          </w:p>
        </w:tc>
      </w:tr>
      <w:tr w:rsidR="00C40F09">
        <w:trPr>
          <w:jc w:val="center"/>
        </w:trPr>
        <w:tc>
          <w:tcPr>
            <w:tcW w:w="1075" w:type="dxa"/>
            <w:vAlign w:val="center"/>
          </w:tcPr>
          <w:p w:rsidR="00C40F09" w:rsidRDefault="00BC78E1">
            <w:pPr>
              <w:jc w:val="center"/>
            </w:pPr>
            <w:r>
              <w:rPr>
                <w:color w:val="000000"/>
                <w:sz w:val="24"/>
              </w:rPr>
              <w:t>4</w:t>
            </w:r>
          </w:p>
        </w:tc>
        <w:tc>
          <w:tcPr>
            <w:tcW w:w="1533" w:type="dxa"/>
            <w:vAlign w:val="center"/>
          </w:tcPr>
          <w:p w:rsidR="00C40F09" w:rsidRDefault="00BC78E1">
            <w:pPr>
              <w:jc w:val="center"/>
            </w:pPr>
            <w:r>
              <w:rPr>
                <w:color w:val="000000"/>
                <w:sz w:val="24"/>
              </w:rPr>
              <w:t>136770</w:t>
            </w:r>
          </w:p>
        </w:tc>
        <w:tc>
          <w:tcPr>
            <w:tcW w:w="1533" w:type="dxa"/>
            <w:vAlign w:val="center"/>
          </w:tcPr>
          <w:p w:rsidR="00C40F09" w:rsidRDefault="00BC78E1">
            <w:pPr>
              <w:jc w:val="center"/>
            </w:pPr>
            <w:r>
              <w:rPr>
                <w:color w:val="000000"/>
                <w:sz w:val="24"/>
              </w:rPr>
              <w:t>16</w:t>
            </w:r>
            <w:r>
              <w:rPr>
                <w:color w:val="000000"/>
                <w:sz w:val="24"/>
              </w:rPr>
              <w:t>华资</w:t>
            </w:r>
            <w:r>
              <w:rPr>
                <w:color w:val="000000"/>
                <w:sz w:val="24"/>
              </w:rPr>
              <w:t>01</w:t>
            </w:r>
          </w:p>
        </w:tc>
        <w:tc>
          <w:tcPr>
            <w:tcW w:w="1394" w:type="dxa"/>
            <w:vAlign w:val="center"/>
          </w:tcPr>
          <w:p w:rsidR="00C40F09" w:rsidRDefault="00BC78E1">
            <w:pPr>
              <w:jc w:val="right"/>
            </w:pPr>
            <w:r>
              <w:rPr>
                <w:color w:val="000000"/>
                <w:sz w:val="24"/>
              </w:rPr>
              <w:t>500,000</w:t>
            </w:r>
          </w:p>
        </w:tc>
        <w:tc>
          <w:tcPr>
            <w:tcW w:w="1944" w:type="dxa"/>
            <w:vAlign w:val="center"/>
          </w:tcPr>
          <w:p w:rsidR="00C40F09" w:rsidRDefault="00BC78E1">
            <w:pPr>
              <w:jc w:val="right"/>
            </w:pPr>
            <w:r>
              <w:rPr>
                <w:color w:val="000000"/>
                <w:sz w:val="24"/>
              </w:rPr>
              <w:t>50,000,000.00</w:t>
            </w:r>
          </w:p>
        </w:tc>
        <w:tc>
          <w:tcPr>
            <w:tcW w:w="1389" w:type="dxa"/>
            <w:vAlign w:val="center"/>
          </w:tcPr>
          <w:p w:rsidR="00C40F09" w:rsidRDefault="00BC78E1">
            <w:pPr>
              <w:jc w:val="right"/>
            </w:pPr>
            <w:r>
              <w:rPr>
                <w:color w:val="000000"/>
                <w:sz w:val="24"/>
              </w:rPr>
              <w:t>4.65</w:t>
            </w:r>
          </w:p>
        </w:tc>
      </w:tr>
      <w:tr w:rsidR="00C40F09">
        <w:trPr>
          <w:jc w:val="center"/>
        </w:trPr>
        <w:tc>
          <w:tcPr>
            <w:tcW w:w="1075" w:type="dxa"/>
            <w:vAlign w:val="center"/>
          </w:tcPr>
          <w:p w:rsidR="00C40F09" w:rsidRDefault="00BC78E1">
            <w:pPr>
              <w:jc w:val="center"/>
            </w:pPr>
            <w:r>
              <w:rPr>
                <w:color w:val="000000"/>
                <w:sz w:val="24"/>
              </w:rPr>
              <w:t>5</w:t>
            </w:r>
          </w:p>
        </w:tc>
        <w:tc>
          <w:tcPr>
            <w:tcW w:w="1533" w:type="dxa"/>
            <w:vAlign w:val="center"/>
          </w:tcPr>
          <w:p w:rsidR="00C40F09" w:rsidRDefault="00BC78E1">
            <w:pPr>
              <w:jc w:val="center"/>
            </w:pPr>
            <w:r>
              <w:rPr>
                <w:color w:val="000000"/>
                <w:sz w:val="24"/>
              </w:rPr>
              <w:t>101764046</w:t>
            </w:r>
          </w:p>
        </w:tc>
        <w:tc>
          <w:tcPr>
            <w:tcW w:w="1533" w:type="dxa"/>
            <w:vAlign w:val="center"/>
          </w:tcPr>
          <w:p w:rsidR="00C40F09" w:rsidRDefault="00BC78E1">
            <w:pPr>
              <w:jc w:val="center"/>
            </w:pPr>
            <w:r>
              <w:rPr>
                <w:color w:val="000000"/>
                <w:sz w:val="24"/>
              </w:rPr>
              <w:t>17</w:t>
            </w:r>
            <w:r>
              <w:rPr>
                <w:color w:val="000000"/>
                <w:sz w:val="24"/>
              </w:rPr>
              <w:t>张家公资</w:t>
            </w:r>
            <w:r>
              <w:rPr>
                <w:color w:val="000000"/>
                <w:sz w:val="24"/>
              </w:rPr>
              <w:t>MTN001</w:t>
            </w:r>
          </w:p>
        </w:tc>
        <w:tc>
          <w:tcPr>
            <w:tcW w:w="1394" w:type="dxa"/>
            <w:vAlign w:val="center"/>
          </w:tcPr>
          <w:p w:rsidR="00C40F09" w:rsidRDefault="00BC78E1">
            <w:pPr>
              <w:jc w:val="right"/>
            </w:pPr>
            <w:r>
              <w:rPr>
                <w:color w:val="000000"/>
                <w:sz w:val="24"/>
              </w:rPr>
              <w:t>400,000</w:t>
            </w:r>
          </w:p>
        </w:tc>
        <w:tc>
          <w:tcPr>
            <w:tcW w:w="1944" w:type="dxa"/>
            <w:vAlign w:val="center"/>
          </w:tcPr>
          <w:p w:rsidR="00C40F09" w:rsidRDefault="00BC78E1">
            <w:pPr>
              <w:jc w:val="right"/>
            </w:pPr>
            <w:r>
              <w:rPr>
                <w:color w:val="000000"/>
                <w:sz w:val="24"/>
              </w:rPr>
              <w:t>41,756,000.00</w:t>
            </w:r>
          </w:p>
        </w:tc>
        <w:tc>
          <w:tcPr>
            <w:tcW w:w="1389" w:type="dxa"/>
            <w:vAlign w:val="center"/>
          </w:tcPr>
          <w:p w:rsidR="00C40F09" w:rsidRDefault="00BC78E1">
            <w:pPr>
              <w:jc w:val="right"/>
            </w:pPr>
            <w:r>
              <w:rPr>
                <w:color w:val="000000"/>
                <w:sz w:val="24"/>
              </w:rPr>
              <w:t>3.88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15,959.79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20,325,968.73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1,005,532.82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21,347,461.34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BC78E1" w:rsidRDefault="00BC78E1" w:rsidP="007C14DF">
      <w:pPr>
        <w:autoSpaceDE w:val="0"/>
        <w:autoSpaceDN w:val="0"/>
        <w:adjustRightInd w:val="0"/>
        <w:spacing w:before="29" w:line="288" w:lineRule="auto"/>
        <w:jc w:val="left"/>
        <w:rPr>
          <w:rFonts w:eastAsiaTheme="minorEastAsia"/>
          <w:b/>
          <w:kern w:val="0"/>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BC78E1" w:rsidRDefault="00BC78E1" w:rsidP="007C14DF">
      <w:pPr>
        <w:spacing w:before="29" w:line="288" w:lineRule="auto"/>
        <w:rPr>
          <w:rFonts w:eastAsiaTheme="minorEastAsia"/>
          <w:b/>
          <w:kern w:val="0"/>
          <w:sz w:val="24"/>
        </w:rPr>
      </w:pP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1,224,397,320.78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128,602,213.26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113,932,598.36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9,257,633.61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475,970,231.38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5,007,184.88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862,359,687.76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132,852,661.99</w:t>
            </w:r>
          </w:p>
        </w:tc>
      </w:tr>
    </w:tbl>
    <w:p w:rsidR="00C40F09" w:rsidRDefault="00BC78E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40F09">
        <w:tc>
          <w:tcPr>
            <w:tcW w:w="992" w:type="dxa"/>
            <w:vMerge w:val="restart"/>
          </w:tcPr>
          <w:p w:rsidR="00C40F09" w:rsidRDefault="00C40F09"/>
          <w:p w:rsidR="00C40F09" w:rsidRDefault="00BC78E1">
            <w:r>
              <w:rPr>
                <w:rFonts w:ascii="宋体" w:hAnsi="宋体" w:hint="eastAsia"/>
                <w:bCs/>
                <w:color w:val="000000"/>
                <w:kern w:val="0"/>
                <w:szCs w:val="21"/>
              </w:rPr>
              <w:t>机构</w:t>
            </w:r>
          </w:p>
        </w:tc>
        <w:tc>
          <w:tcPr>
            <w:tcW w:w="991" w:type="dxa"/>
            <w:vAlign w:val="center"/>
          </w:tcPr>
          <w:p w:rsidR="00C40F09" w:rsidRDefault="00BC78E1">
            <w:pPr>
              <w:jc w:val="center"/>
            </w:pPr>
            <w:r>
              <w:rPr>
                <w:rFonts w:ascii="宋体" w:hAnsi="宋体" w:hint="eastAsia"/>
                <w:color w:val="000000"/>
                <w:kern w:val="0"/>
                <w:szCs w:val="21"/>
              </w:rPr>
              <w:t>1</w:t>
            </w:r>
          </w:p>
        </w:tc>
        <w:tc>
          <w:tcPr>
            <w:tcW w:w="1843" w:type="dxa"/>
            <w:vAlign w:val="center"/>
          </w:tcPr>
          <w:p w:rsidR="00C40F09" w:rsidRDefault="00BC78E1">
            <w:pPr>
              <w:jc w:val="center"/>
            </w:pPr>
            <w:r>
              <w:rPr>
                <w:rFonts w:ascii="宋体" w:hAnsi="宋体" w:hint="eastAsia"/>
                <w:color w:val="000000"/>
                <w:kern w:val="0"/>
                <w:szCs w:val="21"/>
              </w:rPr>
              <w:t>2019/7/1-2019/9/30</w:t>
            </w:r>
          </w:p>
        </w:tc>
        <w:tc>
          <w:tcPr>
            <w:tcW w:w="851" w:type="dxa"/>
            <w:vAlign w:val="center"/>
          </w:tcPr>
          <w:p w:rsidR="00C40F09" w:rsidRDefault="00BC78E1">
            <w:pPr>
              <w:jc w:val="center"/>
            </w:pPr>
            <w:r>
              <w:rPr>
                <w:rFonts w:ascii="宋体" w:hAnsi="宋体" w:hint="eastAsia"/>
                <w:color w:val="000000"/>
                <w:kern w:val="0"/>
                <w:szCs w:val="21"/>
              </w:rPr>
              <w:t>261,072,317.82</w:t>
            </w:r>
          </w:p>
        </w:tc>
        <w:tc>
          <w:tcPr>
            <w:tcW w:w="850" w:type="dxa"/>
            <w:vAlign w:val="center"/>
          </w:tcPr>
          <w:p w:rsidR="00C40F09" w:rsidRDefault="00BC78E1">
            <w:pPr>
              <w:jc w:val="center"/>
            </w:pPr>
            <w:r>
              <w:rPr>
                <w:rFonts w:ascii="宋体" w:hAnsi="宋体" w:hint="eastAsia"/>
                <w:color w:val="000000"/>
                <w:kern w:val="0"/>
                <w:szCs w:val="21"/>
              </w:rPr>
              <w:t>1,951,942.56</w:t>
            </w:r>
          </w:p>
        </w:tc>
        <w:tc>
          <w:tcPr>
            <w:tcW w:w="1134" w:type="dxa"/>
            <w:vAlign w:val="center"/>
          </w:tcPr>
          <w:p w:rsidR="00C40F09" w:rsidRDefault="00BC78E1">
            <w:pPr>
              <w:jc w:val="center"/>
            </w:pPr>
            <w:r>
              <w:rPr>
                <w:rFonts w:ascii="宋体" w:hAnsi="宋体" w:hint="eastAsia"/>
                <w:color w:val="000000"/>
                <w:kern w:val="0"/>
                <w:szCs w:val="21"/>
              </w:rPr>
              <w:t>-</w:t>
            </w:r>
          </w:p>
        </w:tc>
        <w:tc>
          <w:tcPr>
            <w:tcW w:w="1419" w:type="dxa"/>
            <w:vAlign w:val="center"/>
          </w:tcPr>
          <w:p w:rsidR="00C40F09" w:rsidRDefault="00BC78E1">
            <w:pPr>
              <w:jc w:val="center"/>
            </w:pPr>
            <w:r>
              <w:rPr>
                <w:rFonts w:ascii="宋体" w:hAnsi="宋体" w:hint="eastAsia"/>
                <w:color w:val="000000"/>
                <w:kern w:val="0"/>
                <w:szCs w:val="21"/>
              </w:rPr>
              <w:t>263,024,260.38</w:t>
            </w:r>
          </w:p>
        </w:tc>
        <w:tc>
          <w:tcPr>
            <w:tcW w:w="1130" w:type="dxa"/>
            <w:vAlign w:val="center"/>
          </w:tcPr>
          <w:p w:rsidR="00C40F09" w:rsidRDefault="00BC78E1">
            <w:pPr>
              <w:jc w:val="center"/>
            </w:pPr>
            <w:r>
              <w:rPr>
                <w:rFonts w:ascii="宋体" w:hAnsi="宋体" w:hint="eastAsia"/>
                <w:color w:val="000000"/>
                <w:kern w:val="0"/>
                <w:szCs w:val="21"/>
              </w:rPr>
              <w:t>26.43%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40F09" w:rsidRDefault="00BC78E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E22" w:rsidRDefault="000A2E22">
      <w:r>
        <w:separator/>
      </w:r>
    </w:p>
  </w:endnote>
  <w:endnote w:type="continuationSeparator" w:id="0">
    <w:p w:rsidR="000A2E22" w:rsidRDefault="000A2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B32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B3255">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E22" w:rsidRDefault="000A2E22">
      <w:r>
        <w:separator/>
      </w:r>
    </w:p>
  </w:footnote>
  <w:footnote w:type="continuationSeparator" w:id="0">
    <w:p w:rsidR="000A2E22" w:rsidRDefault="000A2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3255"/>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8E1"/>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0F09"/>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EFCBF-DC28-408F-9096-2B6A048E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243</TotalTime>
  <Pages>13</Pages>
  <Words>1062</Words>
  <Characters>6055</Characters>
  <Application>Microsoft Office Word</Application>
  <DocSecurity>0</DocSecurity>
  <Lines>50</Lines>
  <Paragraphs>14</Paragraphs>
  <ScaleCrop>false</ScaleCrop>
  <Company>TRT. Ltd. Co.</Company>
  <LinksUpToDate>false</LinksUpToDate>
  <CharactersWithSpaces>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404</cp:revision>
  <cp:lastPrinted>2007-07-19T00:46:00Z</cp:lastPrinted>
  <dcterms:created xsi:type="dcterms:W3CDTF">2014-01-17T06:19:00Z</dcterms:created>
  <dcterms:modified xsi:type="dcterms:W3CDTF">2019-10-17T06:35:00Z</dcterms:modified>
</cp:coreProperties>
</file>