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交银施罗德理财21天债券型证券投资基金</w:t>
      </w:r>
    </w:p>
    <w:p w:rsidP="00281564" w:rsidR="00B60E27" w:rsidRDefault="00B60E27" w:rsidRPr="001E1B20">
      <w:pPr>
        <w:spacing w:before="29" w:line="288" w:lineRule="auto"/>
        <w:jc w:val="center"/>
        <w:rPr>
          <w:b/>
          <w:sz w:val="36"/>
          <w:szCs w:val="36"/>
        </w:rPr>
      </w:pPr>
      <w:r w:rsidRPr="001E1B20">
        <w:rPr>
          <w:b/>
          <w:sz w:val="36"/>
          <w:szCs w:val="36"/>
        </w:rPr>
        <w:t>2019年第3季度报告</w:t>
      </w:r>
    </w:p>
    <w:p w:rsidP="00281564" w:rsidR="002B45A4" w:rsidRDefault="00D87D00" w:rsidRPr="001E1B20">
      <w:pPr>
        <w:spacing w:before="29" w:line="288" w:lineRule="auto"/>
        <w:jc w:val="center"/>
        <w:rPr>
          <w:b/>
          <w:sz w:val="36"/>
          <w:szCs w:val="36"/>
        </w:rPr>
      </w:pPr>
      <w:r w:rsidRPr="001E1B20">
        <w:rPr>
          <w:b/>
          <w:sz w:val="36"/>
          <w:szCs w:val="36"/>
        </w:rPr>
        <w:t>2019年9月30日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中国农业银行股份有限公司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r w:rsidR="00D87D00" w:rsidRPr="001E1B20">
        <w:rPr>
          <w:b/>
          <w:color w:val="000000"/>
          <w:sz w:val="24"/>
        </w:rPr>
        <w:t/>
      </w:r>
      <w:r w:rsidR="00EF56FA" w:rsidRPr="001E1B20">
        <w:rPr>
          <w:b/>
          <w:color w:val="000000"/>
          <w:sz w:val="24"/>
        </w:rPr>
        <w:t>二〇一九年十月二十二日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基金托管人中国农业银行股份有限公司根据本基金合同规定，于2019年10月21日复核了本报告中的财务指标、净值表现和投资组合报告等内容，保证复核内容不存在虚假记载、误导性陈述或者重大遗漏。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本报告期自2019年7月1日起至9月30日止。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交银理财21天债券</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519716</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2012年11月5日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14,575,566,032.24</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七天通知存款税后利率</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本基金属于债券型证券投资基金，长期风险收益水平低于股票型基金、混合型基金，高于货币市场型证券投资基金。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交银理财21天债券A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交银理财21天债券B</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519716</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519717</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Pr="000E4C40">
              <w:rPr>
                <w:sz w:val="24"/>
              </w:rPr>
              <w:t/>
            </w:r>
            <w:r w:rsidR="007B082A" w:rsidRPr="000E4C40">
              <w:rPr>
                <w:sz w:val="24"/>
              </w:rPr>
              <w:t/>
            </w:r>
            <w:r w:rsidRPr="000E4C40">
              <w:rPr>
                <w:sz w:val="24"/>
              </w:rPr>
              <w:t>8,477,621.75</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14,567,088,410.49</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(2019年7月1日-2019年9月30日)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Pr="000E4C40">
              <w:rPr>
                <w:sz w:val="24"/>
              </w:rPr>
              <w:t>交银理财21天债券A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交银理财21天债券B</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60,512.08</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120,142,385.86</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60,512.08</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120,142,385.86</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8,477,621.75</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14,567,088,410.49</w:t>
            </w:r>
          </w:p>
        </w:tc>
      </w:tr>
    </w:tbl>
    <w:p>
      <w:pPr>
        <w:autoSpaceDE w:val="0"/>
        <w:autoSpaceDN w:val="0"/>
        <w:adjustRightInd w:val="0"/>
        <w:spacing w:before="29" w:line="288" w:lineRule="auto"/>
        <w:jc w:val="left"/>
        <w:rPr>
          <w:color w:val="000000"/>
          <w:sz w:val="24"/>
        </w:rPr>
      </w:pPr>
      <w:r>
        <w:rPr>
          <w:color w:val="000000"/>
          <w:sz w:val="24"/>
        </w:rPr>
        <w:t>注：1、自2013年1月9日起，本基金实行销售服务费分类收费方式，分设两类基金份额：A类基金份额和B类基金份额。A类基金份额与B类基金份额的管理费、托管费相同，A类基金份额按照0.30%的年费率计提销售服务费，B类基金份额按照0.01%的年费率计提销售服务费。在计算主要财务指标时，A类基金份额与分类前基金连续计算，B类基金份额按新设基金计算；</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交银理财21天债券A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0.6785%</w:t>
            </w:r>
          </w:p>
        </w:tc>
        <w:tc>
          <w:tcPr>
            <w:vAlign w:val="center"/>
          </w:tcPr>
          <w:p>
            <w:pPr>
              <w:jc w:val="center"/>
            </w:pPr>
            <w:r>
              <w:rPr>
                <w:rFonts w:ascii="Times New Roman" w:hAnsi="Times New Roman"/>
                <w:color w:val="000000"/>
              </w:rPr>
              <w:t>0.0027%</w:t>
            </w:r>
          </w:p>
        </w:tc>
        <w:tc>
          <w:tcPr>
            <w:vAlign w:val="center"/>
          </w:tcPr>
          <w:p>
            <w:pPr>
              <w:jc w:val="center"/>
            </w:pPr>
            <w:r>
              <w:rPr>
                <w:rFonts w:ascii="Times New Roman" w:hAnsi="Times New Roman"/>
                <w:color w:val="000000"/>
              </w:rPr>
              <w:t>0.3403%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0.3382%</w:t>
            </w:r>
          </w:p>
        </w:tc>
        <w:tc>
          <w:tcPr>
            <w:vAlign w:val="center"/>
          </w:tcPr>
          <w:p>
            <w:pPr>
              <w:jc w:val="center"/>
            </w:pPr>
            <w:r>
              <w:rPr>
                <w:rFonts w:ascii="Times New Roman" w:hAnsi="Times New Roman"/>
                <w:color w:val="000000"/>
              </w:rPr>
              <w:t>0.0027%</w:t>
            </w:r>
          </w:p>
        </w:tc>
      </w:tr>
    </w:tbl>
    <w:p>
      <w:pPr>
        <w:autoSpaceDE w:val="0"/>
        <w:autoSpaceDN w:val="0"/>
        <w:adjustRightInd w:val="0"/>
        <w:spacing w:before="29" w:line="288" w:lineRule="auto"/>
        <w:jc w:val="left"/>
        <w:rPr>
          <w:color w:val="000000"/>
          <w:sz w:val="24"/>
        </w:rPr>
      </w:pPr>
      <w:r>
        <w:rPr>
          <w:color w:val="000000"/>
          <w:sz w:val="24"/>
        </w:rPr>
        <w:t>注：1、本表净值收益率数据所取的基金运作周期为基金合同生效日为起始日的运作周期。</w:t>
      </w:r>
    </w:p>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 xml:space="preserve">    2、本基金每日计算当日收益并分配，并在运作期期末集中支付。</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交银理财21天债券B</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0.7521%</w:t>
            </w:r>
          </w:p>
        </w:tc>
        <w:tc>
          <w:tcPr>
            <w:vAlign w:val="center"/>
          </w:tcPr>
          <w:p>
            <w:pPr>
              <w:jc w:val="center"/>
            </w:pPr>
            <w:r>
              <w:rPr>
                <w:rFonts w:ascii="Times New Roman" w:hAnsi="Times New Roman"/>
                <w:color w:val="000000"/>
              </w:rPr>
              <w:t>0.0027%</w:t>
            </w:r>
          </w:p>
        </w:tc>
        <w:tc>
          <w:tcPr>
            <w:vAlign w:val="center"/>
          </w:tcPr>
          <w:p>
            <w:pPr>
              <w:jc w:val="center"/>
            </w:pPr>
            <w:r>
              <w:rPr>
                <w:rFonts w:ascii="Times New Roman" w:hAnsi="Times New Roman"/>
                <w:color w:val="000000"/>
              </w:rPr>
              <w:t>0.3403%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0.4118%</w:t>
            </w:r>
          </w:p>
        </w:tc>
        <w:tc>
          <w:tcPr>
            <w:vAlign w:val="center"/>
          </w:tcPr>
          <w:p>
            <w:pPr>
              <w:jc w:val="center"/>
            </w:pPr>
            <w:r>
              <w:rPr>
                <w:rFonts w:ascii="Times New Roman" w:hAnsi="Times New Roman"/>
                <w:color w:val="000000"/>
              </w:rPr>
              <w:t>0.0027%</w:t>
            </w:r>
          </w:p>
        </w:tc>
      </w:tr>
    </w:tbl>
    <w:p>
      <w:pPr>
        <w:autoSpaceDE w:val="0"/>
        <w:autoSpaceDN w:val="0"/>
        <w:adjustRightInd w:val="0"/>
        <w:spacing w:before="29" w:line="288" w:lineRule="auto"/>
        <w:jc w:val="left"/>
        <w:rPr>
          <w:color w:val="000000"/>
          <w:sz w:val="24"/>
        </w:rPr>
      </w:pPr>
      <w:r>
        <w:rPr>
          <w:color w:val="000000"/>
          <w:sz w:val="24"/>
        </w:rPr>
        <w:t>注：1、本表净值收益率数据所取的基金运作周期为基金分类日为起始日的运作周期。</w:t>
      </w:r>
    </w:p>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 xml:space="preserve">    2、本基金每日计算当日收益并分配，并在运作期期末集中支付。</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交银施罗德理财21天债券型证券投资基金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2012年11月5日</w:t>
      </w:r>
      <w:r w:rsidR="00A7219D" w:rsidRPr="000E4C40">
        <w:rPr>
          <w:rFonts w:hAnsi="宋体"/>
          <w:color w:val="000000"/>
          <w:kern w:val="0"/>
          <w:sz w:val="24"/>
        </w:rPr>
        <w:t>至</w:t>
      </w:r>
      <w:r w:rsidR="00A7219D" w:rsidRPr="000E4C40">
        <w:rPr>
          <w:color w:val="000000"/>
          <w:kern w:val="0"/>
          <w:sz w:val="24"/>
        </w:rPr>
        <w:t>2019年9月30日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交银理财21天债券A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注：图示日期为2012年11月5日至2019年9月30日。本基金建仓期为自基金合同生效日起的6个月。截至建仓期结束，本基金各项资产配置比例符合基金合同及招募说明书有关投资比例的约定。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交银理财21天债券B</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注：图示日期为2013年1月9日至2019年9月30日。本基金建仓期为自基金合同生效日起的6个月。截至建仓期结束，本基金各项资产配置比例符合基金合同及招募说明书有关投资比例的约定。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交银理财21天债券、交银丰享收益债券、交银裕通纯债债券、交银活期通货币、交银天利宝货币、交银裕隆纯债债券、交银天益宝货币、交银境尚收益债券、交银稳鑫短债债券的基金经理</w:t>
            </w:r>
          </w:p>
        </w:tc>
        <w:tc>
          <w:tcPr>
            <w:vAlign w:val="center"/>
          </w:tcPr>
          <w:p>
            <w:pPr>
              <w:jc w:val="center"/>
            </w:pPr>
            <w:r>
              <w:rPr>
                <w:color w:val="000000"/>
                <w:sz w:val="24"/>
              </w:rPr>
              <w:t>2015-05-27</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w:t>
            </w:r>
          </w:p>
          <w:p>
            <w:pPr>
              <w:jc w:val="both"/>
            </w:pPr>
            <w:r>
              <w:rPr>
                <w:color w:val="000000"/>
                <w:sz w:val="24"/>
              </w:rPr>
              <w:t/>
            </w:r>
          </w:p>
          <w:p>
            <w:pPr>
              <w:jc w:val="both"/>
            </w:pPr>
            <w:r>
              <w:rPr>
                <w:color w:val="000000"/>
                <w:sz w:val="24"/>
              </w:rPr>
              <w:t>	</w:t>
            </w:r>
          </w:p>
        </w:tc>
      </w:tr>
    </w:tbl>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为了缓解个别银行信用风险暴露事件导致的市场资金面结构性紧张局面，央行向市场注入了较多短期流动性，七月初资金面较为宽松，隔夜回购利率一度下降至1%以下，之后随着资金的逐渐回笼，资金面开始边际收紧，资金价格也一路回升。虽然此间伴随LPR改革、央行降准、LPR利率下调，资金面依然处于一个紧平衡的状态，直到季度末前最后几个交易日才又转为相对宽松。受资金价格的影响，三个月的同业存单、同业存款等货币市场工具的收益率较上季度末小幅上行。总体来看，截止2019年9月25日，银行间隔夜加权利率R001上行86bp到2.41%，七天加权利率R007上行9bp到2.75%，三个月AAA级商业银行同业存单收益率上行35bp到2.7%。</w:t>
      </w:r>
    </w:p>
    <w:p>
      <w:pPr>
        <w:spacing w:before="29" w:line="288" w:lineRule="auto"/>
        <w:ind w:firstLine="480" w:firstLineChars="200"/>
        <w:rPr>
          <w:color w:val="000000"/>
          <w:sz w:val="24"/>
        </w:rPr>
      </w:pPr>
      <w:r>
        <w:rPr>
          <w:color w:val="000000"/>
          <w:sz w:val="24"/>
        </w:rPr>
        <w:t>基金操作方面，多投资于估值波动较小的银行存款存单与高等级短期信用债，组合整体流动性良好。九月末货币市场工具收益率有一定幅度的上行，我们视组合流动性情况适当拉长久期，增配了部分高评级的同业存款存单、短期融资券等资产，提高了组合静态收益。</w:t>
      </w:r>
    </w:p>
    <w:p>
      <w:pPr>
        <w:spacing w:before="29" w:line="288" w:lineRule="auto"/>
        <w:ind w:firstLine="480" w:firstLineChars="200"/>
        <w:rPr>
          <w:color w:val="000000"/>
          <w:sz w:val="24"/>
        </w:rPr>
      </w:pPr>
      <w:r>
        <w:rPr>
          <w:color w:val="000000"/>
          <w:sz w:val="24"/>
        </w:rPr>
        <w:t>展望2019年四季度，我们认为我国货币政策工具手段较为充足，如果经济下行压力增大或者中美贸易冲突再度升级，货币政策在限制住地产融资之后，还有进一步宽松的空间。但是短期来看，在通胀和汇率掣肘之下，货币政策或将保持定力。考虑到年末或有专项债发行，以及海外发达经济体纷纷加码宽松，流动性收紧的概率也不大。预计在经济企稳之前，流动性总量将维持合理充裕。我们将密切关注通胀是否会超预期上行从而带来货币政策的边际变化，也将继续观察银行理财子公司的发展以及类货币型理财产品对行业生态的影响。</w:t>
      </w:r>
    </w:p>
    <w:p w:rsidP="00281564" w:rsidR="00C4627A" w:rsidRDefault="00C4627A" w:rsidRPr="000E4C40">
      <w:pPr>
        <w:spacing w:before="29" w:line="288" w:lineRule="auto"/>
        <w:ind w:firstLine="480" w:firstLineChars="20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8,979,830,102.42</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55.32</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8,483,109,650.85</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52.26</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496,720,451.57</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3.06</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990,001,885.00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6.10</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6,201,000,206.65</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38.20</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60,339,769.03</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0.37</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16,231,171,963.10</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5.12</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1,635,152,338.33</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11.22</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本基金合同约定：“本基金进入全国银行间同业市场进行债券回购的资金余额不得超过基金资产净值的40%”。本报告期内，本基金未发生超标情况。</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112</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r w:rsidR="002E040C" w:rsidRPr="000E4C40">
              <w:rPr>
                <w:color w:val="000000"/>
                <w:sz w:val="24"/>
              </w:rPr>
              <w:t/>
            </w:r>
            <w:r w:rsidRPr="000E4C40">
              <w:rPr>
                <w:color w:val="000000"/>
                <w:sz w:val="24"/>
              </w:rPr>
              <w:t>115</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72</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本基金合同约定：“本基金投资组合的平均剩余期限在每个交易日均不得超过141天”。本报告期内，本基金未发生超标情况。</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2.47</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11.22</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24.87</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52.88</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30.73</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110.94</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11.22</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摊余成本</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19,920,218.69</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0.14</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790,933,262.68</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5.43</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790,933,262.68</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5.43</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869,865,717.73</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5.97</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6,802,390,451.75</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46.67</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8,483,109,650.85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58.20</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180410</w:t>
            </w:r>
          </w:p>
        </w:tc>
        <w:tc>
          <w:tcPr>
            <w:vAlign w:val="center"/>
          </w:tcPr>
          <w:p>
            <w:pPr>
              <w:jc w:val="center"/>
            </w:pPr>
            <w:r>
              <w:rPr>
                <w:color w:val="000000"/>
                <w:sz w:val="24"/>
              </w:rPr>
              <w:t>18农发10</w:t>
            </w:r>
          </w:p>
        </w:tc>
        <w:tc>
          <w:tcPr>
            <w:vAlign w:val="center"/>
          </w:tcPr>
          <w:p>
            <w:pPr>
              <w:jc w:val="right"/>
            </w:pPr>
            <w:r>
              <w:rPr>
                <w:color w:val="000000"/>
                <w:sz w:val="24"/>
              </w:rPr>
              <w:t>2,700,000</w:t>
            </w:r>
          </w:p>
        </w:tc>
        <w:tc>
          <w:tcPr>
            <w:vAlign w:val="center"/>
          </w:tcPr>
          <w:p>
            <w:pPr>
              <w:jc w:val="right"/>
            </w:pPr>
            <w:r>
              <w:rPr>
                <w:color w:val="000000"/>
                <w:sz w:val="24"/>
              </w:rPr>
              <w:t>270,055,415.56</w:t>
            </w:r>
          </w:p>
        </w:tc>
        <w:tc>
          <w:tcPr>
            <w:vAlign w:val="center"/>
          </w:tcPr>
          <w:p>
            <w:pPr>
              <w:jc w:val="right"/>
            </w:pPr>
            <w:r>
              <w:rPr>
                <w:color w:val="000000"/>
                <w:sz w:val="24"/>
              </w:rPr>
              <w:t>1.85</w:t>
            </w:r>
          </w:p>
        </w:tc>
      </w:tr>
      <w:tr>
        <w:tc>
          <w:tcPr>
            <w:vAlign w:val="center"/>
          </w:tcPr>
          <w:p>
            <w:pPr>
              <w:jc w:val="center"/>
            </w:pPr>
            <w:r>
              <w:rPr>
                <w:color w:val="000000"/>
                <w:sz w:val="24"/>
              </w:rPr>
              <w:t>2</w:t>
            </w:r>
          </w:p>
        </w:tc>
        <w:tc>
          <w:tcPr>
            <w:vAlign w:val="center"/>
          </w:tcPr>
          <w:p>
            <w:pPr>
              <w:jc w:val="center"/>
            </w:pPr>
            <w:r>
              <w:rPr>
                <w:color w:val="000000"/>
                <w:sz w:val="24"/>
              </w:rPr>
              <w:t>111909143</w:t>
            </w:r>
          </w:p>
        </w:tc>
        <w:tc>
          <w:tcPr>
            <w:vAlign w:val="center"/>
          </w:tcPr>
          <w:p>
            <w:pPr>
              <w:jc w:val="center"/>
            </w:pPr>
            <w:r>
              <w:rPr>
                <w:color w:val="000000"/>
                <w:sz w:val="24"/>
              </w:rPr>
              <w:t>19浦发银行CD143</w:t>
            </w:r>
          </w:p>
        </w:tc>
        <w:tc>
          <w:tcPr>
            <w:vAlign w:val="center"/>
          </w:tcPr>
          <w:p>
            <w:pPr>
              <w:jc w:val="right"/>
            </w:pPr>
            <w:r>
              <w:rPr>
                <w:color w:val="000000"/>
                <w:sz w:val="24"/>
              </w:rPr>
              <w:t>2,500,000</w:t>
            </w:r>
          </w:p>
        </w:tc>
        <w:tc>
          <w:tcPr>
            <w:vAlign w:val="center"/>
          </w:tcPr>
          <w:p>
            <w:pPr>
              <w:jc w:val="right"/>
            </w:pPr>
            <w:r>
              <w:rPr>
                <w:color w:val="000000"/>
                <w:sz w:val="24"/>
              </w:rPr>
              <w:t>245,177,684.52</w:t>
            </w:r>
          </w:p>
        </w:tc>
        <w:tc>
          <w:tcPr>
            <w:vAlign w:val="center"/>
          </w:tcPr>
          <w:p>
            <w:pPr>
              <w:jc w:val="right"/>
            </w:pPr>
            <w:r>
              <w:rPr>
                <w:color w:val="000000"/>
                <w:sz w:val="24"/>
              </w:rPr>
              <w:t>1.68</w:t>
            </w:r>
          </w:p>
        </w:tc>
      </w:tr>
      <w:tr>
        <w:tc>
          <w:tcPr>
            <w:vAlign w:val="center"/>
          </w:tcPr>
          <w:p>
            <w:pPr>
              <w:jc w:val="center"/>
            </w:pPr>
            <w:r>
              <w:rPr>
                <w:color w:val="000000"/>
                <w:sz w:val="24"/>
              </w:rPr>
              <w:t>3</w:t>
            </w:r>
          </w:p>
        </w:tc>
        <w:tc>
          <w:tcPr>
            <w:vAlign w:val="center"/>
          </w:tcPr>
          <w:p>
            <w:pPr>
              <w:jc w:val="center"/>
            </w:pPr>
            <w:r>
              <w:rPr>
                <w:color w:val="000000"/>
                <w:sz w:val="24"/>
              </w:rPr>
              <w:t>111908128</w:t>
            </w:r>
          </w:p>
        </w:tc>
        <w:tc>
          <w:tcPr>
            <w:vAlign w:val="center"/>
          </w:tcPr>
          <w:p>
            <w:pPr>
              <w:jc w:val="center"/>
            </w:pPr>
            <w:r>
              <w:rPr>
                <w:color w:val="000000"/>
                <w:sz w:val="24"/>
              </w:rPr>
              <w:t>19中信银行CD128</w:t>
            </w:r>
          </w:p>
        </w:tc>
        <w:tc>
          <w:tcPr>
            <w:vAlign w:val="center"/>
          </w:tcPr>
          <w:p>
            <w:pPr>
              <w:jc w:val="right"/>
            </w:pPr>
            <w:r>
              <w:rPr>
                <w:color w:val="000000"/>
                <w:sz w:val="24"/>
              </w:rPr>
              <w:t>2,500,000</w:t>
            </w:r>
          </w:p>
        </w:tc>
        <w:tc>
          <w:tcPr>
            <w:vAlign w:val="center"/>
          </w:tcPr>
          <w:p>
            <w:pPr>
              <w:jc w:val="right"/>
            </w:pPr>
            <w:r>
              <w:rPr>
                <w:color w:val="000000"/>
                <w:sz w:val="24"/>
              </w:rPr>
              <w:t>244,441,839.27</w:t>
            </w:r>
          </w:p>
        </w:tc>
        <w:tc>
          <w:tcPr>
            <w:vAlign w:val="center"/>
          </w:tcPr>
          <w:p>
            <w:pPr>
              <w:jc w:val="right"/>
            </w:pPr>
            <w:r>
              <w:rPr>
                <w:color w:val="000000"/>
                <w:sz w:val="24"/>
              </w:rPr>
              <w:t>1.68</w:t>
            </w:r>
          </w:p>
        </w:tc>
      </w:tr>
      <w:tr>
        <w:tc>
          <w:tcPr>
            <w:vAlign w:val="center"/>
          </w:tcPr>
          <w:p>
            <w:pPr>
              <w:jc w:val="center"/>
            </w:pPr>
            <w:r>
              <w:rPr>
                <w:color w:val="000000"/>
                <w:sz w:val="24"/>
              </w:rPr>
              <w:t>4</w:t>
            </w:r>
          </w:p>
        </w:tc>
        <w:tc>
          <w:tcPr>
            <w:vAlign w:val="center"/>
          </w:tcPr>
          <w:p>
            <w:pPr>
              <w:jc w:val="center"/>
            </w:pPr>
            <w:r>
              <w:rPr>
                <w:color w:val="000000"/>
                <w:sz w:val="24"/>
              </w:rPr>
              <w:t>111909199</w:t>
            </w:r>
          </w:p>
        </w:tc>
        <w:tc>
          <w:tcPr>
            <w:vAlign w:val="center"/>
          </w:tcPr>
          <w:p>
            <w:pPr>
              <w:jc w:val="center"/>
            </w:pPr>
            <w:r>
              <w:rPr>
                <w:color w:val="000000"/>
                <w:sz w:val="24"/>
              </w:rPr>
              <w:t>19浦发银行CD199</w:t>
            </w:r>
          </w:p>
        </w:tc>
        <w:tc>
          <w:tcPr>
            <w:vAlign w:val="center"/>
          </w:tcPr>
          <w:p>
            <w:pPr>
              <w:jc w:val="right"/>
            </w:pPr>
            <w:r>
              <w:rPr>
                <w:color w:val="000000"/>
                <w:sz w:val="24"/>
              </w:rPr>
              <w:t>2,500,000</w:t>
            </w:r>
          </w:p>
        </w:tc>
        <w:tc>
          <w:tcPr>
            <w:vAlign w:val="center"/>
          </w:tcPr>
          <w:p>
            <w:pPr>
              <w:jc w:val="right"/>
            </w:pPr>
            <w:r>
              <w:rPr>
                <w:color w:val="000000"/>
                <w:sz w:val="24"/>
              </w:rPr>
              <w:t>244,441,839.27</w:t>
            </w:r>
          </w:p>
        </w:tc>
        <w:tc>
          <w:tcPr>
            <w:vAlign w:val="center"/>
          </w:tcPr>
          <w:p>
            <w:pPr>
              <w:jc w:val="right"/>
            </w:pPr>
            <w:r>
              <w:rPr>
                <w:color w:val="000000"/>
                <w:sz w:val="24"/>
              </w:rPr>
              <w:t>1.68</w:t>
            </w:r>
          </w:p>
        </w:tc>
      </w:tr>
      <w:tr>
        <w:tc>
          <w:tcPr>
            <w:vAlign w:val="center"/>
          </w:tcPr>
          <w:p>
            <w:pPr>
              <w:jc w:val="center"/>
            </w:pPr>
            <w:r>
              <w:rPr>
                <w:color w:val="000000"/>
                <w:sz w:val="24"/>
              </w:rPr>
              <w:t>5</w:t>
            </w:r>
          </w:p>
        </w:tc>
        <w:tc>
          <w:tcPr>
            <w:vAlign w:val="center"/>
          </w:tcPr>
          <w:p>
            <w:pPr>
              <w:jc w:val="center"/>
            </w:pPr>
            <w:r>
              <w:rPr>
                <w:color w:val="000000"/>
                <w:sz w:val="24"/>
              </w:rPr>
              <w:t>111915231</w:t>
            </w:r>
          </w:p>
        </w:tc>
        <w:tc>
          <w:tcPr>
            <w:vAlign w:val="center"/>
          </w:tcPr>
          <w:p>
            <w:pPr>
              <w:jc w:val="center"/>
            </w:pPr>
            <w:r>
              <w:rPr>
                <w:color w:val="000000"/>
                <w:sz w:val="24"/>
              </w:rPr>
              <w:t>19民生银行CD231</w:t>
            </w:r>
          </w:p>
        </w:tc>
        <w:tc>
          <w:tcPr>
            <w:vAlign w:val="center"/>
          </w:tcPr>
          <w:p>
            <w:pPr>
              <w:jc w:val="right"/>
            </w:pPr>
            <w:r>
              <w:rPr>
                <w:color w:val="000000"/>
                <w:sz w:val="24"/>
              </w:rPr>
              <w:t>2,500,000</w:t>
            </w:r>
          </w:p>
        </w:tc>
        <w:tc>
          <w:tcPr>
            <w:vAlign w:val="center"/>
          </w:tcPr>
          <w:p>
            <w:pPr>
              <w:jc w:val="right"/>
            </w:pPr>
            <w:r>
              <w:rPr>
                <w:color w:val="000000"/>
                <w:sz w:val="24"/>
              </w:rPr>
              <w:t>244,434,812.93</w:t>
            </w:r>
          </w:p>
        </w:tc>
        <w:tc>
          <w:tcPr>
            <w:vAlign w:val="center"/>
          </w:tcPr>
          <w:p>
            <w:pPr>
              <w:jc w:val="right"/>
            </w:pPr>
            <w:r>
              <w:rPr>
                <w:color w:val="000000"/>
                <w:sz w:val="24"/>
              </w:rPr>
              <w:t>1.68</w:t>
            </w:r>
          </w:p>
        </w:tc>
      </w:tr>
      <w:tr>
        <w:tc>
          <w:tcPr>
            <w:vAlign w:val="center"/>
          </w:tcPr>
          <w:p>
            <w:pPr>
              <w:jc w:val="center"/>
            </w:pPr>
            <w:r>
              <w:rPr>
                <w:color w:val="000000"/>
                <w:sz w:val="24"/>
              </w:rPr>
              <w:t>6</w:t>
            </w:r>
          </w:p>
        </w:tc>
        <w:tc>
          <w:tcPr>
            <w:vAlign w:val="center"/>
          </w:tcPr>
          <w:p>
            <w:pPr>
              <w:jc w:val="center"/>
            </w:pPr>
            <w:r>
              <w:rPr>
                <w:color w:val="000000"/>
                <w:sz w:val="24"/>
              </w:rPr>
              <w:t>111911064</w:t>
            </w:r>
          </w:p>
        </w:tc>
        <w:tc>
          <w:tcPr>
            <w:vAlign w:val="center"/>
          </w:tcPr>
          <w:p>
            <w:pPr>
              <w:jc w:val="center"/>
            </w:pPr>
            <w:r>
              <w:rPr>
                <w:color w:val="000000"/>
                <w:sz w:val="24"/>
              </w:rPr>
              <w:t>19平安银行CD064</w:t>
            </w:r>
          </w:p>
        </w:tc>
        <w:tc>
          <w:tcPr>
            <w:vAlign w:val="center"/>
          </w:tcPr>
          <w:p>
            <w:pPr>
              <w:jc w:val="right"/>
            </w:pPr>
            <w:r>
              <w:rPr>
                <w:color w:val="000000"/>
                <w:sz w:val="24"/>
              </w:rPr>
              <w:t>2,100,000</w:t>
            </w:r>
          </w:p>
        </w:tc>
        <w:tc>
          <w:tcPr>
            <w:vAlign w:val="center"/>
          </w:tcPr>
          <w:p>
            <w:pPr>
              <w:jc w:val="right"/>
            </w:pPr>
            <w:r>
              <w:rPr>
                <w:color w:val="000000"/>
                <w:sz w:val="24"/>
              </w:rPr>
              <w:t>205,966,908.13</w:t>
            </w:r>
          </w:p>
        </w:tc>
        <w:tc>
          <w:tcPr>
            <w:vAlign w:val="center"/>
          </w:tcPr>
          <w:p>
            <w:pPr>
              <w:jc w:val="right"/>
            </w:pPr>
            <w:r>
              <w:rPr>
                <w:color w:val="000000"/>
                <w:sz w:val="24"/>
              </w:rPr>
              <w:t>1.41</w:t>
            </w:r>
          </w:p>
        </w:tc>
      </w:tr>
      <w:tr>
        <w:tc>
          <w:tcPr>
            <w:vAlign w:val="center"/>
          </w:tcPr>
          <w:p>
            <w:pPr>
              <w:jc w:val="center"/>
            </w:pPr>
            <w:r>
              <w:rPr>
                <w:color w:val="000000"/>
                <w:sz w:val="24"/>
              </w:rPr>
              <w:t>7</w:t>
            </w:r>
          </w:p>
        </w:tc>
        <w:tc>
          <w:tcPr>
            <w:vAlign w:val="center"/>
          </w:tcPr>
          <w:p>
            <w:pPr>
              <w:jc w:val="center"/>
            </w:pPr>
            <w:r>
              <w:rPr>
                <w:color w:val="000000"/>
                <w:sz w:val="24"/>
              </w:rPr>
              <w:t>111918379</w:t>
            </w:r>
          </w:p>
        </w:tc>
        <w:tc>
          <w:tcPr>
            <w:vAlign w:val="center"/>
          </w:tcPr>
          <w:p>
            <w:pPr>
              <w:jc w:val="center"/>
            </w:pPr>
            <w:r>
              <w:rPr>
                <w:color w:val="000000"/>
                <w:sz w:val="24"/>
              </w:rPr>
              <w:t>19华夏银行CD379</w:t>
            </w:r>
          </w:p>
        </w:tc>
        <w:tc>
          <w:tcPr>
            <w:vAlign w:val="center"/>
          </w:tcPr>
          <w:p>
            <w:pPr>
              <w:jc w:val="right"/>
            </w:pPr>
            <w:r>
              <w:rPr>
                <w:color w:val="000000"/>
                <w:sz w:val="24"/>
              </w:rPr>
              <w:t>2,100,000</w:t>
            </w:r>
          </w:p>
        </w:tc>
        <w:tc>
          <w:tcPr>
            <w:vAlign w:val="center"/>
          </w:tcPr>
          <w:p>
            <w:pPr>
              <w:jc w:val="right"/>
            </w:pPr>
            <w:r>
              <w:rPr>
                <w:color w:val="000000"/>
                <w:sz w:val="24"/>
              </w:rPr>
              <w:t>203,904,449.04</w:t>
            </w:r>
          </w:p>
        </w:tc>
        <w:tc>
          <w:tcPr>
            <w:vAlign w:val="center"/>
          </w:tcPr>
          <w:p>
            <w:pPr>
              <w:jc w:val="right"/>
            </w:pPr>
            <w:r>
              <w:rPr>
                <w:color w:val="000000"/>
                <w:sz w:val="24"/>
              </w:rPr>
              <w:t>1.40</w:t>
            </w:r>
          </w:p>
        </w:tc>
      </w:tr>
      <w:tr>
        <w:tc>
          <w:tcPr>
            <w:vAlign w:val="center"/>
          </w:tcPr>
          <w:p>
            <w:pPr>
              <w:jc w:val="center"/>
            </w:pPr>
            <w:r>
              <w:rPr>
                <w:color w:val="000000"/>
                <w:sz w:val="24"/>
              </w:rPr>
              <w:t>8</w:t>
            </w:r>
          </w:p>
        </w:tc>
        <w:tc>
          <w:tcPr>
            <w:vAlign w:val="center"/>
          </w:tcPr>
          <w:p>
            <w:pPr>
              <w:jc w:val="center"/>
            </w:pPr>
            <w:r>
              <w:rPr>
                <w:color w:val="000000"/>
                <w:sz w:val="24"/>
              </w:rPr>
              <w:t>111988795</w:t>
            </w:r>
          </w:p>
        </w:tc>
        <w:tc>
          <w:tcPr>
            <w:vAlign w:val="center"/>
          </w:tcPr>
          <w:p>
            <w:pPr>
              <w:jc w:val="center"/>
            </w:pPr>
            <w:r>
              <w:rPr>
                <w:color w:val="000000"/>
                <w:sz w:val="24"/>
              </w:rPr>
              <w:t>19杭州银行CD094</w:t>
            </w:r>
          </w:p>
        </w:tc>
        <w:tc>
          <w:tcPr>
            <w:vAlign w:val="center"/>
          </w:tcPr>
          <w:p>
            <w:pPr>
              <w:jc w:val="right"/>
            </w:pPr>
            <w:r>
              <w:rPr>
                <w:color w:val="000000"/>
                <w:sz w:val="24"/>
              </w:rPr>
              <w:t>2,100,000</w:t>
            </w:r>
          </w:p>
        </w:tc>
        <w:tc>
          <w:tcPr>
            <w:vAlign w:val="center"/>
          </w:tcPr>
          <w:p>
            <w:pPr>
              <w:jc w:val="right"/>
            </w:pPr>
            <w:r>
              <w:rPr>
                <w:color w:val="000000"/>
                <w:sz w:val="24"/>
              </w:rPr>
              <w:t>203,787,686.25</w:t>
            </w:r>
          </w:p>
        </w:tc>
        <w:tc>
          <w:tcPr>
            <w:vAlign w:val="center"/>
          </w:tcPr>
          <w:p>
            <w:pPr>
              <w:jc w:val="right"/>
            </w:pPr>
            <w:r>
              <w:rPr>
                <w:color w:val="000000"/>
                <w:sz w:val="24"/>
              </w:rPr>
              <w:t>1.40</w:t>
            </w:r>
          </w:p>
        </w:tc>
      </w:tr>
      <w:tr>
        <w:tc>
          <w:tcPr>
            <w:vAlign w:val="center"/>
          </w:tcPr>
          <w:p>
            <w:pPr>
              <w:jc w:val="center"/>
            </w:pPr>
            <w:r>
              <w:rPr>
                <w:color w:val="000000"/>
                <w:sz w:val="24"/>
              </w:rPr>
              <w:t>9</w:t>
            </w:r>
          </w:p>
        </w:tc>
        <w:tc>
          <w:tcPr>
            <w:vAlign w:val="center"/>
          </w:tcPr>
          <w:p>
            <w:pPr>
              <w:jc w:val="center"/>
            </w:pPr>
            <w:r>
              <w:rPr>
                <w:color w:val="000000"/>
                <w:sz w:val="24"/>
              </w:rPr>
              <w:t>140227</w:t>
            </w:r>
          </w:p>
        </w:tc>
        <w:tc>
          <w:tcPr>
            <w:vAlign w:val="center"/>
          </w:tcPr>
          <w:p>
            <w:pPr>
              <w:jc w:val="center"/>
            </w:pPr>
            <w:r>
              <w:rPr>
                <w:color w:val="000000"/>
                <w:sz w:val="24"/>
              </w:rPr>
              <w:t>14国开27</w:t>
            </w:r>
          </w:p>
        </w:tc>
        <w:tc>
          <w:tcPr>
            <w:vAlign w:val="center"/>
          </w:tcPr>
          <w:p>
            <w:pPr>
              <w:jc w:val="right"/>
            </w:pPr>
            <w:r>
              <w:rPr>
                <w:color w:val="000000"/>
                <w:sz w:val="24"/>
              </w:rPr>
              <w:t>2,000,000</w:t>
            </w:r>
          </w:p>
        </w:tc>
        <w:tc>
          <w:tcPr>
            <w:vAlign w:val="center"/>
          </w:tcPr>
          <w:p>
            <w:pPr>
              <w:jc w:val="right"/>
            </w:pPr>
            <w:r>
              <w:rPr>
                <w:color w:val="000000"/>
                <w:sz w:val="24"/>
              </w:rPr>
              <w:t>200,438,137.56</w:t>
            </w:r>
          </w:p>
        </w:tc>
        <w:tc>
          <w:tcPr>
            <w:vAlign w:val="center"/>
          </w:tcPr>
          <w:p>
            <w:pPr>
              <w:jc w:val="right"/>
            </w:pPr>
            <w:r>
              <w:rPr>
                <w:color w:val="000000"/>
                <w:sz w:val="24"/>
              </w:rPr>
              <w:t>1.38</w:t>
            </w:r>
          </w:p>
        </w:tc>
      </w:tr>
      <w:tr>
        <w:tc>
          <w:tcPr>
            <w:vAlign w:val="center"/>
          </w:tcPr>
          <w:p>
            <w:pPr>
              <w:jc w:val="center"/>
            </w:pPr>
            <w:r>
              <w:rPr>
                <w:color w:val="000000"/>
                <w:sz w:val="24"/>
              </w:rPr>
              <w:t>10</w:t>
            </w:r>
          </w:p>
        </w:tc>
        <w:tc>
          <w:tcPr>
            <w:vAlign w:val="center"/>
          </w:tcPr>
          <w:p>
            <w:pPr>
              <w:jc w:val="center"/>
            </w:pPr>
            <w:r>
              <w:rPr>
                <w:color w:val="000000"/>
                <w:sz w:val="24"/>
              </w:rPr>
              <w:t>111984045</w:t>
            </w:r>
          </w:p>
        </w:tc>
        <w:tc>
          <w:tcPr>
            <w:vAlign w:val="center"/>
          </w:tcPr>
          <w:p>
            <w:pPr>
              <w:jc w:val="center"/>
            </w:pPr>
            <w:r>
              <w:rPr>
                <w:color w:val="000000"/>
                <w:sz w:val="24"/>
              </w:rPr>
              <w:t>19天津银行CD173</w:t>
            </w:r>
          </w:p>
        </w:tc>
        <w:tc>
          <w:tcPr>
            <w:vAlign w:val="center"/>
          </w:tcPr>
          <w:p>
            <w:pPr>
              <w:jc w:val="right"/>
            </w:pPr>
            <w:r>
              <w:rPr>
                <w:color w:val="000000"/>
                <w:sz w:val="24"/>
              </w:rPr>
              <w:t>2,000,000</w:t>
            </w:r>
          </w:p>
        </w:tc>
        <w:tc>
          <w:tcPr>
            <w:vAlign w:val="center"/>
          </w:tcPr>
          <w:p>
            <w:pPr>
              <w:jc w:val="right"/>
            </w:pPr>
            <w:r>
              <w:rPr>
                <w:color w:val="000000"/>
                <w:sz w:val="24"/>
              </w:rPr>
              <w:t>199,457,596.32</w:t>
            </w:r>
          </w:p>
        </w:tc>
        <w:tc>
          <w:tcPr>
            <w:vAlign w:val="center"/>
          </w:tcPr>
          <w:p>
            <w:pPr>
              <w:jc w:val="right"/>
            </w:pPr>
            <w:r>
              <w:rPr>
                <w:color w:val="000000"/>
                <w:sz w:val="24"/>
              </w:rPr>
              <w:t>1.37</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0.1312%</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0.0372%</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0.0933%</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本基金本报告期内未存在负偏离度的绝对值达到0.25%的情况。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本基金本报告期内未存在正偏离度的绝对值达到0.5%的情况。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E97D49" w:rsidR="00E97D49" w:rsidRDefault="00E97D49" w:rsidRPr="00E97D49">
      <w:pPr>
        <w:spacing w:before="29" w:line="288" w:lineRule="auto"/>
        <w:jc w:val="right"/>
        <w:rPr>
          <w:color w:val="000000"/>
          <w:kern w:val="0"/>
          <w:sz w:val="24"/>
        </w:rPr>
      </w:pPr>
      <w:r w:rsidRPr="00E97D49">
        <w:rPr>
          <w:rFonts w:hint="eastAsia"/>
          <w:color w:val="000000"/>
          <w:kern w:val="0"/>
          <w:sz w:val="24"/>
        </w:rPr>
        <w:t/>
      </w:r>
      <w:r w:rsidRPr="00E97D49">
        <w:rPr>
          <w:rFonts w:hint="eastAsia"/>
          <w:color w:val="000000"/>
          <w:kern w:val="0"/>
          <w:sz w:val="24"/>
        </w:rPr>
        <w:t>金额单位：人民币元</w:t>
      </w:r>
    </w:p>
    <w:tbl>
      <w:tblPr>
        <w:tblStyle w:val="aa"/>
        <w:tblW w:type="dxa" w:w="8868"/>
        <w:jc w:val="center"/>
        <w:tblCellMar>
          <w:top w:type="dxa" w:w="57"/>
          <w:bottom w:type="dxa" w:w="57"/>
        </w:tblCellMar>
        <w:tblLook w:firstColumn="1" w:firstRow="1" w:lastColumn="0" w:lastRow="0" w:noHBand="0" w:noVBand="1" w:val="04A0"/>
      </w:tblPr>
      <w:tblGrid>
        <w:gridCol w:w="1519"/>
        <w:gridCol w:w="1519"/>
        <w:gridCol w:w="1519"/>
        <w:gridCol w:w="1626"/>
        <w:gridCol w:w="1519"/>
        <w:gridCol w:w="1600"/>
      </w:tblGrid>
      <w:tr w:rsidR="00BF1111" w:rsidRPr="000E4C40" w:rsidTr="00B13F60">
        <w:trPr>
          <w:jc w:val="center"/>
        </w:trPr>
        <w:tc>
          <w:tcPr>
            <w:tcW w:type="dxa" w:w="1547"/>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548"/>
            <w:vAlign w:val="center"/>
          </w:tcPr>
          <w:p w:rsidP="00187BE0" w:rsidR="00BF1111" w:rsidRDefault="00E269C1" w:rsidRPr="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p>
        </w:tc>
        <w:tc>
          <w:tcPr>
            <w:tcW w:type="dxa" w:w="1548"/>
            <w:vAlign w:val="center"/>
          </w:tcPr>
          <w:p w:rsidP="00281564" w:rsidR="00BF1111" w:rsidRDefault="00F6042F"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1989319</w:t>
            </w:r>
          </w:p>
        </w:tc>
        <w:tc>
          <w:tcPr>
            <w:vAlign w:val="center"/>
          </w:tcPr>
          <w:p>
            <w:pPr>
              <w:jc w:val="center"/>
            </w:pPr>
            <w:r>
              <w:rPr>
                <w:color w:val="000000"/>
                <w:sz w:val="24"/>
              </w:rPr>
              <w:t>19上和3A1_bc</w:t>
            </w:r>
          </w:p>
        </w:tc>
        <w:tc>
          <w:tcPr>
            <w:vAlign w:val="center"/>
          </w:tcPr>
          <w:p>
            <w:pPr>
              <w:jc w:val="right"/>
            </w:pPr>
            <w:r>
              <w:rPr>
                <w:color w:val="000000"/>
                <w:sz w:val="24"/>
              </w:rPr>
              <w:t>3,100,000</w:t>
            </w:r>
          </w:p>
        </w:tc>
        <w:tc>
          <w:tcPr>
            <w:vAlign w:val="center"/>
          </w:tcPr>
          <w:p>
            <w:pPr>
              <w:jc w:val="right"/>
            </w:pPr>
            <w:r>
              <w:rPr>
                <w:color w:val="000000"/>
                <w:sz w:val="24"/>
              </w:rPr>
              <w:t>310,031,000.00</w:t>
            </w:r>
          </w:p>
        </w:tc>
        <w:tc>
          <w:tcPr>
            <w:vAlign w:val="center"/>
          </w:tcPr>
          <w:p>
            <w:pPr>
              <w:jc w:val="right"/>
            </w:pPr>
            <w:r>
              <w:rPr>
                <w:color w:val="000000"/>
                <w:sz w:val="24"/>
              </w:rPr>
              <w:t>2.13</w:t>
            </w:r>
          </w:p>
        </w:tc>
      </w:tr>
      <w:tr>
        <w:tc>
          <w:tcPr>
            <w:vAlign w:val="center"/>
          </w:tcPr>
          <w:p>
            <w:pPr>
              <w:jc w:val="center"/>
            </w:pPr>
            <w:r>
              <w:rPr>
                <w:color w:val="000000"/>
                <w:sz w:val="24"/>
              </w:rPr>
              <w:t>2</w:t>
            </w:r>
          </w:p>
        </w:tc>
        <w:tc>
          <w:tcPr>
            <w:vAlign w:val="center"/>
          </w:tcPr>
          <w:p>
            <w:pPr>
              <w:jc w:val="center"/>
            </w:pPr>
            <w:r>
              <w:rPr>
                <w:color w:val="000000"/>
                <w:sz w:val="24"/>
              </w:rPr>
              <w:t>156794</w:t>
            </w:r>
          </w:p>
        </w:tc>
        <w:tc>
          <w:tcPr>
            <w:vAlign w:val="center"/>
          </w:tcPr>
          <w:p>
            <w:pPr>
              <w:jc w:val="center"/>
            </w:pPr>
            <w:r>
              <w:rPr>
                <w:color w:val="000000"/>
                <w:sz w:val="24"/>
              </w:rPr>
              <w:t>信泽01A2</w:t>
            </w:r>
          </w:p>
        </w:tc>
        <w:tc>
          <w:tcPr>
            <w:vAlign w:val="center"/>
          </w:tcPr>
          <w:p>
            <w:pPr>
              <w:jc w:val="right"/>
            </w:pPr>
            <w:r>
              <w:rPr>
                <w:color w:val="000000"/>
                <w:sz w:val="24"/>
              </w:rPr>
              <w:t>1,000,000</w:t>
            </w:r>
          </w:p>
        </w:tc>
        <w:tc>
          <w:tcPr>
            <w:vAlign w:val="center"/>
          </w:tcPr>
          <w:p>
            <w:pPr>
              <w:jc w:val="right"/>
            </w:pPr>
            <w:r>
              <w:rPr>
                <w:color w:val="000000"/>
                <w:sz w:val="24"/>
              </w:rPr>
              <w:t>100,030,000.00</w:t>
            </w:r>
          </w:p>
        </w:tc>
        <w:tc>
          <w:tcPr>
            <w:vAlign w:val="center"/>
          </w:tcPr>
          <w:p>
            <w:pPr>
              <w:jc w:val="right"/>
            </w:pPr>
            <w:r>
              <w:rPr>
                <w:color w:val="000000"/>
                <w:sz w:val="24"/>
              </w:rPr>
              <w:t>0.69</w:t>
            </w:r>
          </w:p>
        </w:tc>
      </w:tr>
      <w:tr>
        <w:tc>
          <w:tcPr>
            <w:vAlign w:val="center"/>
          </w:tcPr>
          <w:p>
            <w:pPr>
              <w:jc w:val="center"/>
            </w:pPr>
            <w:r>
              <w:rPr>
                <w:color w:val="000000"/>
                <w:sz w:val="24"/>
              </w:rPr>
              <w:t>3</w:t>
            </w:r>
          </w:p>
        </w:tc>
        <w:tc>
          <w:tcPr>
            <w:vAlign w:val="center"/>
          </w:tcPr>
          <w:p>
            <w:pPr>
              <w:jc w:val="center"/>
            </w:pPr>
            <w:r>
              <w:rPr>
                <w:color w:val="000000"/>
                <w:sz w:val="24"/>
              </w:rPr>
              <w:t>1989094</w:t>
            </w:r>
          </w:p>
        </w:tc>
        <w:tc>
          <w:tcPr>
            <w:vAlign w:val="center"/>
          </w:tcPr>
          <w:p>
            <w:pPr>
              <w:jc w:val="center"/>
            </w:pPr>
            <w:r>
              <w:rPr>
                <w:color w:val="000000"/>
                <w:sz w:val="24"/>
              </w:rPr>
              <w:t>19上和2A1</w:t>
            </w:r>
          </w:p>
        </w:tc>
        <w:tc>
          <w:tcPr>
            <w:vAlign w:val="center"/>
          </w:tcPr>
          <w:p>
            <w:pPr>
              <w:jc w:val="right"/>
            </w:pPr>
            <w:r>
              <w:rPr>
                <w:color w:val="000000"/>
                <w:sz w:val="24"/>
              </w:rPr>
              <w:t>3,000,000</w:t>
            </w:r>
          </w:p>
        </w:tc>
        <w:tc>
          <w:tcPr>
            <w:vAlign w:val="center"/>
          </w:tcPr>
          <w:p>
            <w:pPr>
              <w:jc w:val="right"/>
            </w:pPr>
            <w:r>
              <w:rPr>
                <w:color w:val="000000"/>
                <w:sz w:val="24"/>
              </w:rPr>
              <w:t>46,710,000.00</w:t>
            </w:r>
          </w:p>
        </w:tc>
        <w:tc>
          <w:tcPr>
            <w:vAlign w:val="center"/>
          </w:tcPr>
          <w:p>
            <w:pPr>
              <w:jc w:val="right"/>
            </w:pPr>
            <w:r>
              <w:rPr>
                <w:color w:val="000000"/>
                <w:sz w:val="24"/>
              </w:rPr>
              <w:t>0.32</w:t>
            </w:r>
          </w:p>
        </w:tc>
      </w:tr>
      <w:tr>
        <w:tc>
          <w:tcPr>
            <w:vAlign w:val="center"/>
          </w:tcPr>
          <w:p>
            <w:pPr>
              <w:jc w:val="center"/>
            </w:pPr>
            <w:r>
              <w:rPr>
                <w:color w:val="000000"/>
                <w:sz w:val="24"/>
              </w:rPr>
              <w:t>4</w:t>
            </w:r>
          </w:p>
        </w:tc>
        <w:tc>
          <w:tcPr>
            <w:vAlign w:val="center"/>
          </w:tcPr>
          <w:p>
            <w:pPr>
              <w:jc w:val="center"/>
            </w:pPr>
            <w:r>
              <w:rPr>
                <w:color w:val="000000"/>
                <w:sz w:val="24"/>
              </w:rPr>
              <w:t>159180</w:t>
            </w:r>
          </w:p>
        </w:tc>
        <w:tc>
          <w:tcPr>
            <w:vAlign w:val="center"/>
          </w:tcPr>
          <w:p>
            <w:pPr>
              <w:jc w:val="center"/>
            </w:pPr>
            <w:r>
              <w:rPr>
                <w:color w:val="000000"/>
                <w:sz w:val="24"/>
              </w:rPr>
              <w:t>信泽02A1</w:t>
            </w:r>
          </w:p>
        </w:tc>
        <w:tc>
          <w:tcPr>
            <w:vAlign w:val="center"/>
          </w:tcPr>
          <w:p>
            <w:pPr>
              <w:jc w:val="right"/>
            </w:pPr>
            <w:r>
              <w:rPr>
                <w:color w:val="000000"/>
                <w:sz w:val="24"/>
              </w:rPr>
              <w:t>400,000</w:t>
            </w:r>
          </w:p>
        </w:tc>
        <w:tc>
          <w:tcPr>
            <w:vAlign w:val="center"/>
          </w:tcPr>
          <w:p>
            <w:pPr>
              <w:jc w:val="right"/>
            </w:pPr>
            <w:r>
              <w:rPr>
                <w:color w:val="000000"/>
                <w:sz w:val="24"/>
              </w:rPr>
              <w:t>40,024,000.00</w:t>
            </w:r>
          </w:p>
        </w:tc>
        <w:tc>
          <w:tcPr>
            <w:vAlign w:val="center"/>
          </w:tcPr>
          <w:p>
            <w:pPr>
              <w:jc w:val="right"/>
            </w:pPr>
            <w:r>
              <w:rPr>
                <w:color w:val="000000"/>
                <w:sz w:val="24"/>
              </w:rPr>
              <w:t>0.27</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报告期内本基金投资的前十名证券的发行主体除19民生银行CD231（证券代码：111915231）外，未出现被监管部门立案调查，或在报告编制日前一年内受到公开谴责、处罚的情形。</w:t>
      </w:r>
    </w:p>
    <w:p>
      <w:pPr>
        <w:adjustRightInd w:val="0"/>
        <w:spacing w:before="29" w:line="288" w:lineRule="auto"/>
        <w:ind w:left="17"/>
        <w:rPr>
          <w:color w:val="000000"/>
          <w:sz w:val="24"/>
        </w:rPr>
      </w:pPr>
      <w:r>
        <w:rPr>
          <w:color w:val="000000"/>
          <w:sz w:val="24"/>
        </w:rPr>
        <w:t>报告期内本基金投资的前十名证券之一19民生银行CD231（证券代码：111915231）的发行主体民生银行，根据银保监会2018年12月7日公布的《中国银行保险监督管理委员会行政处罚信息公开表(银保监银罚决字〔2018〕5号)》，因存在贷款业务严重违反审慎经营规则等违法违规事实，被中国银行保险监督管理委员会处以行政处罚，罚款200万元；根据银保监会2018年12月7日公布的《中国银行保险监督管理委员会行政处罚信息公开表(银保监银罚决字〔2018〕8号)》，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3160万元。</w:t>
      </w:r>
    </w:p>
    <w:p>
      <w:pPr>
        <w:adjustRightInd w:val="0"/>
        <w:spacing w:before="29" w:line="288" w:lineRule="auto"/>
        <w:ind w:left="17"/>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60,339,069.03</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700.00</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60,339,769.03</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bookmarkStart w:id="2" w:name="_GoBack"/>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bookmarkEnd w:id="2"/>
    <w:p w:rsidP="00930856" w:rsidR="00452D31" w:rsidRDefault="00452D31" w:rsidRPr="000E4C40">
      <w:pPr>
        <w:spacing w:before="29" w:line="288" w:lineRule="auto"/>
        <w:rPr>
          <w:color w:val="000000"/>
          <w:sz w:val="24"/>
        </w:rPr>
      </w:pPr>
      <w:r w:rsidRPr="000E4C40">
        <w:rPr>
          <w:color w:val="000000"/>
          <w:sz w:val="24"/>
        </w:rPr>
        <w:t/>
      </w:r>
      <w:r w:rsidR="000C469F" w:rsidRPr="000E4C40">
        <w:rPr>
          <w:color w:val="000000"/>
          <w:sz w:val="24"/>
        </w:rPr>
        <w:t/>
      </w:r>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Pr="000E4C40">
              <w:rPr>
                <w:sz w:val="24"/>
              </w:rPr>
              <w:lastRenderedPageBreak/>
              <w:t/>
            </w:r>
            <w:r w:rsidR="00327FB0" w:rsidRPr="000E4C40">
              <w:rPr>
                <w:sz w:val="24"/>
              </w:rPr>
              <w:t/>
            </w:r>
            <w:r w:rsidRPr="000E4C40">
              <w:rPr>
                <w:sz w:val="24"/>
              </w:rPr>
              <w:t>交银理财21天债券A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交银理财21天债券B</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9,523,399.36</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16,311,229,904.81</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53,508.06</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120,866,373.41</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1,099,285.67</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1,865,007,867.73</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8,477,621.75</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14,567,088,410.49</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r w:rsidR="00AA5B03" w:rsidRPr="000E4C40">
        <w:rPr>
          <w:color w:val="000000"/>
          <w:sz w:val="24"/>
        </w:rPr>
        <w:t xml:space="preserve"> 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本基金管理人本报告期内未进行本基金的申购、赎回、红利再投等；本基金管理人本报告期末持有本基金份额0.00份，占本基金期末总份额的0.00%。</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lastRenderedPageBreak/>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4,499,611,903.90</w:t>
            </w:r>
          </w:p>
        </w:tc>
        <w:tc>
          <w:tcPr>
            <w:vAlign w:val="center"/>
          </w:tcPr>
          <w:p>
            <w:pPr>
              <w:jc w:val="center"/>
            </w:pPr>
            <w:r>
              <w:rPr>
                <w:rFonts w:ascii="宋体" w:hAnsi="宋体" w:hint="eastAsia"/>
                <w:color w:val="000000"/>
                <w:kern w:val="0"/>
                <w:szCs w:val="21"/>
              </w:rPr>
              <w:t>32,227,402.73</w:t>
            </w:r>
          </w:p>
        </w:tc>
        <w:tc>
          <w:tcPr>
            <w:vAlign w:val="center"/>
          </w:tcPr>
          <w:p>
            <w:pPr>
              <w:jc w:val="center"/>
            </w:pPr>
            <w:r>
              <w:rPr>
                <w:rFonts w:ascii="宋体" w:hAnsi="宋体" w:hint="eastAsia"/>
                <w:color w:val="000000"/>
                <w:kern w:val="0"/>
                <w:szCs w:val="21"/>
              </w:rPr>
              <w:t>900,000,000.00</w:t>
            </w:r>
          </w:p>
        </w:tc>
        <w:tc>
          <w:tcPr>
            <w:vAlign w:val="center"/>
          </w:tcPr>
          <w:p>
            <w:pPr>
              <w:jc w:val="center"/>
            </w:pPr>
            <w:r>
              <w:rPr>
                <w:rFonts w:ascii="宋体" w:hAnsi="宋体" w:hint="eastAsia"/>
                <w:color w:val="000000"/>
                <w:kern w:val="0"/>
                <w:szCs w:val="21"/>
              </w:rPr>
              <w:t>3,631,839,306.63</w:t>
            </w:r>
          </w:p>
        </w:tc>
        <w:tc>
          <w:tcPr>
            <w:vAlign w:val="center"/>
          </w:tcPr>
          <w:p>
            <w:pPr>
              <w:jc w:val="center"/>
            </w:pPr>
            <w:r>
              <w:rPr>
                <w:rFonts w:ascii="宋体" w:hAnsi="宋体" w:hint="eastAsia"/>
                <w:color w:val="000000"/>
                <w:kern w:val="0"/>
                <w:szCs w:val="21"/>
              </w:rPr>
              <w:t>24.92%</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1、中国证监会批准交银施罗德理财21天债券型证券投资基金募集的文件； </w:t>
      </w:r>
    </w:p>
    <w:p>
      <w:pPr>
        <w:spacing w:before="29" w:line="288" w:lineRule="auto"/>
        <w:ind w:firstLine="480" w:firstLineChars="200"/>
        <w:rPr>
          <w:color w:val="000000"/>
          <w:sz w:val="24"/>
        </w:rPr>
      </w:pPr>
      <w:r>
        <w:rPr>
          <w:color w:val="000000"/>
          <w:sz w:val="24"/>
        </w:rPr>
        <w:t xml:space="preserve">2、《交银施罗德理财21天债券型证券投资基金基金合同》； </w:t>
      </w:r>
    </w:p>
    <w:p>
      <w:pPr>
        <w:spacing w:before="29" w:line="288" w:lineRule="auto"/>
        <w:ind w:firstLine="480" w:firstLineChars="200"/>
        <w:rPr>
          <w:color w:val="000000"/>
          <w:sz w:val="24"/>
        </w:rPr>
      </w:pPr>
      <w:r>
        <w:rPr>
          <w:color w:val="000000"/>
          <w:sz w:val="24"/>
        </w:rPr>
        <w:t xml:space="preserve">3、《交银施罗德理财21天债券型证券投资基金招募说明书》； </w:t>
      </w:r>
    </w:p>
    <w:p>
      <w:pPr>
        <w:spacing w:before="29" w:line="288" w:lineRule="auto"/>
        <w:ind w:firstLine="480" w:firstLineChars="200"/>
        <w:rPr>
          <w:color w:val="000000"/>
          <w:sz w:val="24"/>
        </w:rPr>
      </w:pPr>
      <w:r>
        <w:rPr>
          <w:color w:val="000000"/>
          <w:sz w:val="24"/>
        </w:rPr>
        <w:t xml:space="preserve">4、《交银施罗德理财21天债券型证券投资基金托管协议》； </w:t>
      </w:r>
    </w:p>
    <w:p>
      <w:pPr>
        <w:spacing w:before="29" w:line="288" w:lineRule="auto"/>
        <w:ind w:firstLine="480" w:firstLineChars="200"/>
        <w:rPr>
          <w:color w:val="000000"/>
          <w:sz w:val="24"/>
        </w:rPr>
      </w:pPr>
      <w:r>
        <w:rPr>
          <w:color w:val="000000"/>
          <w:sz w:val="24"/>
        </w:rPr>
        <w:t xml:space="preserve">5、关于募集交银施罗德理财21天债券型证券投资基金之法律意见书；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8、报告期内交银施罗德理财21天债券型证券投资基金在指定报刊上各项公告的原稿。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30" w:rsidRDefault="00EE2130">
      <w:r>
        <w:separator/>
      </w:r>
    </w:p>
  </w:endnote>
  <w:endnote w:type="continuationSeparator" w:id="0">
    <w:p w:rsidR="00EE2130" w:rsidRDefault="00EE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46DC3">
      <w:rPr>
        <w:noProof/>
        <w:kern w:val="0"/>
        <w:szCs w:val="21"/>
      </w:rPr>
      <w:t>18</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346DC3">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EE2130" w:rsidRDefault="00EE2130">
      <w:r>
        <w:separator/>
      </w:r>
    </w:p>
  </w:footnote>
  <w:footnote w:id="0" w:type="continuationSeparator">
    <w:p w:rsidR="00EE2130" w:rsidRDefault="00EE213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交银施罗德理财21天债券型证券投资基金2019年第3季度报告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15C4DA2-A388-404C-A21B-6B2BD1FD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23</Pages>
  <Words>3613</Words>
  <Characters>20597</Characters>
  <Application>Microsoft Office Word</Application>
  <DocSecurity>0</DocSecurity>
  <Lines>171</Lines>
  <Paragraphs>48</Paragraphs>
  <ScaleCrop>false</ScaleCrop>
  <Company>jysld</Company>
  <LinksUpToDate>false</LinksUpToDate>
  <CharactersWithSpaces>24162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2019-08-22T08:33:00Z</dcterms:modified>
  <cp:revision>331</cp:revision>
</cp:coreProperties>
</file>