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281564" w:rsidR="00902E3F" w:rsidRDefault="00902E3F" w:rsidRPr="000E4C40">
      <w:pPr>
        <w:autoSpaceDE w:val="0"/>
        <w:autoSpaceDN w:val="0"/>
        <w:adjustRightInd w:val="0"/>
        <w:spacing w:before="29" w:line="288" w:lineRule="auto"/>
        <w:jc w:val="left"/>
        <w:rPr>
          <w:color w:val="000000"/>
          <w:kern w:val="0"/>
          <w:sz w:val="24"/>
        </w:rPr>
      </w:pPr>
    </w:p>
    <w:p w:rsidP="00281564" w:rsidR="002B45A4" w:rsidRDefault="002B45A4" w:rsidRPr="000E4C40">
      <w:pPr>
        <w:autoSpaceDE w:val="0"/>
        <w:autoSpaceDN w:val="0"/>
        <w:adjustRightInd w:val="0"/>
        <w:spacing w:before="29" w:line="288" w:lineRule="auto"/>
        <w:jc w:val="left"/>
        <w:rPr>
          <w:color w:val="000000"/>
          <w:kern w:val="0"/>
          <w:sz w:val="24"/>
        </w:rPr>
      </w:pPr>
    </w:p>
    <w:p w:rsidP="00281564" w:rsidR="00575970" w:rsidRDefault="00575970" w:rsidRPr="000E4C40">
      <w:pPr>
        <w:autoSpaceDE w:val="0"/>
        <w:autoSpaceDN w:val="0"/>
        <w:adjustRightInd w:val="0"/>
        <w:spacing w:before="29" w:line="288" w:lineRule="auto"/>
        <w:jc w:val="left"/>
        <w:rPr>
          <w:color w:val="000000"/>
          <w:kern w:val="0"/>
          <w:sz w:val="24"/>
        </w:rPr>
      </w:pPr>
    </w:p>
    <w:p w:rsidP="00281564" w:rsidR="00B60E27" w:rsidRDefault="00B60E27" w:rsidRPr="000E4C40">
      <w:pPr>
        <w:autoSpaceDE w:val="0"/>
        <w:autoSpaceDN w:val="0"/>
        <w:adjustRightInd w:val="0"/>
        <w:spacing w:before="29" w:line="288" w:lineRule="auto"/>
        <w:jc w:val="left"/>
        <w:rPr>
          <w:color w:val="000000"/>
          <w:kern w:val="0"/>
          <w:sz w:val="24"/>
        </w:rPr>
      </w:pPr>
    </w:p>
    <w:p w:rsidP="00281564" w:rsidR="00B60E27" w:rsidRDefault="00B60E27" w:rsidRPr="001E1B20">
      <w:pPr>
        <w:spacing w:before="29" w:line="288" w:lineRule="auto"/>
        <w:jc w:val="center"/>
        <w:rPr>
          <w:b/>
          <w:sz w:val="36"/>
          <w:szCs w:val="36"/>
        </w:rPr>
      </w:pPr>
      <w:r w:rsidRPr="001E1B20">
        <w:rPr>
          <w:b/>
          <w:sz w:val="36"/>
          <w:szCs w:val="36"/>
        </w:rPr>
        <w:t>交银施罗德理财21天债券型证券投资基金</w:t>
      </w:r>
    </w:p>
    <w:p w:rsidP="00281564" w:rsidR="00B60E27" w:rsidRDefault="00B60E27" w:rsidRPr="001E1B20">
      <w:pPr>
        <w:spacing w:before="29" w:line="288" w:lineRule="auto"/>
        <w:jc w:val="center"/>
        <w:rPr>
          <w:b/>
          <w:sz w:val="36"/>
          <w:szCs w:val="36"/>
        </w:rPr>
      </w:pPr>
      <w:r w:rsidRPr="001E1B20">
        <w:rPr>
          <w:b/>
          <w:sz w:val="36"/>
          <w:szCs w:val="36"/>
        </w:rPr>
        <w:t>2019年第3季度报告</w:t>
      </w:r>
    </w:p>
    <w:p w:rsidP="00281564" w:rsidR="002B45A4" w:rsidRDefault="00D87D00" w:rsidRPr="001E1B20">
      <w:pPr>
        <w:spacing w:before="29" w:line="288" w:lineRule="auto"/>
        <w:jc w:val="center"/>
        <w:rPr>
          <w:b/>
          <w:sz w:val="36"/>
          <w:szCs w:val="36"/>
        </w:rPr>
      </w:pPr>
      <w:r w:rsidRPr="001E1B20">
        <w:rPr>
          <w:b/>
          <w:sz w:val="36"/>
          <w:szCs w:val="36"/>
        </w:rPr>
        <w:t>2019年9月30日</w:t>
      </w: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rPr>
          <w:color w:val="000000"/>
          <w:sz w:val="24"/>
        </w:rPr>
      </w:pP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基金管理人：</w:t>
      </w:r>
      <w:r w:rsidRPr="001E1B20">
        <w:rPr>
          <w:b/>
          <w:color w:val="000000"/>
          <w:sz w:val="24"/>
        </w:rPr>
        <w:t>交银施罗德基金管理有限公司</w:t>
      </w: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基金托管人：</w:t>
      </w:r>
      <w:r w:rsidRPr="001E1B20">
        <w:rPr>
          <w:b/>
          <w:color w:val="000000"/>
          <w:sz w:val="24"/>
        </w:rPr>
        <w:t>中国农业银行股份有限公司</w:t>
      </w:r>
    </w:p>
    <w:p w:rsidP="00281564" w:rsidR="00902E3F" w:rsidRDefault="00F77131" w:rsidRPr="001E1B20">
      <w:pPr>
        <w:spacing w:before="29" w:line="288" w:lineRule="auto"/>
        <w:ind w:firstLine="2168" w:firstLineChars="900"/>
        <w:rPr>
          <w:b/>
          <w:color w:val="000000"/>
          <w:sz w:val="24"/>
        </w:rPr>
        <w:sectPr w:rsidR="00902E3F" w:rsidRPr="001E1B20" w:rsidSect="00841EB4">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18" w:right="1418" w:top="1418"/>
          <w:cols w:space="720"/>
          <w:noEndnote/>
          <w:titlePg/>
          <w:docGrid w:linePitch="286"/>
        </w:sectPr>
      </w:pPr>
      <w:r w:rsidRPr="001E1B20">
        <w:rPr>
          <w:rFonts w:hAnsi="宋体"/>
          <w:b/>
          <w:color w:val="000000"/>
          <w:sz w:val="24"/>
        </w:rPr>
        <w:t>报告送出日期：</w:t>
      </w:r>
      <w:r w:rsidR="00EF56FA" w:rsidRPr="001E1B20">
        <w:rPr>
          <w:b/>
          <w:color w:val="000000"/>
          <w:sz w:val="24"/>
        </w:rPr>
        <w:t/>
      </w:r>
      <w:r w:rsidR="00D87D00" w:rsidRPr="001E1B20">
        <w:rPr>
          <w:b/>
          <w:color w:val="000000"/>
          <w:sz w:val="24"/>
        </w:rPr>
        <w:t/>
      </w:r>
      <w:r w:rsidR="00EF56FA" w:rsidRPr="001E1B20">
        <w:rPr>
          <w:b/>
          <w:color w:val="000000"/>
          <w:sz w:val="24"/>
        </w:rPr>
        <w:t>二〇一九年十月二十二日</w:t>
      </w:r>
    </w:p>
    <w:p w:rsidP="00841EB4" w:rsidR="00902E3F" w:rsidRDefault="00902E3F" w:rsidRPr="000E4C40">
      <w:pPr>
        <w:pStyle w:val="1"/>
        <w:spacing w:after="312" w:afterLines="100" w:before="312" w:beforeLines="100" w:line="288" w:lineRule="auto"/>
        <w:jc w:val="center"/>
        <w:rPr>
          <w:b w:val="0"/>
          <w:color w:val="000000"/>
          <w:kern w:val="0"/>
          <w:sz w:val="24"/>
          <w:szCs w:val="24"/>
        </w:rPr>
      </w:pPr>
      <w:r w:rsidRPr="000E4C40">
        <w:rPr>
          <w:color w:val="000000"/>
          <w:kern w:val="0"/>
          <w:sz w:val="24"/>
          <w:szCs w:val="24"/>
        </w:rPr>
        <w:lastRenderedPageBreak/>
        <w:t xml:space="preserve">§1  </w:t>
      </w:r>
      <w:r w:rsidRPr="000E4C40">
        <w:rPr>
          <w:rFonts w:hAnsi="宋体"/>
          <w:color w:val="000000"/>
          <w:kern w:val="0"/>
          <w:sz w:val="24"/>
          <w:szCs w:val="24"/>
        </w:rPr>
        <w:t>重要提示</w:t>
      </w:r>
    </w:p>
    <w:p>
      <w:pPr>
        <w:adjustRightInd w:val="0"/>
        <w:spacing w:before="29" w:line="288" w:lineRule="auto"/>
        <w:ind w:firstLine="480" w:firstLineChars="200"/>
        <w:rPr>
          <w:color w:val="000000"/>
          <w:sz w:val="24"/>
        </w:rPr>
      </w:pPr>
      <w:r>
        <w:rPr>
          <w:color w:val="000000"/>
          <w:sz w:val="24"/>
        </w:rPr>
        <w:t xml:space="preserve">基金管理人的董事会及董事保证本报告所载资料不存在虚假记载、误导性陈述或重大遗漏，并对其内容的真实性、准确性和完整性承担个别及连带责任。 </w:t>
      </w:r>
    </w:p>
    <w:p>
      <w:pPr>
        <w:adjustRightInd w:val="0"/>
        <w:spacing w:before="29" w:line="288" w:lineRule="auto"/>
        <w:ind w:firstLine="480" w:firstLineChars="200"/>
        <w:rPr>
          <w:color w:val="000000"/>
          <w:sz w:val="24"/>
        </w:rPr>
      </w:pPr>
      <w:r>
        <w:rPr>
          <w:color w:val="000000"/>
          <w:sz w:val="24"/>
        </w:rPr>
        <w:t xml:space="preserve">基金托管人中国农业银行股份有限公司根据本基金合同规定，于2019年10月21日复核了本报告中的财务指标、净值表现和投资组合报告等内容，保证复核内容不存在虚假记载、误导性陈述或者重大遗漏。 </w:t>
      </w:r>
    </w:p>
    <w:p>
      <w:pPr>
        <w:adjustRightInd w:val="0"/>
        <w:spacing w:before="29" w:line="288" w:lineRule="auto"/>
        <w:ind w:firstLine="480" w:firstLineChars="200"/>
        <w:rPr>
          <w:color w:val="000000"/>
          <w:sz w:val="24"/>
        </w:rPr>
      </w:pPr>
      <w:r>
        <w:rPr>
          <w:color w:val="000000"/>
          <w:sz w:val="24"/>
        </w:rPr>
        <w:t xml:space="preserve">基金管理人承诺以诚实信用、勤勉尽责的原则管理和运用基金资产，但不保证基金一定盈利。 </w:t>
      </w:r>
    </w:p>
    <w:p>
      <w:pPr>
        <w:adjustRightInd w:val="0"/>
        <w:spacing w:before="29" w:line="288" w:lineRule="auto"/>
        <w:ind w:firstLine="480" w:firstLineChars="200"/>
        <w:rPr>
          <w:color w:val="000000"/>
          <w:sz w:val="24"/>
        </w:rPr>
      </w:pPr>
      <w:r>
        <w:rPr>
          <w:color w:val="000000"/>
          <w:sz w:val="24"/>
        </w:rPr>
        <w:t xml:space="preserve">基金的过往业绩并不代表其未来表现。投资有风险，投资者在作出投资决策前应仔细阅读本基金的招募说明书。 </w:t>
      </w:r>
    </w:p>
    <w:p>
      <w:pPr>
        <w:adjustRightInd w:val="0"/>
        <w:spacing w:before="29" w:line="288" w:lineRule="auto"/>
        <w:ind w:firstLine="480" w:firstLineChars="200"/>
        <w:rPr>
          <w:color w:val="000000"/>
          <w:sz w:val="24"/>
        </w:rPr>
      </w:pPr>
      <w:r>
        <w:rPr>
          <w:color w:val="000000"/>
          <w:sz w:val="24"/>
        </w:rPr>
        <w:t>本报告中财务资料未经审计。</w:t>
      </w:r>
    </w:p>
    <w:p w:rsidP="00281564" w:rsidR="00186667" w:rsidRDefault="00A805BC" w:rsidRPr="000E4C40">
      <w:pPr>
        <w:adjustRightInd w:val="0"/>
        <w:spacing w:before="29" w:line="288" w:lineRule="auto"/>
        <w:ind w:firstLine="480" w:firstLineChars="200"/>
        <w:rPr>
          <w:color w:val="000000"/>
          <w:sz w:val="24"/>
        </w:rPr>
      </w:pPr>
      <w:r w:rsidRPr="000E4C40">
        <w:rPr>
          <w:color w:val="000000"/>
          <w:sz w:val="24"/>
        </w:rPr>
        <w:t>本报告期自2019年7月1日起至9月30日止。</w:t>
      </w:r>
    </w:p>
    <w:p w:rsidP="00281564" w:rsidR="00DF2D90" w:rsidRDefault="00DF2D90" w:rsidRPr="000E4C40">
      <w:pPr>
        <w:adjustRightInd w:val="0"/>
        <w:spacing w:before="29" w:line="288" w:lineRule="auto"/>
        <w:ind w:firstLine="480" w:firstLineChars="200"/>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§2  </w:t>
      </w:r>
      <w:r w:rsidRPr="000E4C40">
        <w:rPr>
          <w:rFonts w:hAnsi="宋体"/>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kern w:val="0"/>
                <w:sz w:val="24"/>
              </w:rPr>
              <w:t>基金简称</w:t>
            </w:r>
          </w:p>
        </w:tc>
        <w:tc>
          <w:tcPr>
            <w:tcW w:type="dxa" w:w="5845"/>
            <w:gridSpan w:val="2"/>
            <w:vAlign w:val="center"/>
          </w:tcPr>
          <w:p w:rsidP="00281564" w:rsidR="00A805BC" w:rsidRDefault="00A805BC" w:rsidRPr="000E4C40">
            <w:pPr>
              <w:adjustRightInd w:val="0"/>
              <w:spacing w:before="29" w:line="288" w:lineRule="auto"/>
              <w:ind w:left="17"/>
              <w:jc w:val="left"/>
              <w:rPr>
                <w:color w:val="000000"/>
                <w:kern w:val="0"/>
                <w:sz w:val="24"/>
              </w:rPr>
            </w:pPr>
            <w:r w:rsidRPr="000E4C40">
              <w:rPr>
                <w:color w:val="000000"/>
                <w:kern w:val="0"/>
                <w:sz w:val="24"/>
              </w:rPr>
              <w:t>交银理财21天债券</w:t>
            </w:r>
          </w:p>
        </w:tc>
      </w:tr>
      <w:tr w:rsidR="00D06255" w:rsidRPr="000E4C40" w:rsidTr="00EA4C82">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kern w:val="0"/>
                <w:sz w:val="24"/>
              </w:rPr>
            </w:pPr>
            <w:r w:rsidRPr="000E4C40">
              <w:rPr>
                <w:rFonts w:hAnsi="宋体"/>
                <w:kern w:val="0"/>
                <w:sz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color w:val="000000"/>
                <w:kern w:val="0"/>
                <w:sz w:val="24"/>
              </w:rPr>
            </w:pPr>
            <w:r w:rsidRPr="000E4C40">
              <w:rPr>
                <w:color w:val="000000"/>
                <w:kern w:val="0"/>
                <w:sz w:val="24"/>
              </w:rPr>
              <w:t>519716</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基金运作方式</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契约型开放式</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基金合同生效日</w:t>
            </w:r>
          </w:p>
        </w:tc>
        <w:tc>
          <w:tcPr>
            <w:tcW w:type="dxa" w:w="5845"/>
            <w:gridSpan w:val="2"/>
            <w:vAlign w:val="center"/>
          </w:tcPr>
          <w:p w:rsidP="00281564" w:rsidR="00A805BC" w:rsidRDefault="002507FE" w:rsidRPr="000E4C40">
            <w:pPr>
              <w:adjustRightInd w:val="0"/>
              <w:spacing w:before="29" w:line="288" w:lineRule="auto"/>
              <w:ind w:left="17"/>
              <w:jc w:val="left"/>
              <w:rPr>
                <w:color w:val="000000"/>
                <w:sz w:val="24"/>
              </w:rPr>
            </w:pPr>
            <w:r w:rsidRPr="000E4C40">
              <w:rPr>
                <w:color w:val="000000"/>
                <w:kern w:val="0"/>
                <w:sz w:val="24"/>
              </w:rPr>
              <w:t>2012年11月5日</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报告期末基金份额总额</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14,575,566,032.24</w:t>
            </w:r>
            <w:r w:rsidR="00C2005E" w:rsidRPr="000E4C40">
              <w:rPr>
                <w:rFonts w:hAnsi="宋体"/>
                <w:color w:val="000000"/>
                <w:kern w:val="0"/>
                <w:sz w:val="24"/>
              </w:rPr>
              <w:t>份</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投资目标</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本基金在追求本金安全、保持资产流动性的基础上，努力追求绝对收益，为基金份额持有人谋求资产的稳定增值。</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投资策略</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本基金在保持组合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业绩比较基准</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七天通知存款税后利率</w:t>
            </w:r>
          </w:p>
        </w:tc>
      </w:tr>
      <w:tr w:rsidR="00A01505" w:rsidRPr="000E4C40" w:rsidTr="00EA4C82">
        <w:trPr>
          <w:jc w:val="center"/>
        </w:trPr>
        <w:tc>
          <w:tcPr>
            <w:tcW w:type="dxa" w:w="3023"/>
            <w:vAlign w:val="center"/>
          </w:tcPr>
          <w:p w:rsidP="00281564" w:rsidR="00A01505" w:rsidRDefault="00A01505" w:rsidRPr="000E4C40">
            <w:pPr>
              <w:adjustRightInd w:val="0"/>
              <w:spacing w:before="29" w:line="288" w:lineRule="auto"/>
              <w:ind w:left="17"/>
              <w:jc w:val="left"/>
              <w:rPr>
                <w:kern w:val="0"/>
                <w:sz w:val="24"/>
              </w:rPr>
            </w:pPr>
            <w:r w:rsidRPr="000E4C40">
              <w:rPr>
                <w:rFonts w:hAnsi="宋体"/>
                <w:kern w:val="0"/>
                <w:sz w:val="24"/>
              </w:rPr>
              <w:t>风险收益特征</w:t>
            </w:r>
          </w:p>
        </w:tc>
        <w:tc>
          <w:tcPr>
            <w:tcW w:type="dxa" w:w="5845"/>
            <w:gridSpan w:val="2"/>
            <w:vAlign w:val="center"/>
          </w:tcPr>
          <w:p w:rsidP="00281564" w:rsidR="00A01505" w:rsidRDefault="00A01505" w:rsidRPr="000E4C40">
            <w:pPr>
              <w:adjustRightInd w:val="0"/>
              <w:spacing w:before="29" w:line="288" w:lineRule="auto"/>
              <w:ind w:left="17"/>
              <w:jc w:val="left"/>
              <w:rPr>
                <w:color w:val="000000"/>
                <w:kern w:val="0"/>
                <w:sz w:val="24"/>
              </w:rPr>
            </w:pPr>
            <w:r w:rsidRPr="000E4C40">
              <w:rPr>
                <w:color w:val="000000"/>
                <w:kern w:val="0"/>
                <w:sz w:val="24"/>
              </w:rPr>
              <w:t>本基金属于债券型证券投资基金，长期风险收益水平低于股票型基金、混合型基金，高于货币市场型证券投资基金。</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基金管理人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交银施罗德基金管理有限公司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基金托管人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中国农业银行股份有限公司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color w:val="000000"/>
                <w:sz w:val="24"/>
              </w:rPr>
              <w:t>下属两级基金的基金简称</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Pr="000E4C40">
              <w:rPr>
                <w:sz w:val="24"/>
              </w:rPr>
              <w:t>交银理财21天债券A</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交银理财21天债券B</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下属两级基金的交易代码</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Pr="000E4C40">
              <w:rPr>
                <w:sz w:val="24"/>
              </w:rPr>
              <w:t>519716</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519717</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报告期末下属两级基金的份额总额</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r w:rsidRPr="000E4C40">
              <w:rPr>
                <w:sz w:val="24"/>
              </w:rPr>
              <w:t/>
            </w:r>
            <w:r w:rsidR="007B082A" w:rsidRPr="000E4C40">
              <w:rPr>
                <w:sz w:val="24"/>
              </w:rPr>
              <w:t/>
            </w:r>
            <w:r w:rsidRPr="000E4C40">
              <w:rPr>
                <w:sz w:val="24"/>
              </w:rPr>
              <w:t>8,477,621.75</w:t>
            </w:r>
            <w:r w:rsidR="00764CF7" w:rsidRPr="000E4C40">
              <w:rPr>
                <w:rFonts w:hAnsi="宋体"/>
                <w:sz w:val="24"/>
              </w:rPr>
              <w:t>份</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r w:rsidR="007B082A" w:rsidRPr="000E4C40">
              <w:rPr>
                <w:sz w:val="24"/>
              </w:rPr>
              <w:t/>
            </w:r>
            <w:r w:rsidR="000F78F3">
              <w:rPr>
                <w:sz w:val="24"/>
              </w:rPr>
              <w:t/>
            </w:r>
            <w:r w:rsidR="000F78F3">
              <w:rPr>
                <w:rFonts w:hint="eastAsia"/>
                <w:sz w:val="24"/>
              </w:rPr>
              <w:t/>
            </w:r>
            <w:r w:rsidRPr="000E4C40">
              <w:rPr>
                <w:sz w:val="24"/>
              </w:rPr>
              <w:t>14,567,088,410.49</w:t>
            </w:r>
            <w:r w:rsidR="004A6E66" w:rsidRPr="000E4C40">
              <w:rPr>
                <w:rFonts w:hAnsi="宋体"/>
                <w:sz w:val="24"/>
              </w:rPr>
              <w:t>份</w:t>
            </w:r>
          </w:p>
        </w:tc>
      </w:tr>
    </w:tbl>
    <w:p w:rsidP="00281564" w:rsidR="00DF2D90" w:rsidRDefault="00DF2D90" w:rsidRPr="000E4C40">
      <w:pPr>
        <w:autoSpaceDE w:val="0"/>
        <w:autoSpaceDN w:val="0"/>
        <w:adjustRightInd w:val="0"/>
        <w:spacing w:before="29" w:line="288" w:lineRule="auto"/>
        <w:jc w:val="left"/>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§3  </w:t>
      </w:r>
      <w:r w:rsidRPr="000E4C40">
        <w:rPr>
          <w:rFonts w:hAnsi="宋体"/>
          <w:color w:val="000000"/>
          <w:kern w:val="0"/>
          <w:sz w:val="24"/>
          <w:szCs w:val="24"/>
        </w:rPr>
        <w:t>主要财务指标和基金净值表现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3.1 </w:t>
      </w:r>
      <w:r w:rsidRPr="000E4C40">
        <w:rPr>
          <w:rFonts w:hAnsi="宋体"/>
          <w:b/>
          <w:color w:val="000000"/>
          <w:kern w:val="0"/>
          <w:sz w:val="24"/>
        </w:rPr>
        <w:t>主要财务指标</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F31380" w:rsidRPr="000E4C40" w:rsidTr="00AD2F16">
        <w:trPr>
          <w:jc w:val="center"/>
        </w:trPr>
        <w:tc>
          <w:tcPr>
            <w:tcW w:type="dxa" w:w="3402"/>
            <w:vMerge w:val="restart"/>
            <w:vAlign w:val="center"/>
          </w:tcPr>
          <w:p w:rsidP="00281564" w:rsidR="00F31380" w:rsidRDefault="00F31380" w:rsidRPr="000E4C40">
            <w:pPr>
              <w:adjustRightInd w:val="0"/>
              <w:spacing w:before="29" w:line="288" w:lineRule="auto"/>
              <w:ind w:left="17"/>
              <w:jc w:val="center"/>
              <w:rPr>
                <w:kern w:val="0"/>
                <w:sz w:val="24"/>
              </w:rPr>
            </w:pPr>
            <w:r w:rsidRPr="000E4C40">
              <w:rPr>
                <w:rFonts w:hAnsi="宋体"/>
                <w:kern w:val="0"/>
                <w:sz w:val="24"/>
              </w:rPr>
              <w:t>主要财务指标</w:t>
            </w:r>
          </w:p>
        </w:tc>
        <w:tc>
          <w:tcPr>
            <w:tcW w:type="dxa" w:w="4962"/>
            <w:gridSpan w:val="2"/>
            <w:vAlign w:val="center"/>
          </w:tcPr>
          <w:p w:rsidP="00281564" w:rsidR="00F31380" w:rsidRDefault="00F31380" w:rsidRPr="000E4C40">
            <w:pPr>
              <w:adjustRightInd w:val="0"/>
              <w:spacing w:before="29" w:line="288" w:lineRule="auto"/>
              <w:ind w:left="17"/>
              <w:jc w:val="center"/>
              <w:rPr>
                <w:color w:val="000000"/>
                <w:sz w:val="24"/>
              </w:rPr>
            </w:pPr>
            <w:r w:rsidRPr="000E4C40">
              <w:rPr>
                <w:rFonts w:hAnsi="宋体"/>
                <w:color w:val="000000"/>
                <w:sz w:val="24"/>
              </w:rPr>
              <w:t>报告期</w:t>
            </w:r>
            <w:r w:rsidRPr="000E4C40">
              <w:rPr>
                <w:color w:val="000000"/>
                <w:sz w:val="24"/>
              </w:rPr>
              <w:t>(2019年7月1日-2019年9月30日)</w:t>
            </w:r>
          </w:p>
        </w:tc>
      </w:tr>
      <w:tr w:rsidR="00F31380" w:rsidRPr="000E4C40" w:rsidTr="00AD2F16">
        <w:trPr>
          <w:jc w:val="center"/>
        </w:trPr>
        <w:tc>
          <w:tcPr>
            <w:tcW w:type="dxa" w:w="3402"/>
            <w:vMerge/>
            <w:vAlign w:val="center"/>
          </w:tcPr>
          <w:p w:rsidP="00281564" w:rsidR="00F31380" w:rsidRDefault="00F31380" w:rsidRPr="000E4C40">
            <w:pPr>
              <w:adjustRightInd w:val="0"/>
              <w:spacing w:before="29" w:line="288" w:lineRule="auto"/>
              <w:ind w:left="17"/>
              <w:jc w:val="center"/>
              <w:rPr>
                <w:kern w:val="0"/>
                <w:sz w:val="24"/>
              </w:rPr>
            </w:pP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r w:rsidRPr="000E4C40">
              <w:rPr>
                <w:sz w:val="24"/>
              </w:rPr>
              <w:t>交银理财21天债券A</w:t>
            </w: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r w:rsidR="000F78F3">
              <w:rPr>
                <w:sz w:val="24"/>
              </w:rPr>
              <w:t/>
            </w:r>
            <w:r w:rsidR="000F78F3">
              <w:rPr>
                <w:rFonts w:hint="eastAsia"/>
                <w:sz w:val="24"/>
              </w:rPr>
              <w:t/>
            </w:r>
            <w:r w:rsidRPr="000E4C40">
              <w:rPr>
                <w:sz w:val="24"/>
              </w:rPr>
              <w:t>交银理财21天债券B</w:t>
            </w:r>
          </w:p>
        </w:tc>
      </w:tr>
      <w:tr w:rsidR="00E8309D" w:rsidRPr="000E4C40" w:rsidTr="00AD2F16">
        <w:trPr>
          <w:trHeight w:val="840"/>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1</w:t>
            </w:r>
            <w:r w:rsidRPr="000E4C40">
              <w:rPr>
                <w:rFonts w:hAnsi="宋体"/>
                <w:kern w:val="0"/>
                <w:sz w:val="24"/>
              </w:rPr>
              <w:t>．</w:t>
            </w:r>
            <w:r w:rsidR="00E8309D" w:rsidRPr="000E4C40">
              <w:rPr>
                <w:rFonts w:hAnsi="宋体"/>
                <w:kern w:val="0"/>
                <w:sz w:val="24"/>
              </w:rPr>
              <w:t>本期已实现收益</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60,512.08</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120,142,385.86</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2</w:t>
            </w:r>
            <w:r w:rsidRPr="000E4C40">
              <w:rPr>
                <w:rFonts w:hAnsi="宋体"/>
                <w:kern w:val="0"/>
                <w:sz w:val="24"/>
              </w:rPr>
              <w:t>．</w:t>
            </w:r>
            <w:r w:rsidR="00E8309D" w:rsidRPr="000E4C40">
              <w:rPr>
                <w:rFonts w:hAnsi="宋体"/>
                <w:kern w:val="0"/>
                <w:sz w:val="24"/>
              </w:rPr>
              <w:t>本期利润</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60,512.08</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120,142,385.86</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3</w:t>
            </w:r>
            <w:r w:rsidRPr="000E4C40">
              <w:rPr>
                <w:rFonts w:hAnsi="宋体"/>
                <w:kern w:val="0"/>
                <w:sz w:val="24"/>
              </w:rPr>
              <w:t>．</w:t>
            </w:r>
            <w:r w:rsidR="00E8309D" w:rsidRPr="000E4C40">
              <w:rPr>
                <w:rFonts w:hAnsi="宋体"/>
                <w:kern w:val="0"/>
                <w:sz w:val="24"/>
              </w:rPr>
              <w:t>期末基金资产净值</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8,477,621.75</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14,567,088,410.49</w:t>
            </w:r>
          </w:p>
        </w:tc>
      </w:tr>
    </w:tbl>
    <w:p>
      <w:pPr>
        <w:autoSpaceDE w:val="0"/>
        <w:autoSpaceDN w:val="0"/>
        <w:adjustRightInd w:val="0"/>
        <w:spacing w:before="29" w:line="288" w:lineRule="auto"/>
        <w:jc w:val="left"/>
        <w:rPr>
          <w:color w:val="000000"/>
          <w:sz w:val="24"/>
        </w:rPr>
      </w:pPr>
      <w:r>
        <w:rPr>
          <w:color w:val="000000"/>
          <w:sz w:val="24"/>
        </w:rPr>
        <w:t>注：1、自2013年1月9日起，本基金实行销售服务费分类收费方式，分设两类基金份额：A类基金份额和B类基金份额。A类基金份额与B类基金份额的管理费、托管费相同，A类基金份额按照0.30%的年费率计提销售服务费，B类基金份额按照0.01%的年费率计提销售服务费。在计算主要财务指标时，A类基金份额与分类前基金连续计算，B类基金份额按新设基金计算；</w:t>
      </w:r>
    </w:p>
    <w:p w:rsidP="00281564" w:rsidR="00893021" w:rsidRDefault="00893021" w:rsidRPr="000E4C40">
      <w:pPr>
        <w:autoSpaceDE w:val="0"/>
        <w:autoSpaceDN w:val="0"/>
        <w:adjustRightInd w:val="0"/>
        <w:spacing w:before="29" w:line="288" w:lineRule="auto"/>
        <w:jc w:val="left"/>
        <w:rPr>
          <w:color w:val="000000"/>
          <w:sz w:val="24"/>
        </w:rPr>
      </w:pPr>
      <w:r w:rsidRPr="000E4C40">
        <w:rPr>
          <w:color w:val="000000"/>
          <w:sz w:val="24"/>
        </w:rPr>
        <w:t/>
      </w:r>
      <w:r w:rsidR="002507FE" w:rsidRPr="000E4C40">
        <w:rPr>
          <w:color w:val="000000"/>
          <w:sz w:val="24"/>
        </w:rPr>
        <w:t/>
      </w:r>
      <w:r w:rsidRPr="000E4C40">
        <w:rPr>
          <w:color w:val="000000"/>
          <w:sz w:val="24"/>
        </w:rPr>
        <w:t xml:space="preserve">    2、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3.2 </w:t>
      </w:r>
      <w:r w:rsidRPr="000E4C40">
        <w:rPr>
          <w:rFonts w:hAnsi="宋体"/>
          <w:b/>
          <w:color w:val="000000"/>
          <w:kern w:val="0"/>
          <w:sz w:val="24"/>
        </w:rPr>
        <w:t>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lastRenderedPageBreak/>
        <w:t xml:space="preserve">3.2.1 </w:t>
      </w:r>
      <w:r w:rsidRPr="000E4C40">
        <w:rPr>
          <w:rFonts w:hAnsi="宋体"/>
          <w:b/>
          <w:color w:val="000000"/>
          <w:kern w:val="0"/>
          <w:sz w:val="24"/>
        </w:rPr>
        <w:t>本报告期基金份额净值收益率及其与同期业绩比较基准收益率的比较</w:t>
      </w:r>
    </w:p>
    <w:p w:rsidP="00281564" w:rsidR="00DA1983"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1</w:t>
      </w:r>
      <w:r w:rsidR="00834F7F" w:rsidRPr="000E4C40">
        <w:rPr>
          <w:rFonts w:ascii="Times New Roman"/>
          <w:b/>
          <w:color w:val="000000"/>
        </w:rPr>
        <w:t>．</w:t>
      </w:r>
      <w:r w:rsidR="0024424F" w:rsidRPr="000E4C40">
        <w:rPr>
          <w:rFonts w:ascii="Times New Roman" w:hAnsi="Times New Roman"/>
          <w:b/>
          <w:color w:val="000000"/>
        </w:rPr>
        <w:t/>
      </w:r>
      <w:r w:rsidR="00063BA4" w:rsidRPr="000E4C40">
        <w:rPr>
          <w:rFonts w:ascii="Times New Roman" w:hAnsi="Times New Roman"/>
          <w:b/>
          <w:color w:val="000000"/>
          <w:kern w:val="0"/>
        </w:rPr>
        <w:t/>
      </w:r>
      <w:r w:rsidR="0024424F" w:rsidRPr="000E4C40">
        <w:rPr>
          <w:rFonts w:ascii="Times New Roman" w:hAnsi="Times New Roman"/>
          <w:b/>
          <w:color w:val="000000"/>
        </w:rPr>
        <w:t/>
      </w:r>
      <w:r w:rsidR="0024424F" w:rsidRPr="000E4C40">
        <w:rPr>
          <w:rFonts w:ascii="Times New Roman" w:hAnsi="Times New Roman"/>
          <w:b/>
          <w:color w:val="auto"/>
        </w:rPr>
        <w:t/>
      </w:r>
      <w:r w:rsidR="00E63B3D" w:rsidRPr="000E4C40">
        <w:rPr>
          <w:rFonts w:ascii="Times New Roman" w:hAnsi="Times New Roman"/>
          <w:b/>
          <w:color w:val="auto"/>
        </w:rPr>
        <w:t/>
      </w:r>
      <w:r w:rsidR="00834F7F" w:rsidRPr="000E4C40">
        <w:rPr>
          <w:rFonts w:ascii="Times New Roman" w:hAnsi="Times New Roman"/>
          <w:b/>
          <w:color w:val="auto"/>
        </w:rPr>
        <w:t>交银理财21天债券A</w:t>
      </w:r>
      <w:r w:rsidR="00834F7F" w:rsidRPr="000E4C40">
        <w:rPr>
          <w:rFonts w:ascii="Times New Roman"/>
          <w:b/>
          <w:color w:val="auto"/>
        </w:rPr>
        <w:t>：</w:t>
      </w:r>
    </w:p>
    <w:tbl>
      <w:tblPr>
        <w:tblStyle w:val="aa"/>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8B23BD" w:rsidRPr="000E4C40" w:rsidTr="0071688D">
        <w:trPr>
          <w:jc w:val="center"/>
        </w:trPr>
        <w:tc>
          <w:tcPr>
            <w:tcW w:type="dxa" w:w="1328"/>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00636B17" w:rsidRPr="000E4C40">
              <w:rPr>
                <w:rFonts w:ascii="Times New Roman" w:hAnsi="Times New Roman"/>
                <w:color w:val="000000"/>
                <w:szCs w:val="24"/>
              </w:rPr>
              <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A575D2" w:rsidRPr="000E4C40">
              <w:rPr>
                <w:rFonts w:ascii="Times New Roman"/>
                <w:color w:val="000000"/>
              </w:rPr>
              <w:t>－</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A575D2"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0.6785%</w:t>
            </w:r>
          </w:p>
        </w:tc>
        <w:tc>
          <w:tcPr>
            <w:vAlign w:val="center"/>
          </w:tcPr>
          <w:p>
            <w:pPr>
              <w:jc w:val="center"/>
            </w:pPr>
            <w:r>
              <w:rPr>
                <w:rFonts w:ascii="Times New Roman" w:hAnsi="Times New Roman"/>
                <w:color w:val="000000"/>
              </w:rPr>
              <w:t>0.0027%</w:t>
            </w:r>
          </w:p>
        </w:tc>
        <w:tc>
          <w:tcPr>
            <w:vAlign w:val="center"/>
          </w:tcPr>
          <w:p>
            <w:pPr>
              <w:jc w:val="center"/>
            </w:pPr>
            <w:r>
              <w:rPr>
                <w:rFonts w:ascii="Times New Roman" w:hAnsi="Times New Roman"/>
                <w:color w:val="000000"/>
              </w:rPr>
              <w:t>0.3403%</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0.3382%</w:t>
            </w:r>
          </w:p>
        </w:tc>
        <w:tc>
          <w:tcPr>
            <w:vAlign w:val="center"/>
          </w:tcPr>
          <w:p>
            <w:pPr>
              <w:jc w:val="center"/>
            </w:pPr>
            <w:r>
              <w:rPr>
                <w:rFonts w:ascii="Times New Roman" w:hAnsi="Times New Roman"/>
                <w:color w:val="000000"/>
              </w:rPr>
              <w:t>0.0027%</w:t>
            </w:r>
          </w:p>
        </w:tc>
      </w:tr>
    </w:tbl>
    <w:p>
      <w:pPr>
        <w:autoSpaceDE w:val="0"/>
        <w:autoSpaceDN w:val="0"/>
        <w:adjustRightInd w:val="0"/>
        <w:spacing w:before="29" w:line="288" w:lineRule="auto"/>
        <w:jc w:val="left"/>
        <w:rPr>
          <w:color w:val="000000"/>
          <w:sz w:val="24"/>
        </w:rPr>
      </w:pPr>
      <w:r>
        <w:rPr>
          <w:color w:val="000000"/>
          <w:sz w:val="24"/>
        </w:rPr>
        <w:t>注：1、本表净值收益率数据所取的基金运作周期为基金合同生效日为起始日的运作周期。</w:t>
      </w:r>
    </w:p>
    <w:p w:rsidP="00281564" w:rsidR="00A50D92" w:rsidRDefault="00A50D92" w:rsidRPr="000E4C40">
      <w:pPr>
        <w:autoSpaceDE w:val="0"/>
        <w:autoSpaceDN w:val="0"/>
        <w:adjustRightInd w:val="0"/>
        <w:spacing w:before="29" w:line="288" w:lineRule="auto"/>
        <w:jc w:val="left"/>
        <w:rPr>
          <w:color w:val="000000"/>
          <w:sz w:val="24"/>
        </w:rPr>
      </w:pPr>
      <w:r w:rsidRPr="000E4C40">
        <w:rPr>
          <w:color w:val="000000"/>
          <w:sz w:val="24"/>
        </w:rPr>
        <w:t/>
      </w:r>
      <w:r w:rsidR="00ED5511" w:rsidRPr="000E4C40">
        <w:rPr>
          <w:color w:val="000000"/>
          <w:sz w:val="24"/>
        </w:rPr>
        <w:t/>
      </w:r>
      <w:r w:rsidRPr="000E4C40">
        <w:rPr>
          <w:color w:val="000000"/>
          <w:sz w:val="24"/>
        </w:rPr>
        <w:t xml:space="preserve">    2、本基金每日计算当日收益并分配，并在运作期期末集中支付。</w:t>
      </w:r>
    </w:p>
    <w:p w:rsidP="00281564" w:rsidR="00186667" w:rsidRDefault="00186667" w:rsidRPr="000E4C40">
      <w:pPr>
        <w:tabs>
          <w:tab w:pos="1800" w:val="left"/>
        </w:tabs>
        <w:adjustRightInd w:val="0"/>
        <w:spacing w:before="29" w:line="288" w:lineRule="auto"/>
        <w:rPr>
          <w:sz w:val="24"/>
        </w:rPr>
      </w:pPr>
    </w:p>
    <w:p w:rsidP="00281564" w:rsidR="00186667"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2</w:t>
      </w:r>
      <w:r w:rsidR="00834F7F" w:rsidRPr="000E4C40">
        <w:rPr>
          <w:rFonts w:ascii="Times New Roman"/>
          <w:b/>
          <w:color w:val="000000"/>
        </w:rPr>
        <w:t>．</w:t>
      </w:r>
      <w:r w:rsidR="000B2044" w:rsidRPr="000E4C40">
        <w:rPr>
          <w:rFonts w:ascii="Times New Roman" w:hAnsi="Times New Roman"/>
          <w:b/>
          <w:color w:val="000000"/>
        </w:rPr>
        <w:t/>
      </w:r>
      <w:r w:rsidR="00063BA4" w:rsidRPr="000E4C40">
        <w:rPr>
          <w:rFonts w:ascii="Times New Roman" w:hAnsi="Times New Roman"/>
          <w:b/>
          <w:color w:val="000000"/>
          <w:kern w:val="0"/>
        </w:rPr>
        <w:t/>
      </w:r>
      <w:r w:rsidR="000B2044" w:rsidRPr="000E4C40">
        <w:rPr>
          <w:rFonts w:ascii="Times New Roman" w:hAnsi="Times New Roman"/>
          <w:b/>
          <w:color w:val="000000"/>
        </w:rPr>
        <w:t/>
      </w:r>
      <w:r w:rsidR="00E63B3D" w:rsidRPr="000E4C40">
        <w:rPr>
          <w:rFonts w:ascii="Times New Roman" w:hAnsi="Times New Roman"/>
          <w:b/>
          <w:color w:val="000000"/>
        </w:rPr>
        <w:t/>
      </w:r>
      <w:r w:rsidR="000F78F3">
        <w:rPr>
          <w:rFonts w:ascii="Times New Roman" w:hAnsi="Times New Roman" w:hint="eastAsia"/>
          <w:b/>
          <w:color w:val="000000"/>
        </w:rPr>
        <w:t/>
      </w:r>
      <w:r w:rsidR="000B2044" w:rsidRPr="000E4C40">
        <w:rPr>
          <w:rFonts w:ascii="Times New Roman" w:hAnsi="Times New Roman"/>
          <w:b/>
          <w:color w:val="000000"/>
        </w:rPr>
        <w:t>交银理财21天债券B</w:t>
      </w:r>
      <w:r w:rsidR="000B2044" w:rsidRPr="000E4C40">
        <w:rPr>
          <w:rFonts w:ascii="Times New Roman"/>
          <w:b/>
          <w:color w:val="auto"/>
        </w:rPr>
        <w:t>：</w:t>
      </w:r>
    </w:p>
    <w:tbl>
      <w:tblPr>
        <w:tblStyle w:val="aa"/>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113777" w:rsidRPr="000E4C40" w:rsidTr="00064E6F">
        <w:trPr>
          <w:jc w:val="center"/>
        </w:trPr>
        <w:tc>
          <w:tcPr>
            <w:tcW w:type="dxa" w:w="1328"/>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Pr="000E4C40">
              <w:rPr>
                <w:rFonts w:ascii="Times New Roman" w:hAnsi="Times New Roman"/>
                <w:color w:val="000000"/>
                <w:szCs w:val="24"/>
              </w:rPr>
              <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1C69EF" w:rsidRPr="000E4C40">
              <w:rPr>
                <w:rFonts w:ascii="Times New Roman"/>
                <w:color w:val="000000"/>
              </w:rPr>
              <w:t>－</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1C69EF"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0.7521%</w:t>
            </w:r>
          </w:p>
        </w:tc>
        <w:tc>
          <w:tcPr>
            <w:vAlign w:val="center"/>
          </w:tcPr>
          <w:p>
            <w:pPr>
              <w:jc w:val="center"/>
            </w:pPr>
            <w:r>
              <w:rPr>
                <w:rFonts w:ascii="Times New Roman" w:hAnsi="Times New Roman"/>
                <w:color w:val="000000"/>
              </w:rPr>
              <w:t>0.0027%</w:t>
            </w:r>
          </w:p>
        </w:tc>
        <w:tc>
          <w:tcPr>
            <w:vAlign w:val="center"/>
          </w:tcPr>
          <w:p>
            <w:pPr>
              <w:jc w:val="center"/>
            </w:pPr>
            <w:r>
              <w:rPr>
                <w:rFonts w:ascii="Times New Roman" w:hAnsi="Times New Roman"/>
                <w:color w:val="000000"/>
              </w:rPr>
              <w:t>0.3403%</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0.4118%</w:t>
            </w:r>
          </w:p>
        </w:tc>
        <w:tc>
          <w:tcPr>
            <w:vAlign w:val="center"/>
          </w:tcPr>
          <w:p>
            <w:pPr>
              <w:jc w:val="center"/>
            </w:pPr>
            <w:r>
              <w:rPr>
                <w:rFonts w:ascii="Times New Roman" w:hAnsi="Times New Roman"/>
                <w:color w:val="000000"/>
              </w:rPr>
              <w:t>0.0027%</w:t>
            </w:r>
          </w:p>
        </w:tc>
      </w:tr>
    </w:tbl>
    <w:p>
      <w:pPr>
        <w:autoSpaceDE w:val="0"/>
        <w:autoSpaceDN w:val="0"/>
        <w:adjustRightInd w:val="0"/>
        <w:spacing w:before="29" w:line="288" w:lineRule="auto"/>
        <w:jc w:val="left"/>
        <w:rPr>
          <w:color w:val="000000"/>
          <w:sz w:val="24"/>
        </w:rPr>
      </w:pPr>
      <w:r>
        <w:rPr>
          <w:color w:val="000000"/>
          <w:sz w:val="24"/>
        </w:rPr>
        <w:t>注：1、本表净值收益率数据所取的基金运作周期为基金分类日为起始日的运作周期。</w:t>
      </w:r>
    </w:p>
    <w:p w:rsidP="00281564" w:rsidR="000B2044" w:rsidRDefault="000B2044" w:rsidRPr="000E4C40">
      <w:pPr>
        <w:autoSpaceDE w:val="0"/>
        <w:autoSpaceDN w:val="0"/>
        <w:adjustRightInd w:val="0"/>
        <w:spacing w:before="29" w:line="288" w:lineRule="auto"/>
        <w:jc w:val="left"/>
        <w:rPr>
          <w:color w:val="000000"/>
          <w:sz w:val="24"/>
        </w:rPr>
      </w:pPr>
      <w:r w:rsidRPr="000E4C40">
        <w:rPr>
          <w:color w:val="000000"/>
          <w:sz w:val="24"/>
        </w:rPr>
        <w:t/>
      </w:r>
      <w:r w:rsidR="00327FB0" w:rsidRPr="000E4C40">
        <w:rPr>
          <w:color w:val="000000"/>
          <w:sz w:val="24"/>
        </w:rPr>
        <w:t/>
      </w:r>
      <w:r w:rsidR="000F78F3">
        <w:rPr>
          <w:rFonts w:hint="eastAsia"/>
          <w:color w:val="000000"/>
          <w:sz w:val="24"/>
        </w:rPr>
        <w:t/>
      </w:r>
      <w:r w:rsidRPr="000E4C40">
        <w:rPr>
          <w:color w:val="000000"/>
          <w:sz w:val="24"/>
        </w:rPr>
        <w:t xml:space="preserve">    2、本基金每日计算当日收益并分配，并在运作期期末集中支付。</w:t>
      </w:r>
    </w:p>
    <w:p w:rsidP="00281564" w:rsidR="001F0286" w:rsidRDefault="001F0286" w:rsidRPr="000E4C40">
      <w:pPr>
        <w:tabs>
          <w:tab w:pos="1800" w:val="left"/>
        </w:tabs>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3.2.2</w:t>
      </w:r>
      <w:r w:rsidR="00A21753" w:rsidRPr="00D8505A">
        <w:rPr>
          <w:rFonts w:hint="eastAsia"/>
          <w:b/>
          <w:color w:val="000000"/>
          <w:kern w:val="0"/>
          <w:sz w:val="24"/>
        </w:rPr>
        <w:t>自基金合同生效以来</w:t>
      </w:r>
      <w:r w:rsidR="001B1302" w:rsidRPr="00D8505A">
        <w:rPr>
          <w:b/>
          <w:color w:val="000000"/>
          <w:kern w:val="0"/>
          <w:sz w:val="24"/>
        </w:rPr>
        <w:t>基</w:t>
      </w:r>
      <w:r w:rsidR="001B1302" w:rsidRPr="000E4C40">
        <w:rPr>
          <w:rFonts w:hAnsi="宋体"/>
          <w:b/>
          <w:color w:val="000000"/>
          <w:kern w:val="0"/>
          <w:sz w:val="24"/>
        </w:rPr>
        <w:t>金份额累计净值收益率变动及其与同期业绩比较基准收益率变动的比</w:t>
      </w:r>
      <w:r w:rsidR="001B1302" w:rsidRPr="000E4C40">
        <w:rPr>
          <w:rFonts w:hAnsi="宋体"/>
          <w:b/>
          <w:color w:val="000000"/>
          <w:kern w:val="0"/>
          <w:sz w:val="24"/>
        </w:rPr>
        <w:lastRenderedPageBreak/>
        <w:t>较</w:t>
      </w:r>
    </w:p>
    <w:p w:rsidP="00281564" w:rsidR="00E63B3D" w:rsidRDefault="00E63B3D" w:rsidRPr="000E4C40">
      <w:pPr>
        <w:spacing w:before="29" w:line="288" w:lineRule="auto"/>
        <w:jc w:val="center"/>
        <w:rPr>
          <w:sz w:val="24"/>
        </w:rPr>
      </w:pPr>
      <w:r w:rsidRPr="000E4C40">
        <w:rPr>
          <w:sz w:val="24"/>
        </w:rPr>
        <w:t>交银施罗德理财21天债券型证券投资基金</w:t>
      </w:r>
    </w:p>
    <w:p w:rsidP="00281564" w:rsidR="00E63B3D" w:rsidRDefault="00E27752" w:rsidRPr="000E4C40">
      <w:pPr>
        <w:pStyle w:val="a6"/>
        <w:snapToGrid w:val="0"/>
        <w:spacing w:before="29" w:line="288" w:lineRule="auto"/>
        <w:jc w:val="center"/>
        <w:rPr>
          <w:rFonts w:ascii="Times New Roman" w:hAnsi="Times New Roman"/>
          <w:sz w:val="24"/>
          <w:szCs w:val="24"/>
        </w:rPr>
      </w:pPr>
      <w:r w:rsidRPr="000E4C40">
        <w:rPr>
          <w:rFonts w:ascii="Times New Roman" w:hAnsi="宋体"/>
          <w:sz w:val="24"/>
          <w:szCs w:val="24"/>
        </w:rPr>
        <w:t>份额累计净值收益率与业绩比较基准收益率历史走势对比图</w:t>
      </w:r>
    </w:p>
    <w:p w:rsidP="00281564" w:rsidR="00A7219D" w:rsidRDefault="00FF7214" w:rsidRPr="000E4C40">
      <w:pPr>
        <w:spacing w:before="29" w:line="288" w:lineRule="auto"/>
        <w:jc w:val="center"/>
        <w:rPr>
          <w:sz w:val="24"/>
        </w:rPr>
      </w:pPr>
      <w:r w:rsidRPr="000E4C40">
        <w:rPr>
          <w:rFonts w:hAnsi="宋体"/>
          <w:color w:val="000000"/>
          <w:sz w:val="24"/>
        </w:rPr>
        <w:t>（</w:t>
      </w:r>
      <w:r w:rsidR="00D87D00" w:rsidRPr="000E4C40">
        <w:rPr>
          <w:color w:val="000000"/>
          <w:kern w:val="0"/>
          <w:sz w:val="24"/>
        </w:rPr>
        <w:t>2012年11月5日</w:t>
      </w:r>
      <w:r w:rsidR="00A7219D" w:rsidRPr="000E4C40">
        <w:rPr>
          <w:rFonts w:hAnsi="宋体"/>
          <w:color w:val="000000"/>
          <w:kern w:val="0"/>
          <w:sz w:val="24"/>
        </w:rPr>
        <w:t>至</w:t>
      </w:r>
      <w:r w:rsidR="00A7219D" w:rsidRPr="000E4C40">
        <w:rPr>
          <w:color w:val="000000"/>
          <w:kern w:val="0"/>
          <w:sz w:val="24"/>
        </w:rPr>
        <w:t>2019年9月30日</w:t>
      </w:r>
      <w:r w:rsidRPr="000E4C40">
        <w:rPr>
          <w:rFonts w:hAnsi="宋体"/>
          <w:color w:val="000000"/>
          <w:sz w:val="24"/>
        </w:rPr>
        <w:t>）</w:t>
      </w:r>
    </w:p>
    <w:p w:rsidP="00281564" w:rsidR="00825EA5" w:rsidRDefault="00E63B3D" w:rsidRPr="000E4C40">
      <w:pPr>
        <w:numPr>
          <w:ilvl w:val="0"/>
          <w:numId w:val="1"/>
        </w:numPr>
        <w:snapToGrid w:val="0"/>
        <w:spacing w:before="29" w:line="288" w:lineRule="auto"/>
        <w:rPr>
          <w:color w:val="000000"/>
          <w:sz w:val="24"/>
        </w:rPr>
      </w:pPr>
      <w:r w:rsidRPr="000E4C40">
        <w:rPr>
          <w:color w:val="000000"/>
          <w:kern w:val="0"/>
          <w:sz w:val="24"/>
        </w:rPr>
        <w:t>交银理财21天债券A</w:t>
      </w:r>
    </w:p>
    <w:p w:rsidP="00281564" w:rsidR="00E63B3D" w:rsidRDefault="00F14672" w:rsidRPr="000E4C40">
      <w:pPr>
        <w:tabs>
          <w:tab w:pos="0" w:val="left"/>
        </w:tabs>
        <w:spacing w:before="29" w:line="288" w:lineRule="auto"/>
        <w:jc w:val="center"/>
        <w:rPr>
          <w:color w:val="000000"/>
          <w:sz w:val="24"/>
        </w:rPr>
      </w:pPr>
      <w:r w:rsidRPr="000E4C40">
        <w:rPr>
          <w:noProof/>
          <w:color w:val="000000"/>
          <w:sz w:val="24"/>
        </w:rPr>
        <w:drawing>
          <wp:inline distB="0" distL="0" distR="0" distT="0">
            <wp:extent cx="5769610" cy="3378835"/>
            <wp:effectExtent b="0" l="19050" r="2540" t="0"/>
            <wp:docPr descr="走势图1.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69610" cy="3378835"/>
                    </a:xfrm>
                    <a:prstGeom prst="rect">
                      <a:avLst/>
                    </a:prstGeom>
                  </pic:spPr>
                </pic:pic>
              </a:graphicData>
            </a:graphic>
          </wp:inline>
        </w:drawing>
      </w:r>
    </w:p>
    <w:p w:rsidP="00281564" w:rsidR="00E63B3D" w:rsidRDefault="00E63B3D"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注：图示日期为2012年11月5日至2019年9月30日。本基金建仓期为自基金合同生效日起的6个月。截至建仓期结束，本基金各项资产配置比例符合基金合同及招募说明书有关投资比例的约定。</w:t>
      </w:r>
    </w:p>
    <w:p w:rsidP="00281564" w:rsidR="00825EA5" w:rsidRDefault="00825EA5" w:rsidRPr="000E4C40">
      <w:pPr>
        <w:adjustRightInd w:val="0"/>
        <w:snapToGrid w:val="0"/>
        <w:spacing w:before="29" w:line="288" w:lineRule="auto"/>
        <w:rPr>
          <w:color w:val="000000"/>
          <w:sz w:val="24"/>
        </w:rPr>
      </w:pPr>
    </w:p>
    <w:p w:rsidP="00281564" w:rsidR="00825EA5" w:rsidRDefault="00580560" w:rsidRPr="000E4C40">
      <w:pPr>
        <w:snapToGrid w:val="0"/>
        <w:spacing w:before="29" w:line="288" w:lineRule="auto"/>
        <w:ind w:left="470"/>
        <w:rPr>
          <w:color w:val="000000"/>
          <w:sz w:val="24"/>
        </w:rPr>
      </w:pPr>
      <w:r w:rsidRPr="000E4C40">
        <w:rPr>
          <w:color w:val="000000"/>
          <w:sz w:val="24"/>
        </w:rPr>
        <w:t>2</w:t>
      </w:r>
      <w:r w:rsidRPr="000E4C40">
        <w:rPr>
          <w:rFonts w:hAnsi="宋体"/>
          <w:color w:val="000000"/>
          <w:sz w:val="24"/>
        </w:rPr>
        <w:t>、</w:t>
      </w:r>
      <w:r w:rsidR="000F78F3">
        <w:rPr>
          <w:color w:val="000000"/>
          <w:kern w:val="0"/>
          <w:sz w:val="24"/>
        </w:rPr>
        <w:t/>
      </w:r>
      <w:r w:rsidR="000F78F3">
        <w:rPr>
          <w:rFonts w:hint="eastAsia"/>
          <w:color w:val="000000"/>
          <w:kern w:val="0"/>
          <w:sz w:val="24"/>
        </w:rPr>
        <w:t/>
      </w:r>
      <w:r w:rsidR="005F668B" w:rsidRPr="000E4C40">
        <w:rPr>
          <w:color w:val="000000"/>
          <w:kern w:val="0"/>
          <w:sz w:val="24"/>
        </w:rPr>
        <w:t>交银理财21天债券B</w:t>
      </w:r>
    </w:p>
    <w:p w:rsidP="00281564" w:rsidR="005F668B" w:rsidRDefault="00F14672" w:rsidRPr="000E4C40">
      <w:pPr>
        <w:snapToGrid w:val="0"/>
        <w:spacing w:before="29" w:line="288" w:lineRule="auto"/>
        <w:jc w:val="center"/>
        <w:rPr>
          <w:color w:val="000000"/>
          <w:sz w:val="24"/>
        </w:rPr>
      </w:pPr>
      <w:r w:rsidRPr="000E4C40">
        <w:rPr>
          <w:noProof/>
          <w:color w:val="000000"/>
          <w:sz w:val="24"/>
        </w:rPr>
        <w:lastRenderedPageBreak/>
        <w:drawing>
          <wp:inline distB="0" distL="0" distR="0" distT="0">
            <wp:extent cx="5769610" cy="3378835"/>
            <wp:effectExtent b="0" l="19050" r="2540" t="0"/>
            <wp:docPr descr="走势图2.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69610" cy="3378835"/>
                    </a:xfrm>
                    <a:prstGeom prst="rect">
                      <a:avLst/>
                    </a:prstGeom>
                  </pic:spPr>
                </pic:pic>
              </a:graphicData>
            </a:graphic>
          </wp:inline>
        </w:drawing>
      </w:r>
    </w:p>
    <w:p w:rsidP="00281564" w:rsidR="00902E3F" w:rsidRDefault="005F668B"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
      </w:r>
      <w:r w:rsidR="000F78F3">
        <w:rPr>
          <w:color w:val="000000"/>
          <w:sz w:val="24"/>
        </w:rPr>
        <w:t/>
      </w:r>
      <w:r w:rsidR="000F78F3">
        <w:rPr>
          <w:rFonts w:hint="eastAsia"/>
          <w:color w:val="000000"/>
          <w:sz w:val="24"/>
        </w:rPr>
        <w:t/>
      </w:r>
      <w:r w:rsidRPr="000E4C40">
        <w:rPr>
          <w:color w:val="000000"/>
          <w:sz w:val="24"/>
        </w:rPr>
        <w:t>注：图示日期为2013年1月9日至2019年9月30日。本基金建仓期为自基金合同生效日起的6个月。截至建仓期结束，本基金各项资产配置比例符合基金合同及招募说明书有关投资比例的约定。</w:t>
      </w:r>
    </w:p>
    <w:p w:rsidP="00281564" w:rsidR="00CA65DD" w:rsidRDefault="00CA65DD" w:rsidRPr="000E4C40">
      <w:pPr>
        <w:tabs>
          <w:tab w:pos="1800" w:val="left"/>
        </w:tabs>
        <w:spacing w:before="29" w:line="288" w:lineRule="auto"/>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§4  </w:t>
      </w:r>
      <w:r w:rsidRPr="000E4C40">
        <w:rPr>
          <w:rFonts w:hAnsi="宋体"/>
          <w:color w:val="000000"/>
          <w:kern w:val="0"/>
          <w:sz w:val="24"/>
          <w:szCs w:val="24"/>
        </w:rPr>
        <w:t>管理人报告</w:t>
      </w:r>
    </w:p>
    <w:p w:rsidP="00281564" w:rsidR="00902E3F" w:rsidRDefault="00902E3F" w:rsidRPr="000E4C40">
      <w:pPr>
        <w:autoSpaceDE w:val="0"/>
        <w:autoSpaceDN w:val="0"/>
        <w:adjustRightInd w:val="0"/>
        <w:spacing w:before="29" w:line="288" w:lineRule="auto"/>
        <w:jc w:val="left"/>
        <w:rPr>
          <w:b/>
          <w:bCs/>
          <w:sz w:val="24"/>
        </w:rPr>
      </w:pPr>
      <w:r w:rsidRPr="000E4C40">
        <w:rPr>
          <w:b/>
          <w:color w:val="000000"/>
          <w:kern w:val="0"/>
          <w:sz w:val="24"/>
        </w:rPr>
        <w:t xml:space="preserve">4.1 </w:t>
      </w:r>
      <w:r w:rsidRPr="000E4C40">
        <w:rPr>
          <w:rFonts w:hAnsi="宋体"/>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5"/>
        <w:gridCol w:w="1589"/>
        <w:gridCol w:w="1478"/>
        <w:gridCol w:w="1478"/>
        <w:gridCol w:w="986"/>
        <w:gridCol w:w="2392"/>
      </w:tblGrid>
      <w:tr w:rsidR="00C4627A" w:rsidRPr="000E4C40" w:rsidTr="00951A65">
        <w:trPr>
          <w:jc w:val="center"/>
        </w:trPr>
        <w:tc>
          <w:tcPr>
            <w:tcW w:type="dxa" w:w="95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姓名</w:t>
            </w:r>
          </w:p>
        </w:tc>
        <w:tc>
          <w:tcPr>
            <w:tcW w:type="dxa" w:w="160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职务</w:t>
            </w:r>
          </w:p>
        </w:tc>
        <w:tc>
          <w:tcPr>
            <w:tcW w:type="dxa" w:w="2977"/>
            <w:gridSpan w:val="2"/>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任本基金的基金经理期限</w:t>
            </w:r>
          </w:p>
        </w:tc>
        <w:tc>
          <w:tcPr>
            <w:tcW w:type="dxa" w:w="99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证券从业年限</w:t>
            </w:r>
          </w:p>
        </w:tc>
        <w:tc>
          <w:tcPr>
            <w:tcW w:type="dxa" w:w="241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说明</w:t>
            </w:r>
          </w:p>
        </w:tc>
      </w:tr>
      <w:tr w:rsidR="00C4627A" w:rsidRPr="000E4C40" w:rsidTr="00951A65">
        <w:trPr>
          <w:jc w:val="center"/>
        </w:trPr>
        <w:tc>
          <w:tcPr>
            <w:tcW w:type="dxa" w:w="95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60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488"/>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任职日期</w:t>
            </w:r>
          </w:p>
        </w:tc>
        <w:tc>
          <w:tcPr>
            <w:tcW w:type="dxa" w:w="1489"/>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离任日期</w:t>
            </w:r>
          </w:p>
        </w:tc>
        <w:tc>
          <w:tcPr>
            <w:tcW w:type="dxa" w:w="99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241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黄莹洁</w:t>
            </w:r>
          </w:p>
        </w:tc>
        <w:tc>
          <w:tcPr>
            <w:vAlign w:val="center"/>
          </w:tcPr>
          <w:p>
            <w:pPr>
              <w:jc w:val="center"/>
            </w:pPr>
            <w:r>
              <w:rPr>
                <w:color w:val="000000"/>
                <w:sz w:val="24"/>
              </w:rPr>
              <w:t>交银理财21天债券、交银丰享收益债券、交银裕通纯债债券、交银活期通货币、交银天利宝货币、交银裕隆纯债债券、交银天益宝货币、交银境尚收益债券、交银稳鑫短债债券的基金经理</w:t>
            </w:r>
          </w:p>
        </w:tc>
        <w:tc>
          <w:tcPr>
            <w:vAlign w:val="center"/>
          </w:tcPr>
          <w:p>
            <w:pPr>
              <w:jc w:val="center"/>
            </w:pPr>
            <w:r>
              <w:rPr>
                <w:color w:val="000000"/>
                <w:sz w:val="24"/>
              </w:rPr>
              <w:t>2015-05-27</w:t>
            </w:r>
          </w:p>
        </w:tc>
        <w:tc>
          <w:tcPr>
            <w:vAlign w:val="center"/>
          </w:tcPr>
          <w:p>
            <w:pPr>
              <w:jc w:val="center"/>
            </w:pPr>
            <w:r>
              <w:rPr>
                <w:color w:val="000000"/>
                <w:sz w:val="24"/>
              </w:rPr>
              <w:t>-</w:t>
            </w:r>
          </w:p>
        </w:tc>
        <w:tc>
          <w:tcPr>
            <w:vAlign w:val="center"/>
          </w:tcPr>
          <w:p>
            <w:pPr>
              <w:jc w:val="center"/>
            </w:pPr>
            <w:r>
              <w:rPr>
                <w:color w:val="000000"/>
                <w:sz w:val="24"/>
              </w:rPr>
              <w:t>11年</w:t>
            </w:r>
          </w:p>
        </w:tc>
        <w:tc>
          <w:tcPr>
            <w:vAlign w:val="center"/>
          </w:tcPr>
          <w:p>
            <w:pPr>
              <w:jc w:val="both"/>
            </w:pPr>
            <w:r>
              <w:rPr>
                <w:color w:val="000000"/>
                <w:sz w:val="24"/>
              </w:rPr>
              <w:t>黄莹洁女士，香港大学工商管理硕士、北京大学经济学、管理学双学士。历任中海基金管理有限公司交易员。2012年加入交银施罗德基金管理有限公司，历任中央交易室交易员。2015年7月25日至2018年3月18日担任交银施罗德丰泽收益债券型证券投资基金的基金经理。2015年5月27日至2019年8月2日担任交银施罗德货币市场证券投资基金、交银施罗德现金宝货币市场基金的基金经理。2016年12月7日至2019年8月2日担任交银施罗德天鑫宝货币市场基金的基金经理。</w:t>
            </w:r>
          </w:p>
          <w:p>
            <w:pPr>
              <w:jc w:val="both"/>
            </w:pPr>
            <w:r>
              <w:rPr>
                <w:color w:val="000000"/>
                <w:sz w:val="24"/>
              </w:rPr>
              <w:t/>
            </w:r>
          </w:p>
          <w:p>
            <w:pPr>
              <w:jc w:val="both"/>
            </w:pPr>
            <w:r>
              <w:rPr>
                <w:color w:val="000000"/>
                <w:sz w:val="24"/>
              </w:rPr>
              <w:t>	</w:t>
            </w:r>
          </w:p>
        </w:tc>
      </w:tr>
    </w:tbl>
    <w:p w:rsidP="00281564" w:rsidR="00C4627A" w:rsidRDefault="00C4627A" w:rsidRPr="000E4C40">
      <w:pPr>
        <w:autoSpaceDE w:val="0"/>
        <w:autoSpaceDN w:val="0"/>
        <w:adjustRightInd w:val="0"/>
        <w:spacing w:before="29" w:line="288" w:lineRule="auto"/>
        <w:jc w:val="left"/>
        <w:rPr>
          <w:color w:val="000000"/>
          <w:sz w:val="24"/>
        </w:rPr>
      </w:pPr>
      <w:r w:rsidRPr="000E4C40">
        <w:rPr>
          <w:color w:val="000000"/>
          <w:sz w:val="24"/>
        </w:rPr>
        <w:t>注：基金经理（或基金经理小组）期后变动（如有）敬请关注基金管理人发布的相关公告。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4.2 </w:t>
      </w:r>
      <w:r w:rsidRPr="000E4C40">
        <w:rPr>
          <w:rFonts w:hAnsi="宋体"/>
          <w:b/>
          <w:color w:val="000000"/>
          <w:kern w:val="0"/>
          <w:sz w:val="24"/>
        </w:rPr>
        <w:t>报告期内本基金运作遵规守信情况说明</w:t>
      </w:r>
    </w:p>
    <w:p w:rsidP="00281564" w:rsidR="00C4627A" w:rsidRDefault="00C4627A" w:rsidRPr="000E4C40">
      <w:pPr>
        <w:spacing w:before="29" w:line="288" w:lineRule="auto"/>
        <w:ind w:firstLine="480" w:firstLineChars="200"/>
        <w:rPr>
          <w:color w:val="000000"/>
          <w:sz w:val="24"/>
        </w:rPr>
      </w:pPr>
      <w:r w:rsidRPr="000E4C40">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autoSpaceDE w:val="0"/>
        <w:autoSpaceDN w:val="0"/>
        <w:adjustRightInd w:val="0"/>
        <w:spacing w:before="29" w:line="288" w:lineRule="auto"/>
        <w:jc w:val="left"/>
        <w:rPr>
          <w:b/>
          <w:color w:val="000000"/>
          <w:kern w:val="0"/>
          <w:sz w:val="24"/>
        </w:rPr>
      </w:pPr>
      <w:r w:rsidRPr="000E4C40">
        <w:rPr>
          <w:b/>
          <w:color w:val="000000"/>
          <w:kern w:val="0"/>
          <w:sz w:val="24"/>
        </w:rPr>
        <w:t xml:space="preserve">4.3 </w:t>
      </w:r>
      <w:r w:rsidRPr="000E4C40">
        <w:rPr>
          <w:rFonts w:hAnsi="宋体"/>
          <w:b/>
          <w:color w:val="000000"/>
          <w:kern w:val="0"/>
          <w:sz w:val="24"/>
        </w:rPr>
        <w:t>公平交易专项说明</w:t>
      </w:r>
    </w:p>
    <w:p w:rsidP="00281564" w:rsidR="003F43EB" w:rsidRDefault="003F43EB" w:rsidRPr="000E4C40">
      <w:pPr>
        <w:spacing w:before="29" w:line="288" w:lineRule="auto"/>
        <w:rPr>
          <w:sz w:val="24"/>
        </w:rPr>
      </w:pPr>
      <w:r w:rsidRPr="000E4C40">
        <w:rPr>
          <w:sz w:val="24"/>
        </w:rPr>
        <w:t xml:space="preserve">4.3.1 </w:t>
      </w:r>
      <w:r w:rsidRPr="000E4C40">
        <w:rPr>
          <w:rFonts w:hAnsi="宋体"/>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281564" w:rsidR="00C4627A" w:rsidRDefault="00C4627A" w:rsidRPr="000E4C40">
      <w:pPr>
        <w:spacing w:before="29" w:line="288" w:lineRule="auto"/>
        <w:ind w:firstLine="480" w:firstLineChars="200"/>
        <w:rPr>
          <w:color w:val="000000"/>
          <w:sz w:val="24"/>
        </w:rPr>
      </w:pPr>
      <w:r w:rsidRPr="000E4C40">
        <w:rPr>
          <w:color w:val="000000"/>
          <w:sz w:val="24"/>
        </w:rPr>
        <w:t>报告期内本公司严格执行公平交易制度，公平对待旗下各投资组合，未发现任何违反公平交易的行为。</w:t>
      </w:r>
    </w:p>
    <w:p w:rsidP="00281564" w:rsidR="003F43EB" w:rsidRDefault="003F43EB" w:rsidRPr="000E4C40">
      <w:pPr>
        <w:spacing w:before="29" w:line="288" w:lineRule="auto"/>
        <w:rPr>
          <w:sz w:val="24"/>
        </w:rPr>
      </w:pPr>
      <w:r w:rsidRPr="000E4C40">
        <w:rPr>
          <w:sz w:val="24"/>
        </w:rPr>
        <w:t>4.3.</w:t>
      </w:r>
      <w:r w:rsidR="0007770D" w:rsidRPr="000E4C40">
        <w:rPr>
          <w:sz w:val="24"/>
        </w:rPr>
        <w:t>2</w:t>
      </w:r>
      <w:r w:rsidRPr="000E4C40">
        <w:rPr>
          <w:rFonts w:hAnsi="宋体"/>
          <w:sz w:val="24"/>
        </w:rPr>
        <w:t>异常交易行为的专项说明</w:t>
      </w:r>
    </w:p>
    <w:p w:rsidP="00281564" w:rsidR="00902E3F" w:rsidRDefault="00C4627A" w:rsidRPr="000E4C40">
      <w:pPr>
        <w:spacing w:before="29" w:line="288" w:lineRule="auto"/>
        <w:ind w:firstLine="480" w:firstLineChars="200"/>
        <w:rPr>
          <w:color w:val="000000"/>
          <w:sz w:val="24"/>
        </w:rPr>
      </w:pPr>
      <w:r w:rsidRPr="000E4C40">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281564" w:rsidR="00BE5584" w:rsidRDefault="00BE5584" w:rsidRPr="000E4C40">
      <w:pPr>
        <w:autoSpaceDE w:val="0"/>
        <w:autoSpaceDN w:val="0"/>
        <w:adjustRightInd w:val="0"/>
        <w:spacing w:before="29" w:line="288" w:lineRule="auto"/>
        <w:jc w:val="left"/>
        <w:rPr>
          <w:color w:val="000000"/>
          <w:kern w:val="0"/>
          <w:sz w:val="24"/>
        </w:rPr>
      </w:pPr>
    </w:p>
    <w:p w:rsidP="00281564" w:rsidR="00323377" w:rsidRDefault="00B86A3F" w:rsidRPr="000E4C40">
      <w:pPr>
        <w:spacing w:before="29" w:line="288" w:lineRule="auto"/>
        <w:rPr>
          <w:sz w:val="24"/>
        </w:rPr>
      </w:pPr>
      <w:r w:rsidRPr="000E4C40">
        <w:rPr>
          <w:b/>
          <w:color w:val="000000"/>
          <w:kern w:val="0"/>
          <w:sz w:val="24"/>
        </w:rPr>
        <w:t xml:space="preserve">4.4 </w:t>
      </w:r>
      <w:r w:rsidRPr="000E4C40">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本报告期内，为了缓解个别银行信用风险暴露事件导致的市场资金面结构性紧张局面，央行向市场注入了较多短期流动性，七月初资金面较为宽松，隔夜回购利率一度下降至1%以下，之后随着资金的逐渐回笼，资金面开始边际收紧，资金价格也一路回升。虽然此间伴随LPR改革、央行降准、LPR利率下调，资金面依然处于一个紧平衡的状态，直到季度末前最后几个交易日才又转为相对宽松。受资金价格的影响，三个月的同业存单、同业存款等货币市场工具的收益率较上季度末小幅上行。总体来看，截止2019年9月25日，银行间隔夜加权利率R001上行86bp到2.41%，七天加权利率R007上行9bp到2.75%，三个月AAA级商业银行同业存单收益率上行35bp到2.7%。</w:t>
      </w:r>
    </w:p>
    <w:p>
      <w:pPr>
        <w:spacing w:before="29" w:line="288" w:lineRule="auto"/>
        <w:ind w:firstLine="480" w:firstLineChars="200"/>
        <w:rPr>
          <w:color w:val="000000"/>
          <w:sz w:val="24"/>
        </w:rPr>
      </w:pPr>
      <w:r>
        <w:rPr>
          <w:color w:val="000000"/>
          <w:sz w:val="24"/>
        </w:rPr>
        <w:t>基金操作方面，多投资于估值波动较小的银行存款存单与高等级短期信用债，组合整体流动性良好。九月末货币市场工具收益率有一定幅度的上行，我们视组合流动性情况适当拉长久期，增配了部分高评级的同业存款存单、短期融资券等资产，提高了组合静态收益。</w:t>
      </w:r>
    </w:p>
    <w:p>
      <w:pPr>
        <w:spacing w:before="29" w:line="288" w:lineRule="auto"/>
        <w:ind w:firstLine="480" w:firstLineChars="200"/>
        <w:rPr>
          <w:color w:val="000000"/>
          <w:sz w:val="24"/>
        </w:rPr>
      </w:pPr>
      <w:r>
        <w:rPr>
          <w:color w:val="000000"/>
          <w:sz w:val="24"/>
        </w:rPr>
        <w:t>展望2019年四季度，我们认为我国货币政策工具手段较为充足，如果经济下行压力增大或者中美贸易冲突再度升级，货币政策在限制住地产融资之后，还有进一步宽松的空间。但是短期来看，在通胀和汇率掣肘之下，货币政策或将保持定力。考虑到年末或有专项债发行，以及海外发达经济体纷纷加码宽松，流动性收紧的概率也不大。预计在经济企稳之前，流动性总量将维持合理充裕。我们将密切关注通胀是否会超预期上行从而带来货币政策的边际变化，也将继续观察银行理财子公司的发展以及类货币型理财产品对行业生态的影响。</w:t>
      </w:r>
    </w:p>
    <w:p w:rsidP="00281564" w:rsidR="00C4627A" w:rsidRDefault="00C4627A" w:rsidRPr="000E4C40">
      <w:pPr>
        <w:spacing w:before="29" w:line="288" w:lineRule="auto"/>
        <w:ind w:firstLine="480" w:firstLineChars="200"/>
        <w:rPr>
          <w:color w:val="000000"/>
          <w:sz w:val="24"/>
        </w:rPr>
      </w:pPr>
      <w:r w:rsidRPr="000E4C40">
        <w:rPr>
          <w:color w:val="000000"/>
          <w:sz w:val="24"/>
        </w:rPr>
        <w:t>本基金将根据不同资产收益率的动态变化，适时调整组合结构，根据期限利差动态调整组合杠杆率，通过对市场利率的前瞻性判断进行合理有效的久期管理，严格控制信用风险、流动性风险和利率风险，努力为持有人创造稳健的收益。</w:t>
      </w:r>
    </w:p>
    <w:p w:rsidP="00281564" w:rsidR="00FE3301" w:rsidRDefault="00FE3301" w:rsidRPr="000E4C40">
      <w:pPr>
        <w:spacing w:before="29" w:line="288" w:lineRule="auto"/>
        <w:ind w:firstLine="480" w:firstLineChars="200"/>
        <w:rPr>
          <w:color w:val="000000"/>
          <w:sz w:val="24"/>
        </w:rPr>
      </w:pPr>
    </w:p>
    <w:p w:rsidP="00281564" w:rsidR="00323377" w:rsidRDefault="00B86A3F" w:rsidRPr="000E4C40">
      <w:pPr>
        <w:spacing w:before="29" w:line="288" w:lineRule="auto"/>
        <w:rPr>
          <w:sz w:val="24"/>
        </w:rPr>
      </w:pPr>
      <w:r w:rsidRPr="000E4C40">
        <w:rPr>
          <w:b/>
          <w:color w:val="000000"/>
          <w:kern w:val="0"/>
          <w:sz w:val="24"/>
        </w:rPr>
        <w:t>4.5</w:t>
      </w:r>
      <w:r w:rsidRPr="000E4C40">
        <w:rPr>
          <w:rFonts w:hAnsi="宋体"/>
          <w:b/>
          <w:color w:val="000000"/>
          <w:kern w:val="0"/>
          <w:sz w:val="24"/>
        </w:rPr>
        <w:t>报告期内基金的业绩表现</w:t>
      </w:r>
    </w:p>
    <w:p w:rsidP="00281564" w:rsidR="00C4627A" w:rsidRDefault="00C4627A" w:rsidRPr="000E4C40">
      <w:pPr>
        <w:spacing w:before="29" w:line="288" w:lineRule="auto"/>
        <w:ind w:firstLine="480" w:firstLineChars="200"/>
        <w:rPr>
          <w:color w:val="000000"/>
          <w:sz w:val="24"/>
        </w:rPr>
      </w:pPr>
      <w:bookmarkStart w:id="0" w:name="_Toc255486598"/>
      <w:bookmarkStart w:id="1" w:name="_Toc245193825"/>
      <w:r w:rsidRPr="000E4C40">
        <w:rPr>
          <w:color w:val="000000"/>
          <w:sz w:val="24"/>
        </w:rPr>
        <w:t>本基金（各类）份额净值及业绩表现请见“3.1主要财务指标” 及“3.2.1 本报告期基金份额净值增长率及其与同期业绩比较基准收益率的比较”部分披露。</w:t>
      </w:r>
    </w:p>
    <w:p w:rsidP="00281564" w:rsidR="00BE5584" w:rsidRDefault="00BE5584" w:rsidRPr="000E4C40">
      <w:pPr>
        <w:autoSpaceDE w:val="0"/>
        <w:autoSpaceDN w:val="0"/>
        <w:adjustRightInd w:val="0"/>
        <w:spacing w:before="29" w:line="288" w:lineRule="auto"/>
        <w:jc w:val="left"/>
        <w:rPr>
          <w:kern w:val="0"/>
          <w:sz w:val="24"/>
        </w:rPr>
      </w:pPr>
    </w:p>
    <w:bookmarkEnd w:id="0"/>
    <w:bookmarkEnd w:id="1"/>
    <w:p w:rsidP="0010236C" w:rsidR="0010236C" w:rsidRDefault="0010236C"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10236C" w:rsidR="0010236C" w:rsidRDefault="0010236C">
      <w:pPr>
        <w:spacing w:before="29" w:line="288" w:lineRule="auto"/>
        <w:ind w:firstLine="480" w:firstLineChars="200"/>
        <w:rPr>
          <w:color w:val="000000"/>
          <w:sz w:val="24"/>
        </w:rPr>
      </w:pPr>
      <w:r w:rsidRPr="002070B4">
        <w:rPr>
          <w:color w:val="000000"/>
          <w:sz w:val="24"/>
        </w:rPr>
        <w:t>本基金本报告期内无需预警说明。</w:t>
      </w:r>
    </w:p>
    <w:p w:rsidP="0010236C" w:rsidR="0010236C" w:rsidRDefault="0010236C">
      <w:pPr>
        <w:spacing w:before="29" w:line="288" w:lineRule="auto"/>
        <w:ind w:firstLine="480" w:firstLineChars="200"/>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§5  </w:t>
      </w:r>
      <w:r w:rsidRPr="000E4C40">
        <w:rPr>
          <w:rFonts w:hAnsi="宋体"/>
          <w:color w:val="000000"/>
          <w:kern w:val="0"/>
          <w:sz w:val="24"/>
          <w:szCs w:val="24"/>
        </w:rPr>
        <w:t>投资组合报告</w:t>
      </w:r>
    </w:p>
    <w:p w:rsidP="00281564" w:rsidR="00902E3F" w:rsidRDefault="00902E3F">
      <w:pPr>
        <w:spacing w:before="29" w:line="288" w:lineRule="auto"/>
        <w:rPr>
          <w:rFonts w:hAnsi="宋体"/>
          <w:b/>
          <w:color w:val="000000"/>
          <w:kern w:val="0"/>
          <w:sz w:val="24"/>
        </w:rPr>
      </w:pPr>
      <w:r w:rsidRPr="000E4C40">
        <w:rPr>
          <w:b/>
          <w:color w:val="000000"/>
          <w:kern w:val="0"/>
          <w:sz w:val="24"/>
        </w:rPr>
        <w:t xml:space="preserve">5.1 </w:t>
      </w:r>
      <w:r w:rsidRPr="000E4C40">
        <w:rPr>
          <w:rFonts w:hAnsi="宋体"/>
          <w:b/>
          <w:color w:val="000000"/>
          <w:kern w:val="0"/>
          <w:sz w:val="24"/>
        </w:rPr>
        <w:t>报告期末基金资产组合情况</w:t>
      </w:r>
    </w:p>
    <w:p w:rsidP="000F4B69" w:rsidR="000F4B69" w:rsidRDefault="000F4B69" w:rsidRPr="000F4B69">
      <w:pPr>
        <w:spacing w:before="29" w:line="288" w:lineRule="auto"/>
        <w:jc w:val="right"/>
        <w:rPr>
          <w:color w:val="000000"/>
          <w:kern w:val="0"/>
          <w:sz w:val="24"/>
        </w:rPr>
      </w:pPr>
      <w:r w:rsidRPr="000F4B69">
        <w:rPr>
          <w:rFonts w:hint="eastAsia"/>
          <w:color w:val="000000"/>
          <w:kern w:val="0"/>
          <w:sz w:val="24"/>
        </w:rPr>
        <w:t/>
      </w:r>
      <w:r w:rsidRPr="000F4B69">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84"/>
        <w:gridCol w:w="3117"/>
        <w:gridCol w:w="3058"/>
        <w:gridCol w:w="1809"/>
      </w:tblGrid>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序号</w:t>
            </w:r>
          </w:p>
        </w:tc>
        <w:tc>
          <w:tcPr>
            <w:tcW w:type="dxa" w:w="3117"/>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项目</w:t>
            </w:r>
          </w:p>
        </w:tc>
        <w:tc>
          <w:tcPr>
            <w:tcW w:type="dxa" w:w="3058"/>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金额</w:t>
            </w:r>
          </w:p>
        </w:tc>
        <w:tc>
          <w:tcPr>
            <w:tcW w:type="dxa" w:w="1809"/>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占基金总资产的比例</w:t>
            </w:r>
            <w:r w:rsidR="00744E84" w:rsidRPr="000E4C40">
              <w:rPr>
                <w:rFonts w:hAnsi="宋体"/>
                <w:color w:val="000000"/>
                <w:kern w:val="0"/>
                <w:sz w:val="24"/>
              </w:rPr>
              <w:t>（％）</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1</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固定收益投资</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8,979,830,102.42</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55.32</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其中：债券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8,483,109,650.85</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lastRenderedPageBreak/>
              <w:t/>
            </w:r>
            <w:r w:rsidRPr="000E4C40">
              <w:rPr>
                <w:color w:val="000000"/>
                <w:sz w:val="24"/>
              </w:rPr>
              <w:lastRenderedPageBreak/>
              <w:t>52.26</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autoSpaceDE w:val="0"/>
              <w:autoSpaceDN w:val="0"/>
              <w:adjustRightInd w:val="0"/>
              <w:spacing w:before="29" w:line="288" w:lineRule="auto"/>
              <w:ind w:firstLine="720" w:firstLineChars="300" w:left="17" w:leftChars="8"/>
              <w:jc w:val="left"/>
              <w:rPr>
                <w:color w:val="000000"/>
                <w:sz w:val="24"/>
              </w:rPr>
            </w:pPr>
            <w:r w:rsidRPr="000E4C40">
              <w:rPr>
                <w:rFonts w:hAnsi="宋体"/>
                <w:color w:val="000000"/>
                <w:sz w:val="24"/>
              </w:rPr>
              <w:t>资产支持证券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496,720,451.57</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3.06</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2</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990,001,885.00</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6.10</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其中：买断式回购的买入返售金融资产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3</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银行存款和结算备付金合计</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6,201,000,206.65</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38.20</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4</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其他</w:t>
            </w:r>
            <w:r w:rsidR="006D1D53">
              <w:rPr>
                <w:rFonts w:hAnsi="宋体" w:hint="eastAsia"/>
                <w:color w:val="000000"/>
                <w:sz w:val="24"/>
              </w:rPr>
              <w:t>各项</w:t>
            </w:r>
            <w:r w:rsidRPr="000E4C40">
              <w:rPr>
                <w:rFonts w:hAnsi="宋体"/>
                <w:color w:val="000000"/>
                <w:sz w:val="24"/>
              </w:rPr>
              <w:t>资产</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60,339,769.03</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0.37</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5</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合计</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16,231,171,963.10</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100.00</w:t>
            </w:r>
          </w:p>
        </w:tc>
      </w:tr>
    </w:tbl>
    <w:p w:rsidP="00281564" w:rsidR="004771B9" w:rsidRDefault="004771B9"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5.2 </w:t>
      </w:r>
      <w:r w:rsidRPr="000E4C40">
        <w:rPr>
          <w:rFonts w:hAnsi="宋体"/>
          <w:b/>
          <w:color w:val="000000"/>
          <w:kern w:val="0"/>
          <w:sz w:val="24"/>
        </w:rPr>
        <w:t>报告期债券回购融资情况</w:t>
      </w:r>
    </w:p>
    <w:tbl>
      <w:tblPr>
        <w:tblW w:type="dxa" w:w="8868"/>
        <w:jc w:val="center"/>
        <w:tblLayout w:type="fixed"/>
        <w:tblLook w:firstColumn="0" w:firstRow="0" w:lastColumn="0" w:lastRow="0" w:noHBand="0" w:noVBand="0" w:val="0000"/>
      </w:tblPr>
      <w:tblGrid>
        <w:gridCol w:w="845"/>
        <w:gridCol w:w="3157"/>
        <w:gridCol w:w="2787"/>
        <w:gridCol w:w="2079"/>
      </w:tblGrid>
      <w:tr w:rsidR="007521F9" w:rsidRPr="000E4C40" w:rsidTr="00EF568A">
        <w:trPr>
          <w:jc w:val="center"/>
        </w:trPr>
        <w:tc>
          <w:tcPr>
            <w:tcW w:type="dxa" w:w="845"/>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项目</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占基金资产净值比例（％）</w:t>
            </w:r>
          </w:p>
        </w:tc>
      </w:tr>
      <w:tr w:rsidR="00901503"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901503" w:rsidRDefault="00901503" w:rsidRPr="000E4C40">
            <w:pPr>
              <w:spacing w:before="29" w:line="288" w:lineRule="auto"/>
              <w:jc w:val="center"/>
              <w:rPr>
                <w:color w:val="000000"/>
                <w:kern w:val="0"/>
                <w:sz w:val="24"/>
              </w:rPr>
            </w:pPr>
            <w:r w:rsidRPr="000E4C40">
              <w:rPr>
                <w:color w:val="000000"/>
                <w:kern w:val="0"/>
                <w:sz w:val="24"/>
              </w:rPr>
              <w:t>1</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报告期内债券回购融资余额</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5.12</w:t>
            </w:r>
          </w:p>
        </w:tc>
      </w:tr>
      <w:tr w:rsidR="00901503" w:rsidRPr="000E4C40" w:rsidTr="00EF568A">
        <w:trPr>
          <w:trHeight w:val="712"/>
          <w:jc w:val="center"/>
        </w:trPr>
        <w:tc>
          <w:tcPr>
            <w:tcW w:type="dxa" w:w="845"/>
            <w:vMerge/>
            <w:tcBorders>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其中：买断式回购融资</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w:t>
            </w:r>
          </w:p>
        </w:tc>
      </w:tr>
      <w:tr w:rsidR="007521F9" w:rsidRPr="000E4C40" w:rsidTr="00EF568A">
        <w:trPr>
          <w:jc w:val="center"/>
        </w:trPr>
        <w:tc>
          <w:tcPr>
            <w:tcW w:type="dxa" w:w="845"/>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sz w:val="24"/>
              </w:rPr>
              <w:t>项目</w:t>
            </w:r>
          </w:p>
        </w:tc>
        <w:tc>
          <w:tcPr>
            <w:tcW w:type="dxa" w:w="2787"/>
            <w:tcBorders>
              <w:top w:color="000000" w:space="0" w:sz="8" w:val="single"/>
              <w:left w:color="000000" w:space="0" w:sz="8" w:val="single"/>
              <w:bottom w:color="000000" w:space="0" w:sz="8" w:val="single"/>
              <w:right w:color="000000" w:space="0" w:sz="8" w:val="single"/>
            </w:tcBorders>
            <w:vAlign w:val="center"/>
          </w:tcPr>
          <w:p w:rsidP="008E3415" w:rsidR="007521F9" w:rsidRDefault="007521F9" w:rsidRPr="000E4C40">
            <w:pPr>
              <w:spacing w:before="29" w:line="288" w:lineRule="auto"/>
              <w:jc w:val="center"/>
              <w:rPr>
                <w:sz w:val="24"/>
              </w:rPr>
            </w:pPr>
            <w:r w:rsidRPr="000E4C40">
              <w:rPr>
                <w:rFonts w:hAnsi="宋体"/>
                <w:sz w:val="24"/>
              </w:rPr>
              <w:t>金额</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color w:val="000000"/>
                <w:kern w:val="0"/>
                <w:sz w:val="24"/>
              </w:rPr>
              <w:t>占基金资产净值</w:t>
            </w:r>
            <w:r w:rsidR="00410A6D" w:rsidRPr="000E4C40">
              <w:rPr>
                <w:rFonts w:hAnsi="宋体"/>
                <w:color w:val="000000"/>
                <w:kern w:val="0"/>
                <w:sz w:val="24"/>
              </w:rPr>
              <w:t>的</w:t>
            </w:r>
            <w:r w:rsidRPr="000E4C40">
              <w:rPr>
                <w:rFonts w:hAnsi="宋体"/>
                <w:color w:val="000000"/>
                <w:kern w:val="0"/>
                <w:sz w:val="24"/>
              </w:rPr>
              <w:t>比例（％）</w:t>
            </w:r>
          </w:p>
        </w:tc>
      </w:tr>
      <w:tr w:rsidR="007521F9"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color w:val="000000"/>
                <w:sz w:val="24"/>
              </w:rPr>
              <w:t>2</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报告期末债券回购融资余额</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1,635,152,338.33</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11.22</w:t>
            </w:r>
          </w:p>
        </w:tc>
      </w:tr>
      <w:tr w:rsidR="007521F9" w:rsidRPr="000E4C40" w:rsidTr="00EF568A">
        <w:trPr>
          <w:jc w:val="center"/>
        </w:trPr>
        <w:tc>
          <w:tcPr>
            <w:tcW w:type="dxa" w:w="845"/>
            <w:vMerge/>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其中：买断式回购融资</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w:t>
            </w:r>
          </w:p>
        </w:tc>
      </w:tr>
    </w:tbl>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lastRenderedPageBreak/>
        <w:t>注：报告期内债券回购融资余额占基金资产净值的比例为报告期内每个银行间市场交易日融资余额占资产净值比例的简单平均值。</w:t>
      </w:r>
    </w:p>
    <w:p w:rsidP="00281564" w:rsidR="00DB2873" w:rsidRDefault="00DB2873" w:rsidRPr="000E4C40">
      <w:pPr>
        <w:spacing w:before="29" w:line="288" w:lineRule="auto"/>
        <w:rPr>
          <w:sz w:val="24"/>
        </w:rPr>
      </w:pPr>
    </w:p>
    <w:p w:rsidP="00281564" w:rsidR="004771B9" w:rsidRDefault="000D6294" w:rsidRPr="000E4C40">
      <w:pPr>
        <w:spacing w:before="29" w:line="288" w:lineRule="auto"/>
        <w:rPr>
          <w:b/>
          <w:color w:val="000000"/>
          <w:kern w:val="0"/>
          <w:sz w:val="24"/>
        </w:rPr>
      </w:pPr>
      <w:r w:rsidRPr="000E4C40">
        <w:rPr>
          <w:b/>
          <w:color w:val="000000"/>
          <w:kern w:val="0"/>
          <w:sz w:val="24"/>
        </w:rPr>
        <w:t/>
      </w:r>
      <w:r w:rsidR="004771B9" w:rsidRPr="000E4C40">
        <w:rPr>
          <w:rFonts w:hAnsi="宋体"/>
          <w:b/>
          <w:color w:val="000000"/>
          <w:kern w:val="0"/>
          <w:sz w:val="24"/>
        </w:rPr>
        <w:t>债券正回购的资金余额超过基金资产净值的</w:t>
      </w:r>
      <w:r w:rsidR="004771B9" w:rsidRPr="000E4C40">
        <w:rPr>
          <w:b/>
          <w:color w:val="000000"/>
          <w:kern w:val="0"/>
          <w:sz w:val="24"/>
        </w:rPr>
        <w:t>20</w:t>
      </w:r>
      <w:r w:rsidR="004771B9" w:rsidRPr="000E4C40">
        <w:rPr>
          <w:rFonts w:hAnsi="宋体"/>
          <w:b/>
          <w:color w:val="000000"/>
          <w:kern w:val="0"/>
          <w:sz w:val="24"/>
        </w:rPr>
        <w:t>％的说明</w:t>
      </w:r>
    </w:p>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t>本基金合同约定：“本基金进入全国银行间同业市场进行债券回购的资金余额不得超过基金资产净值的40%”。本报告期内，本基金未发生超标情况。</w:t>
      </w:r>
    </w:p>
    <w:p w:rsidP="00281564" w:rsidR="00902E3F" w:rsidRDefault="00902E3F" w:rsidRPr="000E4C40">
      <w:pPr>
        <w:spacing w:before="29" w:line="288" w:lineRule="auto"/>
        <w:rPr>
          <w:b/>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 </w:t>
      </w:r>
      <w:r w:rsidRPr="000E4C40">
        <w:rPr>
          <w:rFonts w:hAnsi="宋体"/>
          <w:b/>
          <w:color w:val="000000"/>
          <w:kern w:val="0"/>
          <w:sz w:val="24"/>
        </w:rPr>
        <w:t>基金投资组合平均剩余期限</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5.3.1 </w:t>
      </w:r>
      <w:r w:rsidRPr="000E4C40">
        <w:rPr>
          <w:rFonts w:hAnsi="宋体"/>
          <w:b/>
          <w:color w:val="000000"/>
          <w:kern w:val="0"/>
          <w:sz w:val="24"/>
        </w:rPr>
        <w:t>投资组合平均剩余期限基本情况</w:t>
      </w:r>
    </w:p>
    <w:tbl>
      <w:tblPr>
        <w:tblW w:type="dxa" w:w="8868"/>
        <w:jc w:val="center"/>
        <w:tblLayout w:type="fixed"/>
        <w:tblLook w:firstColumn="0" w:firstRow="0" w:lastColumn="0" w:lastRow="0" w:noHBand="0" w:noVBand="0" w:val="0000"/>
      </w:tblPr>
      <w:tblGrid>
        <w:gridCol w:w="4427"/>
        <w:gridCol w:w="4441"/>
      </w:tblGrid>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114C97" w:rsidRPr="000E4C40">
              <w:rPr>
                <w:color w:val="000000"/>
                <w:kern w:val="0"/>
                <w:sz w:val="24"/>
              </w:rPr>
              <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天数</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报告期末投资组合平均剩余期限</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r w:rsidR="002E040C" w:rsidRPr="000E4C40">
              <w:rPr>
                <w:color w:val="000000"/>
                <w:sz w:val="24"/>
              </w:rPr>
              <w:t/>
            </w:r>
            <w:r w:rsidRPr="000E4C40">
              <w:rPr>
                <w:color w:val="000000"/>
                <w:sz w:val="24"/>
              </w:rPr>
              <w:t/>
            </w:r>
            <w:r w:rsidRPr="000E4C40">
              <w:rPr>
                <w:sz w:val="24"/>
              </w:rPr>
              <w:t>112</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报告期内投资组合平均剩余期限最高值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color w:val="000000"/>
                <w:sz w:val="24"/>
              </w:rPr>
            </w:pPr>
            <w:r w:rsidRPr="000E4C40">
              <w:rPr>
                <w:color w:val="000000"/>
                <w:sz w:val="24"/>
              </w:rPr>
              <w:t/>
            </w:r>
            <w:r w:rsidR="002E040C" w:rsidRPr="000E4C40">
              <w:rPr>
                <w:color w:val="000000"/>
                <w:sz w:val="24"/>
              </w:rPr>
              <w:t/>
            </w:r>
            <w:r w:rsidRPr="000E4C40">
              <w:rPr>
                <w:color w:val="000000"/>
                <w:sz w:val="24"/>
              </w:rPr>
              <w:t>115</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报告期内投资组合平均剩余期限最低值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r w:rsidR="002E040C" w:rsidRPr="000E4C40">
              <w:rPr>
                <w:color w:val="000000"/>
                <w:sz w:val="24"/>
              </w:rPr>
              <w:t/>
            </w:r>
            <w:r w:rsidRPr="000E4C40">
              <w:rPr>
                <w:color w:val="000000"/>
                <w:sz w:val="24"/>
              </w:rPr>
              <w:t/>
            </w:r>
            <w:r w:rsidRPr="000E4C40">
              <w:rPr>
                <w:sz w:val="24"/>
              </w:rPr>
              <w:t>72</w:t>
            </w:r>
          </w:p>
        </w:tc>
      </w:tr>
    </w:tbl>
    <w:p w:rsidP="00281564" w:rsidR="007521F9" w:rsidRDefault="007521F9" w:rsidRPr="000E4C40">
      <w:pPr>
        <w:spacing w:before="29" w:line="288" w:lineRule="auto"/>
        <w:rPr>
          <w:b/>
          <w:sz w:val="24"/>
        </w:rPr>
      </w:pPr>
    </w:p>
    <w:p w:rsidP="00281564" w:rsidR="007277D1" w:rsidRDefault="000D6294" w:rsidRPr="000E4C40">
      <w:pPr>
        <w:spacing w:before="29" w:line="288" w:lineRule="auto"/>
        <w:rPr>
          <w:b/>
          <w:color w:val="000000"/>
          <w:kern w:val="0"/>
          <w:sz w:val="24"/>
        </w:rPr>
      </w:pPr>
      <w:r w:rsidRPr="000E4C40">
        <w:rPr>
          <w:b/>
          <w:color w:val="000000"/>
          <w:kern w:val="0"/>
          <w:sz w:val="24"/>
        </w:rPr>
        <w:t/>
      </w:r>
      <w:r w:rsidR="007277D1" w:rsidRPr="000E4C40">
        <w:rPr>
          <w:rFonts w:hAnsi="宋体"/>
          <w:b/>
          <w:color w:val="000000"/>
          <w:kern w:val="0"/>
          <w:sz w:val="24"/>
        </w:rPr>
        <w:t>报告期内投资组合平均剩余期限超过</w:t>
      </w:r>
      <w:r w:rsidR="00F046FB">
        <w:rPr>
          <w:b/>
          <w:color w:val="000000"/>
          <w:kern w:val="0"/>
          <w:sz w:val="24"/>
        </w:rPr>
        <w:t>12</w:t>
      </w:r>
      <w:r w:rsidR="007277D1" w:rsidRPr="000E4C40">
        <w:rPr>
          <w:b/>
          <w:color w:val="000000"/>
          <w:kern w:val="0"/>
          <w:sz w:val="24"/>
        </w:rPr>
        <w:t>0</w:t>
      </w:r>
      <w:r w:rsidR="007277D1" w:rsidRPr="000E4C40">
        <w:rPr>
          <w:rFonts w:hAnsi="宋体"/>
          <w:b/>
          <w:color w:val="000000"/>
          <w:kern w:val="0"/>
          <w:sz w:val="24"/>
        </w:rPr>
        <w:t>天情况说明</w:t>
      </w:r>
    </w:p>
    <w:p w:rsidP="00281564" w:rsidR="007521F9" w:rsidRDefault="000E5695">
      <w:pPr>
        <w:adjustRightInd w:val="0"/>
        <w:spacing w:before="29" w:line="288" w:lineRule="auto"/>
        <w:rPr>
          <w:kern w:val="0"/>
          <w:sz w:val="24"/>
        </w:rPr>
      </w:pPr>
      <w:r w:rsidRPr="000E5695">
        <w:rPr>
          <w:kern w:val="0"/>
          <w:sz w:val="24"/>
        </w:rPr>
        <w:lastRenderedPageBreak/>
        <w:t>本基金合同约定：“本基金投资组合的平均剩余期限在每个交易日均不得超过141天”。本报告期内，本基金未发生超标情况。</w:t>
      </w:r>
    </w:p>
    <w:p w:rsidP="00281564" w:rsidR="000E5695" w:rsidRDefault="000E5695" w:rsidRPr="000E5695">
      <w:pPr>
        <w:adjustRightInd w:val="0"/>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5.3.2 </w:t>
      </w:r>
      <w:r w:rsidRPr="000E4C40">
        <w:rPr>
          <w:rFonts w:hAnsi="宋体"/>
          <w:b/>
          <w:color w:val="000000"/>
          <w:kern w:val="0"/>
          <w:sz w:val="24"/>
        </w:rPr>
        <w:t>报告期末投资组合平均剩余期限分布比例</w:t>
      </w:r>
    </w:p>
    <w:tbl>
      <w:tblPr>
        <w:tblW w:type="dxa" w:w="8868"/>
        <w:jc w:val="center"/>
        <w:tblLayout w:type="fixed"/>
        <w:tblLook w:firstColumn="0" w:firstRow="0" w:lastColumn="0" w:lastRow="0" w:noHBand="0" w:noVBand="0" w:val="0000"/>
      </w:tblPr>
      <w:tblGrid>
        <w:gridCol w:w="829"/>
        <w:gridCol w:w="3240"/>
        <w:gridCol w:w="2447"/>
        <w:gridCol w:w="2352"/>
      </w:tblGrid>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平均剩余期限</w:t>
            </w:r>
            <w:r w:rsidR="00114C97" w:rsidRPr="000E4C40">
              <w:rPr>
                <w:color w:val="000000"/>
                <w:kern w:val="0"/>
                <w:sz w:val="24"/>
              </w:rPr>
              <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各期限资产占基金资产净值的比例</w:t>
            </w:r>
            <w:r w:rsidR="00B071B2" w:rsidRPr="000E4C40">
              <w:rPr>
                <w:rFonts w:hAnsi="宋体"/>
                <w:color w:val="000000"/>
                <w:kern w:val="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各期限负债占基金资产净值的比例（％）</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天以内</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2.47</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11.22</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00672C2D" w:rsidRPr="000E4C40">
              <w:rPr>
                <w:rFonts w:hAnsi="宋体"/>
                <w:color w:val="000000"/>
                <w:sz w:val="24"/>
              </w:rPr>
              <w:t>天</w:t>
            </w:r>
            <w:r w:rsidR="00672C2D" w:rsidRPr="000E4C40">
              <w:rPr>
                <w:color w:val="000000"/>
                <w:sz w:val="24"/>
              </w:rPr>
              <w:t>(</w:t>
            </w:r>
            <w:r w:rsidRPr="000E4C40">
              <w:rPr>
                <w:rFonts w:hAnsi="宋体"/>
                <w:color w:val="000000"/>
                <w:sz w:val="24"/>
              </w:rPr>
              <w:t>含</w:t>
            </w:r>
            <w:r w:rsidR="00672C2D" w:rsidRPr="000E4C40">
              <w:rPr>
                <w:color w:val="000000"/>
                <w:sz w:val="24"/>
              </w:rPr>
              <w:t>)</w:t>
            </w:r>
            <w:r w:rsidRPr="000E4C40">
              <w:rPr>
                <w:color w:val="000000"/>
                <w:sz w:val="24"/>
              </w:rPr>
              <w:t>—60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24.87</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60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Pr="000E4C40">
              <w:rPr>
                <w:color w:val="000000"/>
                <w:sz w:val="24"/>
              </w:rPr>
              <w:t>—90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52.88</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w:t>
            </w:r>
            <w:r w:rsidRPr="000E4C40">
              <w:rPr>
                <w:rFonts w:hAnsi="宋体"/>
                <w:color w:val="000000"/>
                <w:sz w:val="24"/>
              </w:rPr>
              <w:lastRenderedPageBreak/>
              <w:t>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lastRenderedPageBreak/>
              <w:t>4</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90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0E5695">
              <w:rPr>
                <w:color w:val="000000"/>
                <w:sz w:val="24"/>
              </w:rPr>
              <w:t>—12</w:t>
            </w:r>
            <w:r w:rsidRPr="000E4C40">
              <w:rPr>
                <w:color w:val="000000"/>
                <w:sz w:val="24"/>
              </w:rPr>
              <w:t>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left"/>
              <w:rPr>
                <w:color w:val="000000"/>
                <w:sz w:val="24"/>
              </w:rPr>
            </w:pPr>
            <w:r>
              <w:rPr>
                <w:color w:val="000000"/>
                <w:sz w:val="24"/>
              </w:rPr>
              <w:t>12</w:t>
            </w:r>
            <w:r w:rsidR="007521F9" w:rsidRPr="000E4C40">
              <w:rPr>
                <w:color w:val="000000"/>
                <w:sz w:val="24"/>
              </w:rPr>
              <w:t>0</w:t>
            </w:r>
            <w:r w:rsidR="007521F9"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7521F9" w:rsidRPr="000E4C40">
              <w:rPr>
                <w:color w:val="000000"/>
                <w:sz w:val="24"/>
              </w:rPr>
              <w:t>—397</w:t>
            </w:r>
            <w:r w:rsidR="007521F9" w:rsidRPr="000E4C40">
              <w:rPr>
                <w:rFonts w:hAnsi="宋体"/>
                <w:color w:val="000000"/>
                <w:sz w:val="24"/>
              </w:rPr>
              <w:t>天</w:t>
            </w:r>
            <w:r w:rsidR="00F10508" w:rsidRPr="000E4C40">
              <w:rPr>
                <w:rFonts w:hAnsi="宋体"/>
                <w:color w:val="000000"/>
                <w:kern w:val="0"/>
                <w:sz w:val="24"/>
              </w:rPr>
              <w:t>（</w:t>
            </w:r>
            <w:r w:rsidR="00672C2D" w:rsidRPr="000E4C40">
              <w:rPr>
                <w:rFonts w:hAnsi="宋体"/>
                <w:color w:val="000000"/>
                <w:sz w:val="24"/>
              </w:rPr>
              <w:t>含</w:t>
            </w:r>
            <w:r w:rsidR="00F10508" w:rsidRPr="000E4C40">
              <w:rPr>
                <w:rFonts w:hAnsi="宋体"/>
                <w:color w:val="000000"/>
                <w:kern w:val="0"/>
                <w:sz w:val="24"/>
              </w:rPr>
              <w:t>）</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30.73</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672D25"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4C40">
            <w:pPr>
              <w:autoSpaceDE w:val="0"/>
              <w:autoSpaceDN w:val="0"/>
              <w:adjustRightInd w:val="0"/>
              <w:spacing w:before="29" w:line="288" w:lineRule="auto"/>
              <w:ind w:left="15"/>
              <w:jc w:val="center"/>
              <w:rPr>
                <w:color w:val="000000"/>
                <w:sz w:val="24"/>
              </w:rPr>
            </w:pPr>
            <w:r>
              <w:rPr>
                <w:rFonts w:hint="eastAsia"/>
                <w:color w:val="000000"/>
                <w:sz w:val="24"/>
              </w:rPr>
              <w:t>6</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4C40">
            <w:pPr>
              <w:autoSpaceDE w:val="0"/>
              <w:autoSpaceDN w:val="0"/>
              <w:adjustRightInd w:val="0"/>
              <w:spacing w:before="29" w:line="288" w:lineRule="auto"/>
              <w:ind w:left="15"/>
              <w:jc w:val="left"/>
              <w:rPr>
                <w:rFonts w:hAnsi="宋体"/>
                <w:color w:val="000000"/>
                <w:sz w:val="24"/>
              </w:rPr>
            </w:pPr>
            <w:r w:rsidRPr="00672D25">
              <w:rPr>
                <w:color w:val="000000"/>
                <w:sz w:val="24"/>
              </w:rPr>
              <w:t>合计</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5695">
            <w:pPr>
              <w:autoSpaceDE w:val="0"/>
              <w:autoSpaceDN w:val="0"/>
              <w:adjustRightInd w:val="0"/>
              <w:spacing w:before="29" w:line="288" w:lineRule="auto"/>
              <w:ind w:left="15"/>
              <w:jc w:val="right"/>
              <w:rPr>
                <w:color w:val="000000"/>
                <w:sz w:val="24"/>
              </w:rPr>
            </w:pPr>
            <w:r w:rsidRPr="000E4C40">
              <w:rPr>
                <w:color w:val="000000"/>
                <w:sz w:val="24"/>
              </w:rPr>
              <w:t>110.94</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5695">
            <w:pPr>
              <w:autoSpaceDE w:val="0"/>
              <w:autoSpaceDN w:val="0"/>
              <w:adjustRightInd w:val="0"/>
              <w:spacing w:before="29" w:line="288" w:lineRule="auto"/>
              <w:ind w:left="15"/>
              <w:jc w:val="right"/>
              <w:rPr>
                <w:color w:val="000000"/>
                <w:sz w:val="24"/>
              </w:rPr>
            </w:pPr>
            <w:r w:rsidRPr="000E4C40">
              <w:rPr>
                <w:color w:val="000000"/>
                <w:sz w:val="24"/>
              </w:rPr>
              <w:t>11.22</w:t>
            </w:r>
          </w:p>
        </w:tc>
      </w:tr>
    </w:tbl>
    <w:p w:rsidP="00281564" w:rsidR="00F046FB" w:rsidRDefault="00F046FB">
      <w:pPr>
        <w:spacing w:before="29" w:line="288" w:lineRule="auto"/>
        <w:rPr>
          <w:color w:val="000000"/>
          <w:kern w:val="0"/>
          <w:sz w:val="24"/>
        </w:rPr>
      </w:pPr>
    </w:p>
    <w:p w:rsidP="00F046FB" w:rsidR="00F046FB" w:rsidRDefault="00F046FB" w:rsidRPr="00F046FB">
      <w:pPr>
        <w:spacing w:line="360" w:lineRule="auto"/>
        <w:rPr>
          <w:rFonts w:ascii="宋体" w:cs="Arial" w:hAnsi="宋体"/>
          <w:b/>
          <w:bCs/>
          <w:color w:val="000000"/>
          <w:kern w:val="0"/>
          <w:sz w:val="24"/>
        </w:rPr>
      </w:pPr>
      <w:r w:rsidRPr="00F046FB">
        <w:rPr>
          <w:rFonts w:ascii="宋体" w:cs="Arial" w:hAnsi="宋体" w:hint="eastAsia"/>
          <w:b/>
          <w:bCs/>
          <w:color w:val="000000"/>
          <w:kern w:val="0"/>
          <w:sz w:val="24"/>
        </w:rPr>
        <w:t>5.4</w:t>
      </w:r>
      <w:r w:rsidRPr="00F046FB">
        <w:rPr>
          <w:rFonts w:ascii="宋体" w:hAnsi="宋体" w:hint="eastAsia"/>
          <w:b/>
          <w:bCs/>
          <w:color w:val="000000"/>
          <w:sz w:val="24"/>
        </w:rPr>
        <w:t>报告期内投资组合平均剩余存续期超过240天情况说明</w:t>
      </w:r>
    </w:p>
    <w:p w:rsidP="00F046FB" w:rsidR="00F046FB" w:rsidRDefault="00F046FB" w:rsidRPr="00F046FB">
      <w:pPr>
        <w:autoSpaceDE w:val="0"/>
        <w:autoSpaceDN w:val="0"/>
        <w:adjustRightInd w:val="0"/>
        <w:spacing w:line="360" w:lineRule="auto"/>
        <w:jc w:val="left"/>
        <w:rPr>
          <w:rFonts w:ascii="宋体" w:hAnsi="宋体"/>
          <w:color w:val="000000"/>
          <w:sz w:val="24"/>
        </w:rPr>
      </w:pPr>
      <w:r w:rsidRPr="00F046FB">
        <w:rPr>
          <w:rFonts w:ascii="宋体" w:hAnsi="宋体" w:hint="eastAsia"/>
          <w:color w:val="000000"/>
          <w:sz w:val="24"/>
        </w:rPr>
        <w:t>本基金本报告期内投资组合平均剩余存续期未超过240天。</w:t>
      </w:r>
    </w:p>
    <w:p w:rsidP="00281564" w:rsidR="00F046FB" w:rsidRDefault="00F046FB" w:rsidRPr="00F046FB">
      <w:pPr>
        <w:spacing w:before="29" w:line="288" w:lineRule="auto"/>
        <w:rPr>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5.5</w:t>
      </w:r>
      <w:r w:rsidR="00902E3F" w:rsidRPr="000E4C40">
        <w:rPr>
          <w:rFonts w:hAnsi="宋体"/>
          <w:b/>
          <w:color w:val="000000"/>
          <w:kern w:val="0"/>
          <w:sz w:val="24"/>
        </w:rPr>
        <w:t>报告期末按债券品种分类的债券投资组合</w:t>
      </w:r>
    </w:p>
    <w:p w:rsidP="00FE3EEE" w:rsidR="00FE3EEE" w:rsidRDefault="00FE3EEE" w:rsidRPr="00FE3EEE">
      <w:pPr>
        <w:spacing w:before="29" w:line="288" w:lineRule="auto"/>
        <w:jc w:val="right"/>
        <w:rPr>
          <w:color w:val="000000"/>
          <w:kern w:val="0"/>
          <w:sz w:val="24"/>
        </w:rPr>
      </w:pPr>
      <w:r w:rsidRPr="00FE3EEE">
        <w:rPr>
          <w:rFonts w:hint="eastAsia"/>
          <w:color w:val="000000"/>
          <w:kern w:val="0"/>
          <w:sz w:val="24"/>
        </w:rPr>
        <w:t/>
      </w:r>
      <w:r w:rsidRPr="00FE3EEE">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786"/>
        <w:gridCol w:w="3096"/>
        <w:gridCol w:w="3097"/>
        <w:gridCol w:w="1889"/>
      </w:tblGrid>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序号</w:t>
            </w:r>
          </w:p>
        </w:tc>
        <w:tc>
          <w:tcPr>
            <w:tcW w:type="dxa" w:w="309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债券品种</w:t>
            </w:r>
            <w:r w:rsidR="006214E4" w:rsidRPr="000E4C40">
              <w:rPr>
                <w:color w:val="000000"/>
                <w:sz w:val="24"/>
              </w:rPr>
              <w:t/>
            </w:r>
          </w:p>
        </w:tc>
        <w:tc>
          <w:tcPr>
            <w:tcW w:type="dxa" w:w="3097"/>
            <w:vAlign w:val="center"/>
          </w:tcPr>
          <w:p w:rsidP="00281564" w:rsidR="007521F9" w:rsidRDefault="00FE3EEE" w:rsidRPr="000E4C40">
            <w:pPr>
              <w:spacing w:before="29" w:line="288" w:lineRule="auto"/>
              <w:ind w:left="17"/>
              <w:jc w:val="center"/>
              <w:rPr>
                <w:color w:val="000000"/>
                <w:sz w:val="24"/>
              </w:rPr>
            </w:pPr>
            <w:r>
              <w:rPr>
                <w:rFonts w:hAnsi="宋体"/>
                <w:sz w:val="24"/>
              </w:rPr>
              <w:t>摊余成本</w:t>
            </w:r>
          </w:p>
        </w:tc>
        <w:tc>
          <w:tcPr>
            <w:tcW w:type="dxa" w:w="1889"/>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占基金资产净值比例</w:t>
            </w:r>
            <w:r w:rsidR="005F3F29" w:rsidRPr="000E4C40">
              <w:rPr>
                <w:rFonts w:hAnsi="宋体"/>
                <w:color w:val="000000"/>
                <w:kern w:val="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1</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国家债券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19,920,218.69</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0.14</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2</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央行票据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3</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金融债券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790,933,262.68</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5.43</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其中：政策性金融债</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790,933,262.68</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5.43</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lastRenderedPageBreak/>
              <w:t>4</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5</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企业短期融资</w:t>
            </w:r>
            <w:r w:rsidR="00BC0205" w:rsidRPr="000E4C40">
              <w:rPr>
                <w:rFonts w:hAnsi="宋体"/>
                <w:color w:val="000000"/>
                <w:sz w:val="24"/>
              </w:rPr>
              <w:t>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869,865,717.73</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5.97</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6</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中期票据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00D30BD3" w:rsidRPr="000E4C40">
              <w:rPr>
                <w:color w:val="000000"/>
                <w:sz w:val="24"/>
              </w:rPr>
              <w:t/>
            </w:r>
            <w:r w:rsidRPr="000E4C40">
              <w:rPr>
                <w:color w:val="000000"/>
                <w:sz w:val="24"/>
              </w:rPr>
              <w:t>-</w:t>
            </w:r>
          </w:p>
        </w:tc>
      </w:tr>
      <w:tr w:rsidR="00F41AA6" w:rsidRPr="000E4C40" w:rsidTr="00FE3EEE">
        <w:trPr>
          <w:jc w:val="center"/>
        </w:trPr>
        <w:tc>
          <w:tcPr>
            <w:tcW w:type="dxa" w:w="786"/>
            <w:vAlign w:val="center"/>
          </w:tcPr>
          <w:p w:rsidP="00FE3EEE" w:rsidR="00F41AA6" w:rsidRDefault="00F41AA6" w:rsidRPr="00432A2C">
            <w:pPr>
              <w:spacing w:before="29" w:line="288" w:lineRule="auto"/>
              <w:ind w:left="17"/>
              <w:jc w:val="center"/>
              <w:rPr>
                <w:color w:val="000000"/>
                <w:sz w:val="24"/>
              </w:rPr>
            </w:pPr>
            <w:r w:rsidRPr="00432A2C">
              <w:rPr>
                <w:rFonts w:hint="eastAsia"/>
                <w:color w:val="000000"/>
                <w:sz w:val="24"/>
              </w:rPr>
              <w:t>7</w:t>
            </w:r>
          </w:p>
        </w:tc>
        <w:tc>
          <w:tcPr>
            <w:tcW w:type="dxa" w:w="3096"/>
            <w:vAlign w:val="center"/>
          </w:tcPr>
          <w:p w:rsidP="00FE3EEE" w:rsidR="00F41AA6" w:rsidRDefault="00F41AA6" w:rsidRPr="00432A2C">
            <w:pPr>
              <w:spacing w:before="29" w:line="288" w:lineRule="auto"/>
              <w:ind w:left="17"/>
              <w:jc w:val="left"/>
              <w:rPr>
                <w:color w:val="000000"/>
                <w:sz w:val="24"/>
              </w:rPr>
            </w:pPr>
            <w:r w:rsidRPr="00432A2C">
              <w:rPr>
                <w:rFonts w:hint="eastAsia"/>
                <w:color w:val="000000"/>
                <w:sz w:val="24"/>
              </w:rPr>
              <w:t>同业存单</w:t>
            </w:r>
          </w:p>
        </w:tc>
        <w:tc>
          <w:tcPr>
            <w:tcW w:type="dxa" w:w="3097"/>
            <w:vAlign w:val="center"/>
          </w:tcPr>
          <w:p w:rsidP="00FE3EEE" w:rsidR="00F41AA6" w:rsidRDefault="00F41AA6" w:rsidRPr="00432A2C">
            <w:pPr>
              <w:spacing w:before="29" w:line="288" w:lineRule="auto"/>
              <w:ind w:left="17"/>
              <w:jc w:val="right"/>
              <w:rPr>
                <w:color w:val="000000"/>
                <w:sz w:val="24"/>
              </w:rPr>
            </w:pPr>
            <w:r w:rsidRPr="00432A2C">
              <w:rPr>
                <w:rFonts w:hint="eastAsia"/>
                <w:color w:val="000000"/>
                <w:sz w:val="24"/>
              </w:rPr>
              <w:t/>
            </w:r>
            <w:r w:rsidRPr="00432A2C">
              <w:rPr>
                <w:color w:val="000000"/>
                <w:sz w:val="24"/>
              </w:rPr>
              <w:t/>
            </w:r>
            <w:r w:rsidRPr="00432A2C">
              <w:rPr>
                <w:rFonts w:hint="eastAsia"/>
                <w:color w:val="000000"/>
                <w:sz w:val="24"/>
              </w:rPr>
              <w:t>6,802,390,451.75</w:t>
            </w:r>
          </w:p>
        </w:tc>
        <w:tc>
          <w:tcPr>
            <w:tcW w:type="dxa" w:w="1889"/>
            <w:vAlign w:val="center"/>
          </w:tcPr>
          <w:p w:rsidP="00FE3EEE" w:rsidR="00F41AA6" w:rsidRDefault="00F41AA6" w:rsidRPr="00432A2C">
            <w:pPr>
              <w:spacing w:before="29" w:line="288" w:lineRule="auto"/>
              <w:ind w:left="17"/>
              <w:jc w:val="right"/>
              <w:rPr>
                <w:color w:val="000000"/>
                <w:sz w:val="24"/>
              </w:rPr>
            </w:pPr>
            <w:r w:rsidRPr="00432A2C">
              <w:rPr>
                <w:rFonts w:hint="eastAsia"/>
                <w:color w:val="000000"/>
                <w:sz w:val="24"/>
              </w:rPr>
              <w:t/>
            </w:r>
            <w:r w:rsidRPr="00432A2C">
              <w:rPr>
                <w:color w:val="000000"/>
                <w:sz w:val="24"/>
              </w:rPr>
              <w:t/>
            </w:r>
            <w:r w:rsidRPr="00432A2C">
              <w:rPr>
                <w:rFonts w:hint="eastAsia"/>
                <w:color w:val="000000"/>
                <w:sz w:val="24"/>
              </w:rPr>
              <w:t>46.67</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00855BA5">
              <w:rPr>
                <w:rFonts w:hint="eastAsia"/>
                <w:color w:val="000000"/>
                <w:sz w:val="24"/>
              </w:rPr>
              <w:t/>
            </w:r>
            <w:r w:rsidRPr="000E4C40">
              <w:rPr>
                <w:color w:val="000000"/>
                <w:sz w:val="24"/>
              </w:rPr>
              <w:t>8</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其他</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Pr="000E4C40">
              <w:rPr>
                <w:color w:val="000000"/>
                <w:sz w:val="24"/>
              </w:rPr>
              <w:lastRenderedPageBreak/>
              <w:t/>
            </w:r>
            <w:r w:rsidR="00855BA5">
              <w:rPr>
                <w:rFonts w:hint="eastAsia"/>
                <w:color w:val="000000"/>
                <w:sz w:val="24"/>
              </w:rPr>
              <w:t/>
            </w:r>
            <w:r w:rsidRPr="000E4C40">
              <w:rPr>
                <w:color w:val="000000"/>
                <w:sz w:val="24"/>
              </w:rPr>
              <w:t>9</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lastRenderedPageBreak/>
              <w:t>合计</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8,483,109,650.85</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lastRenderedPageBreak/>
              <w:t/>
            </w:r>
            <w:r w:rsidRPr="000E4C40">
              <w:rPr>
                <w:color w:val="000000"/>
                <w:sz w:val="24"/>
              </w:rPr>
              <w:lastRenderedPageBreak/>
              <w:t>58.20</w:t>
            </w:r>
          </w:p>
        </w:tc>
      </w:tr>
      <w:tr w:rsidR="00813897" w:rsidRPr="000E4C40" w:rsidTr="00F41AA6">
        <w:trPr>
          <w:jc w:val="center"/>
        </w:trPr>
        <w:tc>
          <w:tcPr>
            <w:tcW w:type="dxa" w:w="786"/>
            <w:vAlign w:val="center"/>
          </w:tcPr>
          <w:p w:rsidP="00855BA5" w:rsidR="00813897" w:rsidRDefault="00813897" w:rsidRPr="000E4C40">
            <w:pPr>
              <w:spacing w:before="29" w:line="288" w:lineRule="auto"/>
              <w:ind w:left="17"/>
              <w:jc w:val="center"/>
              <w:rPr>
                <w:color w:val="000000"/>
                <w:sz w:val="24"/>
              </w:rPr>
            </w:pPr>
            <w:r w:rsidRPr="000E4C40">
              <w:rPr>
                <w:color w:val="000000"/>
                <w:sz w:val="24"/>
              </w:rPr>
              <w:lastRenderedPageBreak/>
              <w:t/>
            </w:r>
            <w:r w:rsidR="00855BA5">
              <w:rPr>
                <w:rFonts w:hint="eastAsia"/>
                <w:color w:val="000000"/>
                <w:sz w:val="24"/>
              </w:rPr>
              <w:t/>
            </w:r>
            <w:r w:rsidRPr="000E4C40">
              <w:rPr>
                <w:color w:val="000000"/>
                <w:sz w:val="24"/>
              </w:rPr>
              <w:t>10</w:t>
            </w:r>
          </w:p>
        </w:tc>
        <w:tc>
          <w:tcPr>
            <w:tcW w:type="dxa" w:w="3096"/>
            <w:vAlign w:val="center"/>
          </w:tcPr>
          <w:p w:rsidP="00281564" w:rsidR="00813897" w:rsidRDefault="00813897" w:rsidRPr="000E4C40">
            <w:pPr>
              <w:spacing w:before="29" w:line="288" w:lineRule="auto"/>
              <w:ind w:left="17"/>
              <w:jc w:val="left"/>
              <w:rPr>
                <w:color w:val="000000"/>
                <w:sz w:val="24"/>
              </w:rPr>
            </w:pPr>
            <w:r w:rsidRPr="000E4C40">
              <w:rPr>
                <w:rFonts w:hAnsi="宋体"/>
                <w:color w:val="000000"/>
                <w:sz w:val="24"/>
              </w:rPr>
              <w:t>剩余存续期超过</w:t>
            </w:r>
            <w:r w:rsidRPr="000E4C40">
              <w:rPr>
                <w:color w:val="000000"/>
                <w:sz w:val="24"/>
              </w:rPr>
              <w:t>397</w:t>
            </w:r>
            <w:r w:rsidRPr="000E4C40">
              <w:rPr>
                <w:rFonts w:hAnsi="宋体"/>
                <w:color w:val="000000"/>
                <w:sz w:val="24"/>
              </w:rPr>
              <w:t>天的浮动利率债券</w:t>
            </w:r>
          </w:p>
        </w:tc>
        <w:tc>
          <w:tcPr>
            <w:tcW w:type="dxa" w:w="3097"/>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r>
    </w:tbl>
    <w:p w:rsidP="00281564" w:rsidR="007521F9" w:rsidRDefault="007521F9" w:rsidRPr="000E4C40">
      <w:pPr>
        <w:spacing w:before="29" w:line="288" w:lineRule="auto"/>
        <w:rPr>
          <w:b/>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5.6</w:t>
      </w:r>
      <w:r w:rsidR="00902E3F" w:rsidRPr="000E4C40">
        <w:rPr>
          <w:rFonts w:hAnsi="宋体"/>
          <w:b/>
          <w:color w:val="000000"/>
          <w:kern w:val="0"/>
          <w:sz w:val="24"/>
        </w:rPr>
        <w:t>报告期末按摊余成本占基金资产净值比例大小排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的前十名债券投资明细</w:t>
      </w:r>
    </w:p>
    <w:p w:rsidP="00E5775C" w:rsidR="00E5775C" w:rsidRDefault="00E5775C" w:rsidRPr="00E5775C">
      <w:pPr>
        <w:spacing w:before="29" w:line="288" w:lineRule="auto"/>
        <w:jc w:val="right"/>
        <w:rPr>
          <w:color w:val="000000"/>
          <w:kern w:val="0"/>
          <w:sz w:val="24"/>
        </w:rPr>
      </w:pPr>
      <w:r w:rsidRPr="00E5775C">
        <w:rPr>
          <w:rFonts w:hint="eastAsia"/>
          <w:color w:val="000000"/>
          <w:kern w:val="0"/>
          <w:sz w:val="24"/>
        </w:rPr>
        <w:t/>
      </w:r>
      <w:r w:rsidRPr="00E5775C">
        <w:rPr>
          <w:rFonts w:hint="eastAsia"/>
          <w:color w:val="000000"/>
          <w:kern w:val="0"/>
          <w:sz w:val="24"/>
        </w:rPr>
        <w:t>金额单位：人民币元</w:t>
      </w:r>
    </w:p>
    <w:tbl>
      <w:tblPr>
        <w:tblStyle w:val="aa"/>
        <w:tblW w:type="dxa" w:w="9302"/>
        <w:jc w:val="center"/>
        <w:tblCellMar>
          <w:top w:type="dxa" w:w="57"/>
          <w:bottom w:type="dxa" w:w="57"/>
        </w:tblCellMar>
        <w:tblLook w:firstColumn="1" w:firstRow="1" w:lastColumn="0" w:lastRow="0" w:noHBand="0" w:noVBand="1" w:val="04A0"/>
      </w:tblPr>
      <w:tblGrid>
        <w:gridCol w:w="1240"/>
        <w:gridCol w:w="1381"/>
        <w:gridCol w:w="1353"/>
        <w:gridCol w:w="1713"/>
        <w:gridCol w:w="1405"/>
        <w:gridCol w:w="2210"/>
      </w:tblGrid>
      <w:tr w:rsidR="00FC3236" w:rsidRPr="000E4C40" w:rsidTr="00FC3236">
        <w:trPr>
          <w:jc w:val="center"/>
        </w:trPr>
        <w:tc>
          <w:tcPr>
            <w:tcW w:type="dxa" w:w="1183"/>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398"/>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债券代码</w:t>
            </w:r>
          </w:p>
        </w:tc>
        <w:tc>
          <w:tcPr>
            <w:tcW w:type="dxa" w:w="1355"/>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债券名称</w:t>
            </w:r>
          </w:p>
        </w:tc>
        <w:tc>
          <w:tcPr>
            <w:tcW w:type="dxa" w:w="1745"/>
            <w:vAlign w:val="center"/>
          </w:tcPr>
          <w:p w:rsidP="00FC3236"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债券数量</w:t>
            </w:r>
            <w:r w:rsidR="00FC3236">
              <w:rPr>
                <w:rFonts w:hint="eastAsia"/>
                <w:color w:val="000000"/>
                <w:kern w:val="0"/>
                <w:sz w:val="24"/>
              </w:rPr>
              <w:t>(</w:t>
            </w:r>
            <w:r w:rsidR="00FC3236">
              <w:rPr>
                <w:rFonts w:hint="eastAsia"/>
                <w:color w:val="000000"/>
                <w:kern w:val="0"/>
                <w:sz w:val="24"/>
              </w:rPr>
              <w:t>张</w:t>
            </w:r>
            <w:r w:rsidR="00FC3236">
              <w:rPr>
                <w:rFonts w:hint="eastAsia"/>
                <w:color w:val="000000"/>
                <w:kern w:val="0"/>
                <w:sz w:val="24"/>
              </w:rPr>
              <w:t>)</w:t>
            </w:r>
          </w:p>
        </w:tc>
        <w:tc>
          <w:tcPr>
            <w:tcW w:type="dxa" w:w="1435"/>
            <w:vAlign w:val="center"/>
          </w:tcPr>
          <w:p w:rsidP="00281564" w:rsidR="00343648" w:rsidRDefault="00501830" w:rsidRPr="000E4C40">
            <w:pPr>
              <w:autoSpaceDE w:val="0"/>
              <w:autoSpaceDN w:val="0"/>
              <w:adjustRightInd w:val="0"/>
              <w:spacing w:before="29" w:line="288" w:lineRule="auto"/>
              <w:ind w:left="15"/>
              <w:jc w:val="center"/>
              <w:rPr>
                <w:color w:val="000000"/>
                <w:kern w:val="0"/>
                <w:sz w:val="24"/>
              </w:rPr>
            </w:pPr>
            <w:r>
              <w:rPr>
                <w:rFonts w:hAnsi="宋体"/>
                <w:color w:val="000000"/>
                <w:kern w:val="0"/>
                <w:sz w:val="24"/>
              </w:rPr>
              <w:t>摊余成本</w:t>
            </w:r>
          </w:p>
        </w:tc>
        <w:tc>
          <w:tcPr>
            <w:tcW w:type="dxa" w:w="2186"/>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tc>
          <w:tcPr>
            <w:vAlign w:val="center"/>
          </w:tcPr>
          <w:p>
            <w:pPr>
              <w:jc w:val="center"/>
            </w:pPr>
            <w:r>
              <w:rPr>
                <w:color w:val="000000"/>
                <w:sz w:val="24"/>
              </w:rPr>
              <w:t>1</w:t>
            </w:r>
          </w:p>
        </w:tc>
        <w:tc>
          <w:tcPr>
            <w:vAlign w:val="center"/>
          </w:tcPr>
          <w:p>
            <w:pPr>
              <w:jc w:val="center"/>
            </w:pPr>
            <w:r>
              <w:rPr>
                <w:color w:val="000000"/>
                <w:sz w:val="24"/>
              </w:rPr>
              <w:t>180410</w:t>
            </w:r>
          </w:p>
        </w:tc>
        <w:tc>
          <w:tcPr>
            <w:vAlign w:val="center"/>
          </w:tcPr>
          <w:p>
            <w:pPr>
              <w:jc w:val="center"/>
            </w:pPr>
            <w:r>
              <w:rPr>
                <w:color w:val="000000"/>
                <w:sz w:val="24"/>
              </w:rPr>
              <w:t>18农发10</w:t>
            </w:r>
          </w:p>
        </w:tc>
        <w:tc>
          <w:tcPr>
            <w:vAlign w:val="center"/>
          </w:tcPr>
          <w:p>
            <w:pPr>
              <w:jc w:val="right"/>
            </w:pPr>
            <w:r>
              <w:rPr>
                <w:color w:val="000000"/>
                <w:sz w:val="24"/>
              </w:rPr>
              <w:t>2,700,000</w:t>
            </w:r>
          </w:p>
        </w:tc>
        <w:tc>
          <w:tcPr>
            <w:vAlign w:val="center"/>
          </w:tcPr>
          <w:p>
            <w:pPr>
              <w:jc w:val="right"/>
            </w:pPr>
            <w:r>
              <w:rPr>
                <w:color w:val="000000"/>
                <w:sz w:val="24"/>
              </w:rPr>
              <w:t>270,055,415.56</w:t>
            </w:r>
          </w:p>
        </w:tc>
        <w:tc>
          <w:tcPr>
            <w:vAlign w:val="center"/>
          </w:tcPr>
          <w:p>
            <w:pPr>
              <w:jc w:val="right"/>
            </w:pPr>
            <w:r>
              <w:rPr>
                <w:color w:val="000000"/>
                <w:sz w:val="24"/>
              </w:rPr>
              <w:t>1.85</w:t>
            </w:r>
          </w:p>
        </w:tc>
      </w:tr>
      <w:tr>
        <w:tc>
          <w:tcPr>
            <w:vAlign w:val="center"/>
          </w:tcPr>
          <w:p>
            <w:pPr>
              <w:jc w:val="center"/>
            </w:pPr>
            <w:r>
              <w:rPr>
                <w:color w:val="000000"/>
                <w:sz w:val="24"/>
              </w:rPr>
              <w:t>2</w:t>
            </w:r>
          </w:p>
        </w:tc>
        <w:tc>
          <w:tcPr>
            <w:vAlign w:val="center"/>
          </w:tcPr>
          <w:p>
            <w:pPr>
              <w:jc w:val="center"/>
            </w:pPr>
            <w:r>
              <w:rPr>
                <w:color w:val="000000"/>
                <w:sz w:val="24"/>
              </w:rPr>
              <w:t>111909143</w:t>
            </w:r>
          </w:p>
        </w:tc>
        <w:tc>
          <w:tcPr>
            <w:vAlign w:val="center"/>
          </w:tcPr>
          <w:p>
            <w:pPr>
              <w:jc w:val="center"/>
            </w:pPr>
            <w:r>
              <w:rPr>
                <w:color w:val="000000"/>
                <w:sz w:val="24"/>
              </w:rPr>
              <w:t>19浦发银行CD143</w:t>
            </w:r>
          </w:p>
        </w:tc>
        <w:tc>
          <w:tcPr>
            <w:vAlign w:val="center"/>
          </w:tcPr>
          <w:p>
            <w:pPr>
              <w:jc w:val="right"/>
            </w:pPr>
            <w:r>
              <w:rPr>
                <w:color w:val="000000"/>
                <w:sz w:val="24"/>
              </w:rPr>
              <w:t>2,500,000</w:t>
            </w:r>
          </w:p>
        </w:tc>
        <w:tc>
          <w:tcPr>
            <w:vAlign w:val="center"/>
          </w:tcPr>
          <w:p>
            <w:pPr>
              <w:jc w:val="right"/>
            </w:pPr>
            <w:r>
              <w:rPr>
                <w:color w:val="000000"/>
                <w:sz w:val="24"/>
              </w:rPr>
              <w:t>245,177,684.52</w:t>
            </w:r>
          </w:p>
        </w:tc>
        <w:tc>
          <w:tcPr>
            <w:vAlign w:val="center"/>
          </w:tcPr>
          <w:p>
            <w:pPr>
              <w:jc w:val="right"/>
            </w:pPr>
            <w:r>
              <w:rPr>
                <w:color w:val="000000"/>
                <w:sz w:val="24"/>
              </w:rPr>
              <w:t>1.68</w:t>
            </w:r>
          </w:p>
        </w:tc>
      </w:tr>
      <w:tr>
        <w:tc>
          <w:tcPr>
            <w:vAlign w:val="center"/>
          </w:tcPr>
          <w:p>
            <w:pPr>
              <w:jc w:val="center"/>
            </w:pPr>
            <w:r>
              <w:rPr>
                <w:color w:val="000000"/>
                <w:sz w:val="24"/>
              </w:rPr>
              <w:t>3</w:t>
            </w:r>
          </w:p>
        </w:tc>
        <w:tc>
          <w:tcPr>
            <w:vAlign w:val="center"/>
          </w:tcPr>
          <w:p>
            <w:pPr>
              <w:jc w:val="center"/>
            </w:pPr>
            <w:r>
              <w:rPr>
                <w:color w:val="000000"/>
                <w:sz w:val="24"/>
              </w:rPr>
              <w:t>111908128</w:t>
            </w:r>
          </w:p>
        </w:tc>
        <w:tc>
          <w:tcPr>
            <w:vAlign w:val="center"/>
          </w:tcPr>
          <w:p>
            <w:pPr>
              <w:jc w:val="center"/>
            </w:pPr>
            <w:r>
              <w:rPr>
                <w:color w:val="000000"/>
                <w:sz w:val="24"/>
              </w:rPr>
              <w:t>19中信银行CD128</w:t>
            </w:r>
          </w:p>
        </w:tc>
        <w:tc>
          <w:tcPr>
            <w:vAlign w:val="center"/>
          </w:tcPr>
          <w:p>
            <w:pPr>
              <w:jc w:val="right"/>
            </w:pPr>
            <w:r>
              <w:rPr>
                <w:color w:val="000000"/>
                <w:sz w:val="24"/>
              </w:rPr>
              <w:t>2,500,000</w:t>
            </w:r>
          </w:p>
        </w:tc>
        <w:tc>
          <w:tcPr>
            <w:vAlign w:val="center"/>
          </w:tcPr>
          <w:p>
            <w:pPr>
              <w:jc w:val="right"/>
            </w:pPr>
            <w:r>
              <w:rPr>
                <w:color w:val="000000"/>
                <w:sz w:val="24"/>
              </w:rPr>
              <w:t>244,441,839.27</w:t>
            </w:r>
          </w:p>
        </w:tc>
        <w:tc>
          <w:tcPr>
            <w:vAlign w:val="center"/>
          </w:tcPr>
          <w:p>
            <w:pPr>
              <w:jc w:val="right"/>
            </w:pPr>
            <w:r>
              <w:rPr>
                <w:color w:val="000000"/>
                <w:sz w:val="24"/>
              </w:rPr>
              <w:t>1.68</w:t>
            </w:r>
          </w:p>
        </w:tc>
      </w:tr>
      <w:tr>
        <w:tc>
          <w:tcPr>
            <w:vAlign w:val="center"/>
          </w:tcPr>
          <w:p>
            <w:pPr>
              <w:jc w:val="center"/>
            </w:pPr>
            <w:r>
              <w:rPr>
                <w:color w:val="000000"/>
                <w:sz w:val="24"/>
              </w:rPr>
              <w:t>4</w:t>
            </w:r>
          </w:p>
        </w:tc>
        <w:tc>
          <w:tcPr>
            <w:vAlign w:val="center"/>
          </w:tcPr>
          <w:p>
            <w:pPr>
              <w:jc w:val="center"/>
            </w:pPr>
            <w:r>
              <w:rPr>
                <w:color w:val="000000"/>
                <w:sz w:val="24"/>
              </w:rPr>
              <w:t>111909199</w:t>
            </w:r>
          </w:p>
        </w:tc>
        <w:tc>
          <w:tcPr>
            <w:vAlign w:val="center"/>
          </w:tcPr>
          <w:p>
            <w:pPr>
              <w:jc w:val="center"/>
            </w:pPr>
            <w:r>
              <w:rPr>
                <w:color w:val="000000"/>
                <w:sz w:val="24"/>
              </w:rPr>
              <w:t>19浦发银行CD199</w:t>
            </w:r>
          </w:p>
        </w:tc>
        <w:tc>
          <w:tcPr>
            <w:vAlign w:val="center"/>
          </w:tcPr>
          <w:p>
            <w:pPr>
              <w:jc w:val="right"/>
            </w:pPr>
            <w:r>
              <w:rPr>
                <w:color w:val="000000"/>
                <w:sz w:val="24"/>
              </w:rPr>
              <w:t>2,500,000</w:t>
            </w:r>
          </w:p>
        </w:tc>
        <w:tc>
          <w:tcPr>
            <w:vAlign w:val="center"/>
          </w:tcPr>
          <w:p>
            <w:pPr>
              <w:jc w:val="right"/>
            </w:pPr>
            <w:r>
              <w:rPr>
                <w:color w:val="000000"/>
                <w:sz w:val="24"/>
              </w:rPr>
              <w:t>244,441,839.27</w:t>
            </w:r>
          </w:p>
        </w:tc>
        <w:tc>
          <w:tcPr>
            <w:vAlign w:val="center"/>
          </w:tcPr>
          <w:p>
            <w:pPr>
              <w:jc w:val="right"/>
            </w:pPr>
            <w:r>
              <w:rPr>
                <w:color w:val="000000"/>
                <w:sz w:val="24"/>
              </w:rPr>
              <w:t>1.68</w:t>
            </w:r>
          </w:p>
        </w:tc>
      </w:tr>
      <w:tr>
        <w:tc>
          <w:tcPr>
            <w:vAlign w:val="center"/>
          </w:tcPr>
          <w:p>
            <w:pPr>
              <w:jc w:val="center"/>
            </w:pPr>
            <w:r>
              <w:rPr>
                <w:color w:val="000000"/>
                <w:sz w:val="24"/>
              </w:rPr>
              <w:t>5</w:t>
            </w:r>
          </w:p>
        </w:tc>
        <w:tc>
          <w:tcPr>
            <w:vAlign w:val="center"/>
          </w:tcPr>
          <w:p>
            <w:pPr>
              <w:jc w:val="center"/>
            </w:pPr>
            <w:r>
              <w:rPr>
                <w:color w:val="000000"/>
                <w:sz w:val="24"/>
              </w:rPr>
              <w:t>111915231</w:t>
            </w:r>
          </w:p>
        </w:tc>
        <w:tc>
          <w:tcPr>
            <w:vAlign w:val="center"/>
          </w:tcPr>
          <w:p>
            <w:pPr>
              <w:jc w:val="center"/>
            </w:pPr>
            <w:r>
              <w:rPr>
                <w:color w:val="000000"/>
                <w:sz w:val="24"/>
              </w:rPr>
              <w:t>19民生银行CD231</w:t>
            </w:r>
          </w:p>
        </w:tc>
        <w:tc>
          <w:tcPr>
            <w:vAlign w:val="center"/>
          </w:tcPr>
          <w:p>
            <w:pPr>
              <w:jc w:val="right"/>
            </w:pPr>
            <w:r>
              <w:rPr>
                <w:color w:val="000000"/>
                <w:sz w:val="24"/>
              </w:rPr>
              <w:t>2,500,000</w:t>
            </w:r>
          </w:p>
        </w:tc>
        <w:tc>
          <w:tcPr>
            <w:vAlign w:val="center"/>
          </w:tcPr>
          <w:p>
            <w:pPr>
              <w:jc w:val="right"/>
            </w:pPr>
            <w:r>
              <w:rPr>
                <w:color w:val="000000"/>
                <w:sz w:val="24"/>
              </w:rPr>
              <w:t>244,434,812.93</w:t>
            </w:r>
          </w:p>
        </w:tc>
        <w:tc>
          <w:tcPr>
            <w:vAlign w:val="center"/>
          </w:tcPr>
          <w:p>
            <w:pPr>
              <w:jc w:val="right"/>
            </w:pPr>
            <w:r>
              <w:rPr>
                <w:color w:val="000000"/>
                <w:sz w:val="24"/>
              </w:rPr>
              <w:t>1.68</w:t>
            </w:r>
          </w:p>
        </w:tc>
      </w:tr>
      <w:tr>
        <w:tc>
          <w:tcPr>
            <w:vAlign w:val="center"/>
          </w:tcPr>
          <w:p>
            <w:pPr>
              <w:jc w:val="center"/>
            </w:pPr>
            <w:r>
              <w:rPr>
                <w:color w:val="000000"/>
                <w:sz w:val="24"/>
              </w:rPr>
              <w:t>6</w:t>
            </w:r>
          </w:p>
        </w:tc>
        <w:tc>
          <w:tcPr>
            <w:vAlign w:val="center"/>
          </w:tcPr>
          <w:p>
            <w:pPr>
              <w:jc w:val="center"/>
            </w:pPr>
            <w:r>
              <w:rPr>
                <w:color w:val="000000"/>
                <w:sz w:val="24"/>
              </w:rPr>
              <w:t>111911064</w:t>
            </w:r>
          </w:p>
        </w:tc>
        <w:tc>
          <w:tcPr>
            <w:vAlign w:val="center"/>
          </w:tcPr>
          <w:p>
            <w:pPr>
              <w:jc w:val="center"/>
            </w:pPr>
            <w:r>
              <w:rPr>
                <w:color w:val="000000"/>
                <w:sz w:val="24"/>
              </w:rPr>
              <w:t>19平安银行CD064</w:t>
            </w:r>
          </w:p>
        </w:tc>
        <w:tc>
          <w:tcPr>
            <w:vAlign w:val="center"/>
          </w:tcPr>
          <w:p>
            <w:pPr>
              <w:jc w:val="right"/>
            </w:pPr>
            <w:r>
              <w:rPr>
                <w:color w:val="000000"/>
                <w:sz w:val="24"/>
              </w:rPr>
              <w:t>2,100,000</w:t>
            </w:r>
          </w:p>
        </w:tc>
        <w:tc>
          <w:tcPr>
            <w:vAlign w:val="center"/>
          </w:tcPr>
          <w:p>
            <w:pPr>
              <w:jc w:val="right"/>
            </w:pPr>
            <w:r>
              <w:rPr>
                <w:color w:val="000000"/>
                <w:sz w:val="24"/>
              </w:rPr>
              <w:t>205,966,908.13</w:t>
            </w:r>
          </w:p>
        </w:tc>
        <w:tc>
          <w:tcPr>
            <w:vAlign w:val="center"/>
          </w:tcPr>
          <w:p>
            <w:pPr>
              <w:jc w:val="right"/>
            </w:pPr>
            <w:r>
              <w:rPr>
                <w:color w:val="000000"/>
                <w:sz w:val="24"/>
              </w:rPr>
              <w:t>1.41</w:t>
            </w:r>
          </w:p>
        </w:tc>
      </w:tr>
      <w:tr>
        <w:tc>
          <w:tcPr>
            <w:vAlign w:val="center"/>
          </w:tcPr>
          <w:p>
            <w:pPr>
              <w:jc w:val="center"/>
            </w:pPr>
            <w:r>
              <w:rPr>
                <w:color w:val="000000"/>
                <w:sz w:val="24"/>
              </w:rPr>
              <w:t>7</w:t>
            </w:r>
          </w:p>
        </w:tc>
        <w:tc>
          <w:tcPr>
            <w:vAlign w:val="center"/>
          </w:tcPr>
          <w:p>
            <w:pPr>
              <w:jc w:val="center"/>
            </w:pPr>
            <w:r>
              <w:rPr>
                <w:color w:val="000000"/>
                <w:sz w:val="24"/>
              </w:rPr>
              <w:t>111918379</w:t>
            </w:r>
          </w:p>
        </w:tc>
        <w:tc>
          <w:tcPr>
            <w:vAlign w:val="center"/>
          </w:tcPr>
          <w:p>
            <w:pPr>
              <w:jc w:val="center"/>
            </w:pPr>
            <w:r>
              <w:rPr>
                <w:color w:val="000000"/>
                <w:sz w:val="24"/>
              </w:rPr>
              <w:t>19华夏银行CD379</w:t>
            </w:r>
          </w:p>
        </w:tc>
        <w:tc>
          <w:tcPr>
            <w:vAlign w:val="center"/>
          </w:tcPr>
          <w:p>
            <w:pPr>
              <w:jc w:val="right"/>
            </w:pPr>
            <w:r>
              <w:rPr>
                <w:color w:val="000000"/>
                <w:sz w:val="24"/>
              </w:rPr>
              <w:t>2,100,000</w:t>
            </w:r>
          </w:p>
        </w:tc>
        <w:tc>
          <w:tcPr>
            <w:vAlign w:val="center"/>
          </w:tcPr>
          <w:p>
            <w:pPr>
              <w:jc w:val="right"/>
            </w:pPr>
            <w:r>
              <w:rPr>
                <w:color w:val="000000"/>
                <w:sz w:val="24"/>
              </w:rPr>
              <w:t>203,904,449.04</w:t>
            </w:r>
          </w:p>
        </w:tc>
        <w:tc>
          <w:tcPr>
            <w:vAlign w:val="center"/>
          </w:tcPr>
          <w:p>
            <w:pPr>
              <w:jc w:val="right"/>
            </w:pPr>
            <w:r>
              <w:rPr>
                <w:color w:val="000000"/>
                <w:sz w:val="24"/>
              </w:rPr>
              <w:t>1.40</w:t>
            </w:r>
          </w:p>
        </w:tc>
      </w:tr>
      <w:tr>
        <w:tc>
          <w:tcPr>
            <w:vAlign w:val="center"/>
          </w:tcPr>
          <w:p>
            <w:pPr>
              <w:jc w:val="center"/>
            </w:pPr>
            <w:r>
              <w:rPr>
                <w:color w:val="000000"/>
                <w:sz w:val="24"/>
              </w:rPr>
              <w:t>8</w:t>
            </w:r>
          </w:p>
        </w:tc>
        <w:tc>
          <w:tcPr>
            <w:vAlign w:val="center"/>
          </w:tcPr>
          <w:p>
            <w:pPr>
              <w:jc w:val="center"/>
            </w:pPr>
            <w:r>
              <w:rPr>
                <w:color w:val="000000"/>
                <w:sz w:val="24"/>
              </w:rPr>
              <w:t>111988795</w:t>
            </w:r>
          </w:p>
        </w:tc>
        <w:tc>
          <w:tcPr>
            <w:vAlign w:val="center"/>
          </w:tcPr>
          <w:p>
            <w:pPr>
              <w:jc w:val="center"/>
            </w:pPr>
            <w:r>
              <w:rPr>
                <w:color w:val="000000"/>
                <w:sz w:val="24"/>
              </w:rPr>
              <w:t>19杭州银行CD094</w:t>
            </w:r>
          </w:p>
        </w:tc>
        <w:tc>
          <w:tcPr>
            <w:vAlign w:val="center"/>
          </w:tcPr>
          <w:p>
            <w:pPr>
              <w:jc w:val="right"/>
            </w:pPr>
            <w:r>
              <w:rPr>
                <w:color w:val="000000"/>
                <w:sz w:val="24"/>
              </w:rPr>
              <w:t>2,100,000</w:t>
            </w:r>
          </w:p>
        </w:tc>
        <w:tc>
          <w:tcPr>
            <w:vAlign w:val="center"/>
          </w:tcPr>
          <w:p>
            <w:pPr>
              <w:jc w:val="right"/>
            </w:pPr>
            <w:r>
              <w:rPr>
                <w:color w:val="000000"/>
                <w:sz w:val="24"/>
              </w:rPr>
              <w:t>203,787,686.25</w:t>
            </w:r>
          </w:p>
        </w:tc>
        <w:tc>
          <w:tcPr>
            <w:vAlign w:val="center"/>
          </w:tcPr>
          <w:p>
            <w:pPr>
              <w:jc w:val="right"/>
            </w:pPr>
            <w:r>
              <w:rPr>
                <w:color w:val="000000"/>
                <w:sz w:val="24"/>
              </w:rPr>
              <w:t>1.40</w:t>
            </w:r>
          </w:p>
        </w:tc>
      </w:tr>
      <w:tr>
        <w:tc>
          <w:tcPr>
            <w:vAlign w:val="center"/>
          </w:tcPr>
          <w:p>
            <w:pPr>
              <w:jc w:val="center"/>
            </w:pPr>
            <w:r>
              <w:rPr>
                <w:color w:val="000000"/>
                <w:sz w:val="24"/>
              </w:rPr>
              <w:t>9</w:t>
            </w:r>
          </w:p>
        </w:tc>
        <w:tc>
          <w:tcPr>
            <w:vAlign w:val="center"/>
          </w:tcPr>
          <w:p>
            <w:pPr>
              <w:jc w:val="center"/>
            </w:pPr>
            <w:r>
              <w:rPr>
                <w:color w:val="000000"/>
                <w:sz w:val="24"/>
              </w:rPr>
              <w:t>140227</w:t>
            </w:r>
          </w:p>
        </w:tc>
        <w:tc>
          <w:tcPr>
            <w:vAlign w:val="center"/>
          </w:tcPr>
          <w:p>
            <w:pPr>
              <w:jc w:val="center"/>
            </w:pPr>
            <w:r>
              <w:rPr>
                <w:color w:val="000000"/>
                <w:sz w:val="24"/>
              </w:rPr>
              <w:t>14国开27</w:t>
            </w:r>
          </w:p>
        </w:tc>
        <w:tc>
          <w:tcPr>
            <w:vAlign w:val="center"/>
          </w:tcPr>
          <w:p>
            <w:pPr>
              <w:jc w:val="right"/>
            </w:pPr>
            <w:r>
              <w:rPr>
                <w:color w:val="000000"/>
                <w:sz w:val="24"/>
              </w:rPr>
              <w:t>2,000,000</w:t>
            </w:r>
          </w:p>
        </w:tc>
        <w:tc>
          <w:tcPr>
            <w:vAlign w:val="center"/>
          </w:tcPr>
          <w:p>
            <w:pPr>
              <w:jc w:val="right"/>
            </w:pPr>
            <w:r>
              <w:rPr>
                <w:color w:val="000000"/>
                <w:sz w:val="24"/>
              </w:rPr>
              <w:t>200,438,137.56</w:t>
            </w:r>
          </w:p>
        </w:tc>
        <w:tc>
          <w:tcPr>
            <w:vAlign w:val="center"/>
          </w:tcPr>
          <w:p>
            <w:pPr>
              <w:jc w:val="right"/>
            </w:pPr>
            <w:r>
              <w:rPr>
                <w:color w:val="000000"/>
                <w:sz w:val="24"/>
              </w:rPr>
              <w:t>1.38</w:t>
            </w:r>
          </w:p>
        </w:tc>
      </w:tr>
      <w:tr>
        <w:tc>
          <w:tcPr>
            <w:vAlign w:val="center"/>
          </w:tcPr>
          <w:p>
            <w:pPr>
              <w:jc w:val="center"/>
            </w:pPr>
            <w:r>
              <w:rPr>
                <w:color w:val="000000"/>
                <w:sz w:val="24"/>
              </w:rPr>
              <w:t>10</w:t>
            </w:r>
          </w:p>
        </w:tc>
        <w:tc>
          <w:tcPr>
            <w:vAlign w:val="center"/>
          </w:tcPr>
          <w:p>
            <w:pPr>
              <w:jc w:val="center"/>
            </w:pPr>
            <w:r>
              <w:rPr>
                <w:color w:val="000000"/>
                <w:sz w:val="24"/>
              </w:rPr>
              <w:t>111984045</w:t>
            </w:r>
          </w:p>
        </w:tc>
        <w:tc>
          <w:tcPr>
            <w:vAlign w:val="center"/>
          </w:tcPr>
          <w:p>
            <w:pPr>
              <w:jc w:val="center"/>
            </w:pPr>
            <w:r>
              <w:rPr>
                <w:color w:val="000000"/>
                <w:sz w:val="24"/>
              </w:rPr>
              <w:t>19天津银行CD173</w:t>
            </w:r>
          </w:p>
        </w:tc>
        <w:tc>
          <w:tcPr>
            <w:vAlign w:val="center"/>
          </w:tcPr>
          <w:p>
            <w:pPr>
              <w:jc w:val="right"/>
            </w:pPr>
            <w:r>
              <w:rPr>
                <w:color w:val="000000"/>
                <w:sz w:val="24"/>
              </w:rPr>
              <w:t>2,000,000</w:t>
            </w:r>
          </w:p>
        </w:tc>
        <w:tc>
          <w:tcPr>
            <w:vAlign w:val="center"/>
          </w:tcPr>
          <w:p>
            <w:pPr>
              <w:jc w:val="right"/>
            </w:pPr>
            <w:r>
              <w:rPr>
                <w:color w:val="000000"/>
                <w:sz w:val="24"/>
              </w:rPr>
              <w:t>199,457,596.32</w:t>
            </w:r>
          </w:p>
        </w:tc>
        <w:tc>
          <w:tcPr>
            <w:vAlign w:val="center"/>
          </w:tcPr>
          <w:p>
            <w:pPr>
              <w:jc w:val="right"/>
            </w:pPr>
            <w:r>
              <w:rPr>
                <w:color w:val="000000"/>
                <w:sz w:val="24"/>
              </w:rPr>
              <w:t>1.37</w:t>
            </w:r>
          </w:p>
        </w:tc>
      </w:tr>
    </w:tbl>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5.7</w:t>
      </w:r>
      <w:r w:rsidR="00902E3F" w:rsidRPr="000E4C40">
        <w:rPr>
          <w:b/>
          <w:color w:val="000000"/>
          <w:kern w:val="0"/>
          <w:sz w:val="24"/>
        </w:rPr>
        <w:t>“</w:t>
      </w:r>
      <w:r w:rsidR="00902E3F" w:rsidRPr="000E4C40">
        <w:rPr>
          <w:rFonts w:hAnsi="宋体"/>
          <w:b/>
          <w:color w:val="000000"/>
          <w:kern w:val="0"/>
          <w:sz w:val="24"/>
        </w:rPr>
        <w:t>影子定价</w:t>
      </w:r>
      <w:r w:rsidR="00902E3F" w:rsidRPr="000E4C40">
        <w:rPr>
          <w:b/>
          <w:color w:val="000000"/>
          <w:kern w:val="0"/>
          <w:sz w:val="24"/>
        </w:rPr>
        <w:t>”</w:t>
      </w:r>
      <w:r w:rsidR="00902E3F" w:rsidRPr="000E4C40">
        <w:rPr>
          <w:rFonts w:hAnsi="宋体"/>
          <w:b/>
          <w:color w:val="000000"/>
          <w:kern w:val="0"/>
          <w:sz w:val="24"/>
        </w:rPr>
        <w:t>与</w:t>
      </w:r>
      <w:r w:rsidR="00902E3F" w:rsidRPr="000E4C40">
        <w:rPr>
          <w:b/>
          <w:color w:val="000000"/>
          <w:kern w:val="0"/>
          <w:sz w:val="24"/>
        </w:rPr>
        <w:t>“</w:t>
      </w:r>
      <w:r w:rsidR="00902E3F" w:rsidRPr="000E4C40">
        <w:rPr>
          <w:rFonts w:hAnsi="宋体"/>
          <w:b/>
          <w:color w:val="000000"/>
          <w:kern w:val="0"/>
          <w:sz w:val="24"/>
        </w:rPr>
        <w:t>摊余成本法</w:t>
      </w:r>
      <w:r w:rsidR="00902E3F" w:rsidRPr="000E4C40">
        <w:rPr>
          <w:b/>
          <w:color w:val="000000"/>
          <w:kern w:val="0"/>
          <w:sz w:val="24"/>
        </w:rPr>
        <w:t>”</w:t>
      </w:r>
      <w:r w:rsidR="00902E3F" w:rsidRPr="000E4C40">
        <w:rPr>
          <w:rFonts w:hAnsi="宋体"/>
          <w:b/>
          <w:color w:val="000000"/>
          <w:kern w:val="0"/>
          <w:sz w:val="24"/>
        </w:rPr>
        <w:t>确定的基金资产净值的偏离</w:t>
      </w:r>
    </w:p>
    <w:tbl>
      <w:tblPr>
        <w:tblW w:type="dxa" w:w="8868"/>
        <w:jc w:val="center"/>
        <w:tblLayout w:type="fixed"/>
        <w:tblLook w:firstColumn="0" w:firstRow="0" w:lastColumn="0" w:lastRow="0" w:noHBand="0" w:noVBand="0" w:val="0000"/>
      </w:tblPr>
      <w:tblGrid>
        <w:gridCol w:w="5604"/>
        <w:gridCol w:w="3264"/>
      </w:tblGrid>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6D4647" w:rsidRPr="000E4C40">
              <w:rPr>
                <w:color w:val="000000"/>
                <w:kern w:val="0"/>
                <w:sz w:val="24"/>
              </w:rPr>
              <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偏离情况</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报告期内偏离度的绝对值在</w:t>
            </w:r>
            <w:r w:rsidRPr="000E4C40">
              <w:rPr>
                <w:color w:val="000000"/>
                <w:kern w:val="0"/>
                <w:sz w:val="24"/>
              </w:rPr>
              <w:t>0.25(</w:t>
            </w:r>
            <w:r w:rsidRPr="000E4C40">
              <w:rPr>
                <w:rFonts w:hAnsi="宋体"/>
                <w:color w:val="000000"/>
                <w:kern w:val="0"/>
                <w:sz w:val="24"/>
              </w:rPr>
              <w:t>含</w:t>
            </w:r>
            <w:r w:rsidRPr="000E4C40">
              <w:rPr>
                <w:color w:val="000000"/>
                <w:kern w:val="0"/>
                <w:sz w:val="24"/>
              </w:rPr>
              <w:t>)-0.5%</w:t>
            </w:r>
            <w:r w:rsidRPr="000E4C40">
              <w:rPr>
                <w:rFonts w:hAnsi="宋体"/>
                <w:color w:val="000000"/>
                <w:kern w:val="0"/>
                <w:sz w:val="24"/>
              </w:rPr>
              <w:t>间的次数</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r w:rsidRPr="000E4C40">
              <w:rPr>
                <w:color w:val="000000"/>
                <w:sz w:val="24"/>
              </w:rPr>
              <w:lastRenderedPageBreak/>
              <w:t>0</w:t>
            </w:r>
            <w:r w:rsidR="006D4647" w:rsidRPr="000E4C40">
              <w:rPr>
                <w:rFonts w:hAnsi="宋体"/>
                <w:color w:val="000000"/>
                <w:sz w:val="24"/>
              </w:rPr>
              <w:t>次</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报告期内偏离度的最高值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0.1312%</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报告期内偏离度的最低值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0.0372%</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报告期内每个交易日偏离度的绝对值的简单平均值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0.0933%</w:t>
            </w:r>
          </w:p>
        </w:tc>
      </w:tr>
    </w:tbl>
    <w:p w:rsidP="00281564" w:rsidR="00BE5584" w:rsidRDefault="00BE5584">
      <w:pPr>
        <w:autoSpaceDE w:val="0"/>
        <w:autoSpaceDN w:val="0"/>
        <w:adjustRightInd w:val="0"/>
        <w:spacing w:before="29" w:line="288" w:lineRule="auto"/>
        <w:jc w:val="left"/>
        <w:rPr>
          <w:color w:val="000000"/>
          <w:kern w:val="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报告期内负偏离度的绝对值达到0.25%情况说明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本基金本报告期内未存在负偏离度的绝对值达到0.25%的情况。</w:t>
      </w:r>
    </w:p>
    <w:p w:rsidP="002304D5" w:rsidR="002304D5" w:rsidRDefault="002304D5" w:rsidRPr="002304D5">
      <w:pPr>
        <w:autoSpaceDE w:val="0"/>
        <w:autoSpaceDN w:val="0"/>
        <w:adjustRightInd w:val="0"/>
        <w:spacing w:line="360" w:lineRule="auto"/>
        <w:jc w:val="left"/>
        <w:rPr>
          <w:rFonts w:ascii="宋体" w:hAnsi="宋体"/>
          <w:color w:val="00000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报告期内正偏离度的绝对值达到0.5%情况说明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本基金本报告期内未存在正偏离度的绝对值达到0.5%的情况。</w:t>
      </w:r>
    </w:p>
    <w:p w:rsidP="00281564" w:rsidR="002304D5" w:rsidRDefault="002304D5" w:rsidRPr="002304D5">
      <w:pPr>
        <w:autoSpaceDE w:val="0"/>
        <w:autoSpaceDN w:val="0"/>
        <w:adjustRightInd w:val="0"/>
        <w:spacing w:before="29" w:line="288" w:lineRule="auto"/>
        <w:jc w:val="left"/>
        <w:rPr>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5.8</w:t>
      </w:r>
      <w:r w:rsidR="00902E3F" w:rsidRPr="000E4C40">
        <w:rPr>
          <w:rFonts w:hAnsi="宋体"/>
          <w:b/>
          <w:color w:val="000000"/>
          <w:kern w:val="0"/>
          <w:sz w:val="24"/>
        </w:rPr>
        <w:t>报告期末按公允价值占基金资产净值比例大小排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的前十名资产支持证券投资明细</w:t>
      </w:r>
    </w:p>
    <w:p w:rsidP="00E97D49" w:rsidR="00E97D49" w:rsidRDefault="00E97D49" w:rsidRPr="00E97D49">
      <w:pPr>
        <w:spacing w:before="29" w:line="288" w:lineRule="auto"/>
        <w:jc w:val="right"/>
        <w:rPr>
          <w:color w:val="000000"/>
          <w:kern w:val="0"/>
          <w:sz w:val="24"/>
        </w:rPr>
      </w:pPr>
      <w:r w:rsidRPr="00E97D49">
        <w:rPr>
          <w:rFonts w:hint="eastAsia"/>
          <w:color w:val="000000"/>
          <w:kern w:val="0"/>
          <w:sz w:val="24"/>
        </w:rPr>
        <w:t/>
      </w:r>
      <w:r w:rsidRPr="00E97D49">
        <w:rPr>
          <w:rFonts w:hint="eastAsia"/>
          <w:color w:val="000000"/>
          <w:kern w:val="0"/>
          <w:sz w:val="24"/>
        </w:rPr>
        <w:t>金额单位：人民币元</w:t>
      </w:r>
    </w:p>
    <w:tbl>
      <w:tblPr>
        <w:tblStyle w:val="aa"/>
        <w:tblW w:type="dxa" w:w="8868"/>
        <w:jc w:val="center"/>
        <w:tblCellMar>
          <w:top w:type="dxa" w:w="57"/>
          <w:bottom w:type="dxa" w:w="57"/>
        </w:tblCellMar>
        <w:tblLook w:firstColumn="1" w:firstRow="1" w:lastColumn="0" w:lastRow="0" w:noHBand="0" w:noVBand="1" w:val="04A0"/>
      </w:tblPr>
      <w:tblGrid>
        <w:gridCol w:w="1519"/>
        <w:gridCol w:w="1519"/>
        <w:gridCol w:w="1519"/>
        <w:gridCol w:w="1626"/>
        <w:gridCol w:w="1519"/>
        <w:gridCol w:w="1600"/>
      </w:tblGrid>
      <w:tr w:rsidR="00BF1111" w:rsidRPr="000E4C40" w:rsidTr="00B13F60">
        <w:trPr>
          <w:jc w:val="center"/>
        </w:trPr>
        <w:tc>
          <w:tcPr>
            <w:tcW w:type="dxa" w:w="1547"/>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证券代码</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证券名称</w:t>
            </w:r>
          </w:p>
        </w:tc>
        <w:tc>
          <w:tcPr>
            <w:tcW w:type="dxa" w:w="1548"/>
            <w:vAlign w:val="center"/>
          </w:tcPr>
          <w:p w:rsidP="00187BE0" w:rsidR="00BF1111" w:rsidRDefault="00E269C1" w:rsidRPr="00187BE0">
            <w:pPr>
              <w:autoSpaceDE w:val="0"/>
              <w:autoSpaceDN w:val="0"/>
              <w:adjustRightInd w:val="0"/>
              <w:spacing w:before="29" w:line="288" w:lineRule="auto"/>
              <w:ind w:left="15"/>
              <w:jc w:val="center"/>
              <w:rPr>
                <w:rFonts w:hAnsi="宋体"/>
                <w:color w:val="000000"/>
                <w:kern w:val="0"/>
                <w:sz w:val="24"/>
              </w:rPr>
            </w:pPr>
            <w:r w:rsidRPr="00356FA6">
              <w:rPr>
                <w:sz w:val="24"/>
              </w:rPr>
              <w:t>数量</w:t>
            </w:r>
            <w:r>
              <w:rPr>
                <w:rFonts w:hint="eastAsia"/>
                <w:color w:val="000000"/>
                <w:kern w:val="0"/>
                <w:sz w:val="24"/>
              </w:rPr>
              <w:t>(</w:t>
            </w:r>
            <w:r>
              <w:rPr>
                <w:rFonts w:hint="eastAsia"/>
                <w:color w:val="000000"/>
                <w:kern w:val="0"/>
                <w:sz w:val="24"/>
              </w:rPr>
              <w:t>份</w:t>
            </w:r>
            <w:r>
              <w:rPr>
                <w:rFonts w:hint="eastAsia"/>
                <w:color w:val="000000"/>
                <w:kern w:val="0"/>
                <w:sz w:val="24"/>
              </w:rPr>
              <w:t>)</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公允价值</w:t>
            </w:r>
          </w:p>
        </w:tc>
        <w:tc>
          <w:tcPr>
            <w:tcW w:type="dxa" w:w="1548"/>
            <w:vAlign w:val="center"/>
          </w:tcPr>
          <w:p w:rsidP="00281564" w:rsidR="00BF1111" w:rsidRDefault="00F6042F" w:rsidRPr="000E4C40">
            <w:pPr>
              <w:autoSpaceDE w:val="0"/>
              <w:autoSpaceDN w:val="0"/>
              <w:adjustRightInd w:val="0"/>
              <w:spacing w:before="29" w:line="288" w:lineRule="auto"/>
              <w:ind w:left="15"/>
              <w:jc w:val="center"/>
              <w:rPr>
                <w:color w:val="000000"/>
                <w:kern w:val="0"/>
                <w:sz w:val="24"/>
              </w:rPr>
            </w:pPr>
            <w:r>
              <w:rPr>
                <w:rFonts w:hAnsi="宋体"/>
                <w:color w:val="000000"/>
                <w:kern w:val="0"/>
                <w:sz w:val="24"/>
              </w:rPr>
              <w:t>占基金资产净值比例</w:t>
            </w:r>
            <w:r>
              <w:rPr>
                <w:rFonts w:hAnsi="宋体" w:hint="eastAsia"/>
                <w:color w:val="000000"/>
                <w:kern w:val="0"/>
                <w:sz w:val="24"/>
              </w:rPr>
              <w:t>(</w:t>
            </w:r>
            <w:r>
              <w:rPr>
                <w:rFonts w:hAnsi="宋体"/>
                <w:color w:val="000000"/>
                <w:kern w:val="0"/>
                <w:sz w:val="24"/>
              </w:rPr>
              <w:t>%</w:t>
            </w:r>
            <w:r>
              <w:rPr>
                <w:rFonts w:hAnsi="宋体" w:hint="eastAsia"/>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1989319</w:t>
            </w:r>
          </w:p>
        </w:tc>
        <w:tc>
          <w:tcPr>
            <w:vAlign w:val="center"/>
          </w:tcPr>
          <w:p>
            <w:pPr>
              <w:jc w:val="center"/>
            </w:pPr>
            <w:r>
              <w:rPr>
                <w:color w:val="000000"/>
                <w:sz w:val="24"/>
              </w:rPr>
              <w:t>19上和3A1_bc</w:t>
            </w:r>
          </w:p>
        </w:tc>
        <w:tc>
          <w:tcPr>
            <w:vAlign w:val="center"/>
          </w:tcPr>
          <w:p>
            <w:pPr>
              <w:jc w:val="right"/>
            </w:pPr>
            <w:r>
              <w:rPr>
                <w:color w:val="000000"/>
                <w:sz w:val="24"/>
              </w:rPr>
              <w:t>3,100,000</w:t>
            </w:r>
          </w:p>
        </w:tc>
        <w:tc>
          <w:tcPr>
            <w:vAlign w:val="center"/>
          </w:tcPr>
          <w:p>
            <w:pPr>
              <w:jc w:val="right"/>
            </w:pPr>
            <w:r>
              <w:rPr>
                <w:color w:val="000000"/>
                <w:sz w:val="24"/>
              </w:rPr>
              <w:t>310,031,000.00</w:t>
            </w:r>
          </w:p>
        </w:tc>
        <w:tc>
          <w:tcPr>
            <w:vAlign w:val="center"/>
          </w:tcPr>
          <w:p>
            <w:pPr>
              <w:jc w:val="right"/>
            </w:pPr>
            <w:r>
              <w:rPr>
                <w:color w:val="000000"/>
                <w:sz w:val="24"/>
              </w:rPr>
              <w:t>2.13</w:t>
            </w:r>
          </w:p>
        </w:tc>
      </w:tr>
      <w:tr>
        <w:tc>
          <w:tcPr>
            <w:vAlign w:val="center"/>
          </w:tcPr>
          <w:p>
            <w:pPr>
              <w:jc w:val="center"/>
            </w:pPr>
            <w:r>
              <w:rPr>
                <w:color w:val="000000"/>
                <w:sz w:val="24"/>
              </w:rPr>
              <w:t>2</w:t>
            </w:r>
          </w:p>
        </w:tc>
        <w:tc>
          <w:tcPr>
            <w:vAlign w:val="center"/>
          </w:tcPr>
          <w:p>
            <w:pPr>
              <w:jc w:val="center"/>
            </w:pPr>
            <w:r>
              <w:rPr>
                <w:color w:val="000000"/>
                <w:sz w:val="24"/>
              </w:rPr>
              <w:t>156794</w:t>
            </w:r>
          </w:p>
        </w:tc>
        <w:tc>
          <w:tcPr>
            <w:vAlign w:val="center"/>
          </w:tcPr>
          <w:p>
            <w:pPr>
              <w:jc w:val="center"/>
            </w:pPr>
            <w:r>
              <w:rPr>
                <w:color w:val="000000"/>
                <w:sz w:val="24"/>
              </w:rPr>
              <w:t>信泽01A2</w:t>
            </w:r>
          </w:p>
        </w:tc>
        <w:tc>
          <w:tcPr>
            <w:vAlign w:val="center"/>
          </w:tcPr>
          <w:p>
            <w:pPr>
              <w:jc w:val="right"/>
            </w:pPr>
            <w:r>
              <w:rPr>
                <w:color w:val="000000"/>
                <w:sz w:val="24"/>
              </w:rPr>
              <w:t>1,000,000</w:t>
            </w:r>
          </w:p>
        </w:tc>
        <w:tc>
          <w:tcPr>
            <w:vAlign w:val="center"/>
          </w:tcPr>
          <w:p>
            <w:pPr>
              <w:jc w:val="right"/>
            </w:pPr>
            <w:r>
              <w:rPr>
                <w:color w:val="000000"/>
                <w:sz w:val="24"/>
              </w:rPr>
              <w:t>100,030,000.00</w:t>
            </w:r>
          </w:p>
        </w:tc>
        <w:tc>
          <w:tcPr>
            <w:vAlign w:val="center"/>
          </w:tcPr>
          <w:p>
            <w:pPr>
              <w:jc w:val="right"/>
            </w:pPr>
            <w:r>
              <w:rPr>
                <w:color w:val="000000"/>
                <w:sz w:val="24"/>
              </w:rPr>
              <w:t>0.69</w:t>
            </w:r>
          </w:p>
        </w:tc>
      </w:tr>
      <w:tr>
        <w:tc>
          <w:tcPr>
            <w:vAlign w:val="center"/>
          </w:tcPr>
          <w:p>
            <w:pPr>
              <w:jc w:val="center"/>
            </w:pPr>
            <w:r>
              <w:rPr>
                <w:color w:val="000000"/>
                <w:sz w:val="24"/>
              </w:rPr>
              <w:t>3</w:t>
            </w:r>
          </w:p>
        </w:tc>
        <w:tc>
          <w:tcPr>
            <w:vAlign w:val="center"/>
          </w:tcPr>
          <w:p>
            <w:pPr>
              <w:jc w:val="center"/>
            </w:pPr>
            <w:r>
              <w:rPr>
                <w:color w:val="000000"/>
                <w:sz w:val="24"/>
              </w:rPr>
              <w:t>1989094</w:t>
            </w:r>
          </w:p>
        </w:tc>
        <w:tc>
          <w:tcPr>
            <w:vAlign w:val="center"/>
          </w:tcPr>
          <w:p>
            <w:pPr>
              <w:jc w:val="center"/>
            </w:pPr>
            <w:r>
              <w:rPr>
                <w:color w:val="000000"/>
                <w:sz w:val="24"/>
              </w:rPr>
              <w:t>19上和2A1</w:t>
            </w:r>
          </w:p>
        </w:tc>
        <w:tc>
          <w:tcPr>
            <w:vAlign w:val="center"/>
          </w:tcPr>
          <w:p>
            <w:pPr>
              <w:jc w:val="right"/>
            </w:pPr>
            <w:r>
              <w:rPr>
                <w:color w:val="000000"/>
                <w:sz w:val="24"/>
              </w:rPr>
              <w:t>3,000,000</w:t>
            </w:r>
          </w:p>
        </w:tc>
        <w:tc>
          <w:tcPr>
            <w:vAlign w:val="center"/>
          </w:tcPr>
          <w:p>
            <w:pPr>
              <w:jc w:val="right"/>
            </w:pPr>
            <w:r>
              <w:rPr>
                <w:color w:val="000000"/>
                <w:sz w:val="24"/>
              </w:rPr>
              <w:t>46,710,000.00</w:t>
            </w:r>
          </w:p>
        </w:tc>
        <w:tc>
          <w:tcPr>
            <w:vAlign w:val="center"/>
          </w:tcPr>
          <w:p>
            <w:pPr>
              <w:jc w:val="right"/>
            </w:pPr>
            <w:r>
              <w:rPr>
                <w:color w:val="000000"/>
                <w:sz w:val="24"/>
              </w:rPr>
              <w:t>0.32</w:t>
            </w:r>
          </w:p>
        </w:tc>
      </w:tr>
      <w:tr>
        <w:tc>
          <w:tcPr>
            <w:vAlign w:val="center"/>
          </w:tcPr>
          <w:p>
            <w:pPr>
              <w:jc w:val="center"/>
            </w:pPr>
            <w:r>
              <w:rPr>
                <w:color w:val="000000"/>
                <w:sz w:val="24"/>
              </w:rPr>
              <w:t>4</w:t>
            </w:r>
          </w:p>
        </w:tc>
        <w:tc>
          <w:tcPr>
            <w:vAlign w:val="center"/>
          </w:tcPr>
          <w:p>
            <w:pPr>
              <w:jc w:val="center"/>
            </w:pPr>
            <w:r>
              <w:rPr>
                <w:color w:val="000000"/>
                <w:sz w:val="24"/>
              </w:rPr>
              <w:t>159180</w:t>
            </w:r>
          </w:p>
        </w:tc>
        <w:tc>
          <w:tcPr>
            <w:vAlign w:val="center"/>
          </w:tcPr>
          <w:p>
            <w:pPr>
              <w:jc w:val="center"/>
            </w:pPr>
            <w:r>
              <w:rPr>
                <w:color w:val="000000"/>
                <w:sz w:val="24"/>
              </w:rPr>
              <w:t>信泽02A1</w:t>
            </w:r>
          </w:p>
        </w:tc>
        <w:tc>
          <w:tcPr>
            <w:vAlign w:val="center"/>
          </w:tcPr>
          <w:p>
            <w:pPr>
              <w:jc w:val="right"/>
            </w:pPr>
            <w:r>
              <w:rPr>
                <w:color w:val="000000"/>
                <w:sz w:val="24"/>
              </w:rPr>
              <w:t>400,000</w:t>
            </w:r>
          </w:p>
        </w:tc>
        <w:tc>
          <w:tcPr>
            <w:vAlign w:val="center"/>
          </w:tcPr>
          <w:p>
            <w:pPr>
              <w:jc w:val="right"/>
            </w:pPr>
            <w:r>
              <w:rPr>
                <w:color w:val="000000"/>
                <w:sz w:val="24"/>
              </w:rPr>
              <w:t>40,024,000.00</w:t>
            </w:r>
          </w:p>
        </w:tc>
        <w:tc>
          <w:tcPr>
            <w:vAlign w:val="center"/>
          </w:tcPr>
          <w:p>
            <w:pPr>
              <w:jc w:val="right"/>
            </w:pPr>
            <w:r>
              <w:rPr>
                <w:color w:val="000000"/>
                <w:sz w:val="24"/>
              </w:rPr>
              <w:t>0.27</w:t>
            </w:r>
          </w:p>
        </w:tc>
      </w:tr>
    </w:tbl>
    <w:p w:rsidP="00281564" w:rsidR="00D40363" w:rsidRDefault="00D40363"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5.9</w:t>
      </w:r>
      <w:r w:rsidR="00902E3F" w:rsidRPr="000E4C40">
        <w:rPr>
          <w:rFonts w:hAnsi="宋体"/>
          <w:b/>
          <w:color w:val="000000"/>
          <w:kern w:val="0"/>
          <w:sz w:val="24"/>
        </w:rPr>
        <w:t>投资组合报告附注</w:t>
      </w:r>
    </w:p>
    <w:p w:rsidP="00281564" w:rsidR="009D74FC" w:rsidRDefault="002304D5" w:rsidRPr="00346DC3">
      <w:pPr>
        <w:spacing w:before="29" w:line="288" w:lineRule="auto"/>
        <w:rPr>
          <w:b/>
          <w:sz w:val="24"/>
        </w:rPr>
      </w:pPr>
      <w:r w:rsidRPr="00346DC3">
        <w:rPr>
          <w:b/>
          <w:sz w:val="24"/>
        </w:rPr>
        <w:t>5.9</w:t>
      </w:r>
      <w:r w:rsidR="00902E3F" w:rsidRPr="00346DC3">
        <w:rPr>
          <w:b/>
          <w:sz w:val="24"/>
        </w:rPr>
        <w:t>.1</w:t>
      </w:r>
      <w:r w:rsidR="009D74FC" w:rsidRPr="00346DC3">
        <w:rPr>
          <w:rFonts w:hAnsi="宋体"/>
          <w:b/>
          <w:sz w:val="24"/>
        </w:rPr>
        <w:t>基金计价方法说明</w:t>
      </w:r>
    </w:p>
    <w:p w:rsidP="00930856" w:rsidR="00D40363" w:rsidRDefault="00D40363" w:rsidRPr="000E4C40">
      <w:pPr>
        <w:spacing w:before="29" w:line="288" w:lineRule="auto"/>
        <w:rPr>
          <w:color w:val="000000"/>
          <w:sz w:val="24"/>
        </w:rPr>
      </w:pPr>
      <w:r w:rsidRPr="000E4C40">
        <w:rPr>
          <w:color w:val="000000"/>
          <w:sz w:val="24"/>
        </w:rPr>
        <w:t>本基金采用摊余成本法计价，即计价对象以买入成本列示，按票面利率或商定利率并考虑其买入时的溢价与折价，在其剩余期限内按照实际利率和摊余成本逐日摊销计算损益。</w:t>
      </w:r>
    </w:p>
    <w:p w:rsidP="00281564" w:rsidR="00EB25E4" w:rsidRDefault="002304D5">
      <w:pPr>
        <w:adjustRightInd w:val="0"/>
        <w:spacing w:before="29" w:line="288" w:lineRule="auto"/>
        <w:ind w:left="17"/>
        <w:rPr>
          <w:color w:val="000000"/>
          <w:sz w:val="24"/>
        </w:rPr>
      </w:pPr>
      <w:r>
        <w:rPr>
          <w:bCs/>
          <w:sz w:val="24"/>
        </w:rPr>
        <w:t>5.9</w:t>
      </w:r>
      <w:r w:rsidR="00EB25E4" w:rsidRPr="000E4C40">
        <w:rPr>
          <w:bCs/>
          <w:sz w:val="24"/>
        </w:rPr>
        <w:t>.</w:t>
      </w:r>
      <w:r>
        <w:rPr>
          <w:bCs/>
          <w:sz w:val="24"/>
        </w:rPr>
        <w:t>2</w:t>
      </w:r>
      <w:r w:rsidR="00EB25E4" w:rsidRPr="000E4C40">
        <w:rPr>
          <w:color w:val="000000"/>
          <w:sz w:val="24"/>
        </w:rPr>
        <w:t>报告期内本基金投资的前十名证券的发行主体除19民生银行CD231（证券代码：111915231）外，未出现被监管部门立案调查，或在报告编制日前一年内受到公开谴责、处罚的情形。</w:t>
      </w:r>
    </w:p>
    <w:p>
      <w:pPr>
        <w:adjustRightInd w:val="0"/>
        <w:spacing w:before="29" w:line="288" w:lineRule="auto"/>
        <w:ind w:left="17"/>
        <w:rPr>
          <w:color w:val="000000"/>
          <w:sz w:val="24"/>
        </w:rPr>
      </w:pPr>
      <w:r>
        <w:rPr>
          <w:color w:val="000000"/>
          <w:sz w:val="24"/>
        </w:rPr>
        <w:t>报告期内本基金投资的前十名证券之一19民生银行CD231（证券代码：111915231）的发行主体民生银行，根据银保监会2018年12月7日公布的《中国银行保险监督管理委员会行政处罚信息公开表(银保监银罚决字〔2018〕5号)》，因存在贷款业务严重违反审慎经营规则等违法违规事实，被中国银行保险监督管理委员会处以行政处罚，罚款200万元；根据银保监会2018年12月7日公布的《中国银行保险监督管理委员会行政处罚信息公开表(银保监银罚决字〔2018〕8号)》，因存在内控管理严重违反审慎经营规则、同业投资违规接受担保、同业投资、理财资金违规投资房地产，用于缴交或置换土地出让金及土地储备融资、本行理财产品之间风险隔离不到位、个人理财资金违规投资、票据代理未明示，增信未簿记和计提资本占用、为非保本理财产品提供保本承诺等违法违规事实，被中国银行保险监督管理委员会处以行政处罚，罚款3160万元。</w:t>
      </w:r>
    </w:p>
    <w:p>
      <w:pPr>
        <w:adjustRightInd w:val="0"/>
        <w:spacing w:before="29" w:line="288" w:lineRule="auto"/>
        <w:ind w:left="17"/>
        <w:rPr>
          <w:color w:val="000000"/>
          <w:sz w:val="24"/>
        </w:rPr>
      </w:pPr>
      <w:r>
        <w:rPr>
          <w:color w:val="000000"/>
          <w:sz w:val="24"/>
        </w:rPr>
        <w:t>本基金管理人对该证券投资决策程序的说明如下：本基金管理人对证券投资特别是重仓个券的投资有严格的投资决策流程控制。本基金在对该证券的投资也严格执行投资决策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P="00281564" w:rsidR="00623E3A" w:rsidRDefault="00623E3A" w:rsidRPr="000E4C40">
      <w:pPr>
        <w:adjustRightInd w:val="0"/>
        <w:spacing w:before="29" w:line="288" w:lineRule="auto"/>
        <w:ind w:left="17"/>
        <w:rPr>
          <w:color w:val="000000"/>
          <w:sz w:val="24"/>
        </w:rPr>
      </w:pPr>
    </w:p>
    <w:p w:rsidP="00281564" w:rsidR="009D74FC" w:rsidRDefault="002304D5" w:rsidRPr="00346DC3">
      <w:pPr>
        <w:spacing w:before="29" w:line="288" w:lineRule="auto"/>
        <w:rPr>
          <w:rFonts w:hAnsi="宋体"/>
          <w:b/>
          <w:color w:val="000000"/>
          <w:kern w:val="0"/>
          <w:sz w:val="24"/>
        </w:rPr>
      </w:pPr>
      <w:r w:rsidRPr="00346DC3">
        <w:rPr>
          <w:b/>
          <w:color w:val="000000"/>
          <w:kern w:val="0"/>
          <w:sz w:val="24"/>
        </w:rPr>
        <w:t>5.9</w:t>
      </w:r>
      <w:r w:rsidR="009D74FC" w:rsidRPr="00346DC3">
        <w:rPr>
          <w:b/>
          <w:color w:val="000000"/>
          <w:kern w:val="0"/>
          <w:sz w:val="24"/>
        </w:rPr>
        <w:t>.</w:t>
      </w:r>
      <w:r w:rsidRPr="00346DC3">
        <w:rPr>
          <w:b/>
          <w:color w:val="000000"/>
          <w:kern w:val="0"/>
          <w:sz w:val="24"/>
        </w:rPr>
        <w:t>3</w:t>
      </w:r>
      <w:r w:rsidR="00B6632C" w:rsidRPr="00346DC3">
        <w:rPr>
          <w:rFonts w:hint="eastAsia"/>
          <w:b/>
          <w:color w:val="000000"/>
          <w:kern w:val="0"/>
          <w:sz w:val="24"/>
        </w:rPr>
        <w:t>期末</w:t>
      </w:r>
      <w:r w:rsidR="003B36B4" w:rsidRPr="00346DC3">
        <w:rPr>
          <w:rFonts w:hAnsi="宋体"/>
          <w:b/>
          <w:color w:val="000000"/>
          <w:kern w:val="0"/>
          <w:sz w:val="24"/>
        </w:rPr>
        <w:t>其他各项资产构成</w:t>
      </w:r>
    </w:p>
    <w:p w:rsidP="00A53C6C" w:rsidR="00B6632C" w:rsidRDefault="00A53C6C" w:rsidRPr="00A53C6C">
      <w:pPr>
        <w:spacing w:before="29" w:line="288" w:lineRule="auto"/>
        <w:jc w:val="right"/>
        <w:rPr>
          <w:color w:val="000000"/>
          <w:kern w:val="0"/>
          <w:sz w:val="24"/>
        </w:rPr>
      </w:pPr>
      <w:r w:rsidRPr="00A53C6C">
        <w:rPr>
          <w:rFonts w:hint="eastAsia"/>
          <w:color w:val="000000"/>
          <w:kern w:val="0"/>
          <w:sz w:val="24"/>
        </w:rPr>
        <w:t/>
      </w:r>
      <w:r w:rsidRPr="00A53C6C">
        <w:rPr>
          <w:rFonts w:hint="eastAsia"/>
          <w:color w:val="000000"/>
          <w:kern w:val="0"/>
          <w:sz w:val="24"/>
        </w:rPr>
        <w:t>金额单位：人民币元</w:t>
      </w:r>
    </w:p>
    <w:tbl>
      <w:tblPr>
        <w:tblStyle w:val="aa"/>
        <w:tblW w:type="dxa" w:w="8868"/>
        <w:jc w:val="center"/>
        <w:tblLayout w:type="fixed"/>
        <w:tblLook w:firstColumn="1" w:firstRow="1" w:lastColumn="0" w:lastRow="0" w:noHBand="0" w:noVBand="1" w:val="04A0"/>
      </w:tblPr>
      <w:tblGrid>
        <w:gridCol w:w="907"/>
        <w:gridCol w:w="3375"/>
        <w:gridCol w:w="4586"/>
      </w:tblGrid>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序号</w:t>
            </w:r>
          </w:p>
        </w:tc>
        <w:tc>
          <w:tcPr>
            <w:tcW w:type="dxa" w:w="3535"/>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名称</w:t>
            </w:r>
          </w:p>
        </w:tc>
        <w:tc>
          <w:tcPr>
            <w:tcW w:type="dxa" w:w="4808"/>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金额</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存出保证金</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应收证券清算款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应收利息</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60,339,069.03</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4</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应收申购款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其他应收款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700.00</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6</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待摊费用</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7</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8</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合计</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60,339,769.03</w:t>
            </w:r>
          </w:p>
        </w:tc>
      </w:tr>
    </w:tbl>
    <w:p w:rsidP="00281564" w:rsidR="00D1705E" w:rsidRDefault="00D1705E" w:rsidRPr="000E4C40">
      <w:pPr>
        <w:autoSpaceDE w:val="0"/>
        <w:autoSpaceDN w:val="0"/>
        <w:adjustRightInd w:val="0"/>
        <w:spacing w:before="29" w:line="288" w:lineRule="auto"/>
        <w:jc w:val="left"/>
        <w:rPr>
          <w:color w:val="000000"/>
          <w:sz w:val="24"/>
        </w:rPr>
      </w:pPr>
    </w:p>
    <w:p w:rsidP="00281564" w:rsidR="00452D31" w:rsidRDefault="00DA5831" w:rsidRPr="00346DC3">
      <w:pPr>
        <w:spacing w:before="29" w:line="288" w:lineRule="auto"/>
        <w:rPr>
          <w:b/>
          <w:color w:val="000000"/>
          <w:kern w:val="0"/>
          <w:sz w:val="24"/>
        </w:rPr>
      </w:pPr>
      <w:bookmarkStart w:id="2" w:name="_GoBack"/>
      <w:r w:rsidRPr="00346DC3">
        <w:rPr>
          <w:b/>
          <w:color w:val="000000"/>
          <w:kern w:val="0"/>
          <w:sz w:val="24"/>
        </w:rPr>
        <w:t/>
      </w:r>
      <w:r w:rsidR="002304D5" w:rsidRPr="00346DC3">
        <w:rPr>
          <w:b/>
          <w:color w:val="000000"/>
          <w:kern w:val="0"/>
          <w:sz w:val="24"/>
        </w:rPr>
        <w:t>5.9.4</w:t>
      </w:r>
      <w:r w:rsidR="00DE7C60" w:rsidRPr="00346DC3">
        <w:rPr>
          <w:rFonts w:hAnsi="宋体"/>
          <w:b/>
          <w:color w:val="000000"/>
          <w:kern w:val="0"/>
          <w:sz w:val="24"/>
        </w:rPr>
        <w:t>投资组合报告附注的其他文字描述部分</w:t>
      </w:r>
    </w:p>
    <w:bookmarkEnd w:id="2"/>
    <w:p w:rsidP="00930856" w:rsidR="00452D31" w:rsidRDefault="00452D31" w:rsidRPr="000E4C40">
      <w:pPr>
        <w:spacing w:before="29" w:line="288" w:lineRule="auto"/>
        <w:rPr>
          <w:color w:val="000000"/>
          <w:sz w:val="24"/>
        </w:rPr>
      </w:pPr>
      <w:r w:rsidRPr="000E4C40">
        <w:rPr>
          <w:color w:val="000000"/>
          <w:sz w:val="24"/>
        </w:rPr>
        <w:t/>
      </w:r>
      <w:r w:rsidR="000C469F" w:rsidRPr="000E4C40">
        <w:rPr>
          <w:color w:val="000000"/>
          <w:sz w:val="24"/>
        </w:rPr>
        <w:t/>
      </w:r>
      <w:r w:rsidRPr="000E4C40">
        <w:rPr>
          <w:color w:val="000000"/>
          <w:sz w:val="24"/>
        </w:rPr>
        <w:t>由于四舍五入的原因，分项之和与合计项之间可能存在尾差。</w:t>
      </w:r>
    </w:p>
    <w:p w:rsidP="00281564" w:rsidR="00504B75" w:rsidRDefault="00504B75" w:rsidRPr="000E4C40">
      <w:pPr>
        <w:spacing w:before="29" w:line="288" w:lineRule="auto"/>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§6  </w:t>
      </w:r>
      <w:r w:rsidRPr="000E4C40">
        <w:rPr>
          <w:rFonts w:hAnsi="宋体"/>
          <w:color w:val="000000"/>
          <w:kern w:val="0"/>
          <w:sz w:val="24"/>
          <w:szCs w:val="24"/>
        </w:rPr>
        <w:t>开放式基金份额变动</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单位：份</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668"/>
        <w:gridCol w:w="2600"/>
        <w:gridCol w:w="2600"/>
      </w:tblGrid>
      <w:tr w:rsidR="006F1C55" w:rsidRPr="000E4C40" w:rsidTr="009D1870">
        <w:trPr>
          <w:jc w:val="center"/>
        </w:trPr>
        <w:tc>
          <w:tcPr>
            <w:tcW w:type="dxa" w:w="4134"/>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t/>
            </w:r>
            <w:r w:rsidRPr="000E4C40">
              <w:rPr>
                <w:sz w:val="24"/>
              </w:rPr>
              <w:t/>
            </w:r>
            <w:r w:rsidRPr="000E4C40">
              <w:rPr>
                <w:sz w:val="24"/>
              </w:rPr>
              <w:lastRenderedPageBreak/>
              <w:t/>
            </w:r>
            <w:r w:rsidR="00327FB0" w:rsidRPr="000E4C40">
              <w:rPr>
                <w:sz w:val="24"/>
              </w:rPr>
              <w:t/>
            </w:r>
            <w:r w:rsidRPr="000E4C40">
              <w:rPr>
                <w:sz w:val="24"/>
              </w:rPr>
              <w:t>交银理财21天债券A</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lastRenderedPageBreak/>
              <w:t/>
            </w:r>
            <w:r w:rsidRPr="000E4C40">
              <w:rPr>
                <w:sz w:val="24"/>
              </w:rPr>
              <w:t/>
            </w:r>
            <w:r w:rsidRPr="000E4C40">
              <w:rPr>
                <w:sz w:val="24"/>
              </w:rPr>
              <w:lastRenderedPageBreak/>
              <w:t/>
            </w:r>
            <w:r w:rsidR="00327FB0" w:rsidRPr="000E4C40">
              <w:rPr>
                <w:sz w:val="24"/>
              </w:rPr>
              <w:t/>
            </w:r>
            <w:r w:rsidR="000F78F3">
              <w:rPr>
                <w:sz w:val="24"/>
              </w:rPr>
              <w:t/>
            </w:r>
            <w:r w:rsidR="000F78F3">
              <w:rPr>
                <w:rFonts w:hint="eastAsia"/>
                <w:sz w:val="24"/>
              </w:rPr>
              <w:t/>
            </w:r>
            <w:r w:rsidRPr="000E4C40">
              <w:rPr>
                <w:sz w:val="24"/>
              </w:rPr>
              <w:t>交银理财21天债券B</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报告期期初基金份额总额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Pr="000E4C40">
              <w:rPr>
                <w:color w:val="000000"/>
                <w:kern w:val="0"/>
                <w:sz w:val="24"/>
              </w:rPr>
              <w:t>9,523,399.36</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16,311,229,904.81</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基金总申购份额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Pr="000E4C40">
              <w:rPr>
                <w:color w:val="000000"/>
                <w:kern w:val="0"/>
                <w:sz w:val="24"/>
              </w:rPr>
              <w:t>53,508.06</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120,866,373.41</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基金总赎回份额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Pr="000E4C40">
              <w:rPr>
                <w:color w:val="000000"/>
                <w:kern w:val="0"/>
                <w:sz w:val="24"/>
              </w:rPr>
              <w:t>1,099,285.67</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1,865,007,867.73</w:t>
            </w:r>
          </w:p>
        </w:tc>
      </w:tr>
      <w:tr w:rsidR="000417E0" w:rsidRPr="000E4C40" w:rsidTr="009D1870">
        <w:trPr>
          <w:jc w:val="center"/>
        </w:trPr>
        <w:tc>
          <w:tcPr>
            <w:tcW w:type="dxa" w:w="4134"/>
            <w:vAlign w:val="center"/>
          </w:tcPr>
          <w:p w:rsidP="00281564" w:rsidR="000417E0" w:rsidRDefault="0078687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报告期期末基金份额总额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Pr="000E4C40">
              <w:rPr>
                <w:color w:val="000000"/>
                <w:kern w:val="0"/>
                <w:sz w:val="24"/>
              </w:rPr>
              <w:t>8,477,621.75</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14,567,088,410.49</w:t>
            </w:r>
          </w:p>
        </w:tc>
      </w:tr>
    </w:tbl>
    <w:p>
      <w:pPr>
        <w:autoSpaceDE w:val="0"/>
        <w:autoSpaceDN w:val="0"/>
        <w:adjustRightInd w:val="0"/>
        <w:spacing w:before="29" w:line="288" w:lineRule="auto"/>
        <w:jc w:val="left"/>
        <w:rPr>
          <w:color w:val="000000"/>
          <w:sz w:val="24"/>
        </w:rPr>
      </w:pPr>
      <w:r>
        <w:rPr>
          <w:color w:val="000000"/>
          <w:sz w:val="24"/>
        </w:rPr>
        <w:t xml:space="preserve">注：1、如果本报告期间发生转换入、份额类别调整、红利再投业务，则总申购份额中包含该业务； </w:t>
      </w:r>
    </w:p>
    <w:p w:rsidP="00281564" w:rsidR="00AA5B03" w:rsidRDefault="00BE5584" w:rsidRPr="000E4C40">
      <w:pPr>
        <w:autoSpaceDE w:val="0"/>
        <w:autoSpaceDN w:val="0"/>
        <w:adjustRightInd w:val="0"/>
        <w:spacing w:before="29" w:line="288" w:lineRule="auto"/>
        <w:jc w:val="left"/>
        <w:rPr>
          <w:color w:val="000000"/>
          <w:sz w:val="24"/>
        </w:rPr>
      </w:pPr>
      <w:r w:rsidRPr="000E4C40">
        <w:rPr>
          <w:color w:val="000000"/>
          <w:sz w:val="24"/>
        </w:rPr>
        <w:t/>
      </w:r>
      <w:r w:rsidR="00AA5B03" w:rsidRPr="000E4C40">
        <w:rPr>
          <w:color w:val="000000"/>
          <w:sz w:val="24"/>
        </w:rPr>
        <w:t xml:space="preserve"> 2、如果本报告期间发生转换出、份额类别调整业务，则总赎回份额中包含该业务。</w:t>
      </w:r>
    </w:p>
    <w:p w:rsidP="00281564" w:rsidR="006E2890" w:rsidRDefault="006E2890" w:rsidRPr="000E4C40">
      <w:pPr>
        <w:autoSpaceDE w:val="0"/>
        <w:autoSpaceDN w:val="0"/>
        <w:adjustRightInd w:val="0"/>
        <w:spacing w:before="29" w:line="288" w:lineRule="auto"/>
        <w:jc w:val="left"/>
        <w:rPr>
          <w:color w:val="000000"/>
          <w:sz w:val="24"/>
        </w:rPr>
      </w:pPr>
    </w:p>
    <w:p w:rsidP="00841EB4" w:rsidR="000F2DA3" w:rsidRDefault="000F2DA3"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§7  </w:t>
      </w:r>
      <w:r w:rsidRPr="000E4C40">
        <w:rPr>
          <w:rFonts w:hAnsi="宋体"/>
          <w:color w:val="000000"/>
          <w:kern w:val="0"/>
          <w:sz w:val="24"/>
          <w:szCs w:val="24"/>
        </w:rPr>
        <w:t>基金管理人运用固有资金投资本基金交易明细</w:t>
      </w:r>
    </w:p>
    <w:p w:rsidP="00281564" w:rsidR="000F2DA3" w:rsidRDefault="000F2DA3" w:rsidRPr="000E4C40">
      <w:pPr>
        <w:autoSpaceDE w:val="0"/>
        <w:autoSpaceDN w:val="0"/>
        <w:adjustRightInd w:val="0"/>
        <w:spacing w:before="29" w:line="288" w:lineRule="auto"/>
        <w:jc w:val="left"/>
        <w:rPr>
          <w:color w:val="000000"/>
          <w:sz w:val="24"/>
        </w:rPr>
      </w:pPr>
      <w:r w:rsidRPr="000E4C40">
        <w:rPr>
          <w:color w:val="000000"/>
          <w:sz w:val="24"/>
        </w:rPr>
        <w:t>本基金管理人本报告期内未进行本基金的申购、赎回、红利再投等；本基金管理人本报告期末持有本基金份额0.00份，占本基金期末总份额的0.00%。</w:t>
      </w:r>
    </w:p>
    <w:p w:rsidP="00281564" w:rsidR="0018245B" w:rsidRDefault="0018245B" w:rsidRPr="000E4C40">
      <w:pPr>
        <w:autoSpaceDE w:val="0"/>
        <w:autoSpaceDN w:val="0"/>
        <w:adjustRightInd w:val="0"/>
        <w:spacing w:before="29" w:line="288" w:lineRule="auto"/>
        <w:jc w:val="left"/>
        <w:rPr>
          <w:color w:val="000000"/>
          <w:sz w:val="24"/>
        </w:rPr>
      </w:pPr>
    </w:p>
    <w:p w:rsidP="00841EB4" w:rsidR="003D1E1A" w:rsidRDefault="003D1E1A">
      <w:pPr>
        <w:pStyle w:val="1"/>
        <w:spacing w:after="312" w:afterLines="100" w:before="312" w:beforeLines="100" w:line="360" w:lineRule="auto"/>
        <w:jc w:val="center"/>
        <w:rPr>
          <w:rFonts w:asciiTheme="minorEastAsia" w:cs="Arial" w:eastAsiaTheme="minorEastAsia" w:hAnsiTheme="minorEastAsia"/>
          <w:color w:themeColor="text1" w:val="000000"/>
          <w:kern w:val="0"/>
          <w:sz w:val="24"/>
          <w:szCs w:val="24"/>
        </w:rPr>
      </w:pPr>
      <w:r>
        <w:rPr>
          <w:rFonts w:asciiTheme="minorEastAsia" w:cs="Arial" w:eastAsiaTheme="minorEastAsia" w:hAnsiTheme="minorEastAsia" w:hint="eastAsia"/>
          <w:color w:themeColor="text1" w:val="000000"/>
          <w:kern w:val="0"/>
          <w:sz w:val="24"/>
          <w:szCs w:val="24"/>
        </w:rPr>
        <w:lastRenderedPageBreak/>
        <w:t>§8  影响投资者决策的其他重要信息</w:t>
      </w:r>
    </w:p>
    <w:p w:rsidP="003D1E1A" w:rsidR="003D1E1A" w:rsidRDefault="003D1E1A">
      <w:pPr>
        <w:autoSpaceDE w:val="0"/>
        <w:autoSpaceDN w:val="0"/>
        <w:adjustRightInd w:val="0"/>
        <w:spacing w:line="360" w:lineRule="auto"/>
        <w:jc w:val="left"/>
        <w:rPr>
          <w:rFonts w:ascii="宋体" w:hAnsi="宋体"/>
          <w:b/>
          <w:bCs/>
          <w:color w:val="000000"/>
          <w:kern w:val="0"/>
          <w:sz w:val="24"/>
        </w:rPr>
      </w:pPr>
      <w:r>
        <w:rPr>
          <w:rFonts w:ascii="宋体" w:hAnsi="宋体" w:hint="eastAsia"/>
          <w:b/>
          <w:color w:val="000000"/>
          <w:kern w:val="0"/>
          <w:sz w:val="24"/>
        </w:rPr>
        <w:t/>
      </w:r>
      <w:r>
        <w:rPr>
          <w:rFonts w:ascii="宋体" w:hAnsi="宋体" w:hint="eastAsia"/>
          <w:b/>
          <w:bCs/>
          <w:color w:val="000000"/>
          <w:kern w:val="0"/>
          <w:sz w:val="24"/>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2"/>
        <w:gridCol w:w="991"/>
        <w:gridCol w:w="1843"/>
        <w:gridCol w:w="851"/>
        <w:gridCol w:w="850"/>
        <w:gridCol w:w="1134"/>
        <w:gridCol w:w="1419"/>
        <w:gridCol w:w="1130"/>
      </w:tblGrid>
      <w:tr w:rsidR="003D1E1A" w:rsidTr="003D1E1A">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3D1E1A" w:rsidTr="003D1E1A">
        <w:tc>
          <w:tcPr>
            <w:tcW w:type="dxa" w:w="993"/>
            <w:vMerge/>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2019/7/1-2019/9/30</w:t>
            </w:r>
          </w:p>
        </w:tc>
        <w:tc>
          <w:tcPr>
            <w:vAlign w:val="center"/>
          </w:tcPr>
          <w:p>
            <w:pPr>
              <w:jc w:val="center"/>
            </w:pPr>
            <w:r>
              <w:rPr>
                <w:rFonts w:ascii="宋体" w:hAnsi="宋体" w:hint="eastAsia"/>
                <w:color w:val="000000"/>
                <w:kern w:val="0"/>
                <w:szCs w:val="21"/>
              </w:rPr>
              <w:t>4,499,611,903.90</w:t>
            </w:r>
          </w:p>
        </w:tc>
        <w:tc>
          <w:tcPr>
            <w:vAlign w:val="center"/>
          </w:tcPr>
          <w:p>
            <w:pPr>
              <w:jc w:val="center"/>
            </w:pPr>
            <w:r>
              <w:rPr>
                <w:rFonts w:ascii="宋体" w:hAnsi="宋体" w:hint="eastAsia"/>
                <w:color w:val="000000"/>
                <w:kern w:val="0"/>
                <w:szCs w:val="21"/>
              </w:rPr>
              <w:t>32,227,402.73</w:t>
            </w:r>
          </w:p>
        </w:tc>
        <w:tc>
          <w:tcPr>
            <w:vAlign w:val="center"/>
          </w:tcPr>
          <w:p>
            <w:pPr>
              <w:jc w:val="center"/>
            </w:pPr>
            <w:r>
              <w:rPr>
                <w:rFonts w:ascii="宋体" w:hAnsi="宋体" w:hint="eastAsia"/>
                <w:color w:val="000000"/>
                <w:kern w:val="0"/>
                <w:szCs w:val="21"/>
              </w:rPr>
              <w:t>900,000,000.00</w:t>
            </w:r>
          </w:p>
        </w:tc>
        <w:tc>
          <w:tcPr>
            <w:vAlign w:val="center"/>
          </w:tcPr>
          <w:p>
            <w:pPr>
              <w:jc w:val="center"/>
            </w:pPr>
            <w:r>
              <w:rPr>
                <w:rFonts w:ascii="宋体" w:hAnsi="宋体" w:hint="eastAsia"/>
                <w:color w:val="000000"/>
                <w:kern w:val="0"/>
                <w:szCs w:val="21"/>
              </w:rPr>
              <w:t>3,631,839,306.63</w:t>
            </w:r>
          </w:p>
        </w:tc>
        <w:tc>
          <w:tcPr>
            <w:vAlign w:val="center"/>
          </w:tcPr>
          <w:p>
            <w:pPr>
              <w:jc w:val="center"/>
            </w:pPr>
            <w:r>
              <w:rPr>
                <w:rFonts w:ascii="宋体" w:hAnsi="宋体" w:hint="eastAsia"/>
                <w:color w:val="000000"/>
                <w:kern w:val="0"/>
                <w:szCs w:val="21"/>
              </w:rPr>
              <w:t>24.92%</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0"/>
      </w:tblGrid>
      <w:tr w:rsidR="003D1E1A" w:rsidTr="003D1E1A">
        <w:tc>
          <w:tcPr>
            <w:tcW w:type="dxa" w:w="921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
        </w:tc>
      </w:tr>
      <w:tr w:rsidR="003D1E1A" w:rsidTr="003D1E1A">
        <w:tc>
          <w:tcPr>
            <w:tcW w:type="dxa" w:w="921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841EB4" w:rsidR="00C03EF8" w:rsidRDefault="009D74FC" w:rsidRPr="009268A2">
      <w:pPr>
        <w:pStyle w:val="1"/>
        <w:spacing w:after="312" w:afterLines="100" w:before="312" w:beforeLines="100" w:line="288" w:lineRule="auto"/>
        <w:jc w:val="center"/>
        <w:rPr>
          <w:color w:val="000000"/>
          <w:kern w:val="0"/>
          <w:sz w:val="24"/>
          <w:szCs w:val="24"/>
        </w:rPr>
      </w:pPr>
      <w:r w:rsidRPr="000E4C40">
        <w:rPr>
          <w:color w:val="000000"/>
          <w:kern w:val="0"/>
          <w:sz w:val="24"/>
          <w:szCs w:val="24"/>
        </w:rPr>
        <w:t>§</w:t>
      </w:r>
      <w:r w:rsidR="00DA5831" w:rsidRPr="000E4C40">
        <w:rPr>
          <w:color w:val="000000"/>
          <w:kern w:val="0"/>
          <w:sz w:val="24"/>
          <w:szCs w:val="24"/>
        </w:rPr>
        <w:t/>
      </w:r>
      <w:r w:rsidR="00F1658B" w:rsidRPr="000E4C40">
        <w:rPr>
          <w:color w:val="000000"/>
          <w:kern w:val="0"/>
          <w:sz w:val="24"/>
          <w:szCs w:val="24"/>
        </w:rPr>
        <w:t/>
      </w:r>
      <w:r w:rsidR="00AF3D19" w:rsidRPr="000E4C40">
        <w:rPr>
          <w:color w:val="000000"/>
          <w:kern w:val="0"/>
          <w:sz w:val="24"/>
          <w:szCs w:val="24"/>
        </w:rPr>
        <w:t/>
      </w:r>
      <w:r w:rsidR="00DA5831" w:rsidRPr="000E4C40">
        <w:rPr>
          <w:color w:val="000000"/>
          <w:kern w:val="0"/>
          <w:sz w:val="24"/>
          <w:szCs w:val="24"/>
        </w:rPr>
        <w:t>9</w:t>
      </w:r>
      <w:r w:rsidRPr="000E4C40">
        <w:rPr>
          <w:rFonts w:hAnsi="宋体"/>
          <w:color w:val="000000"/>
          <w:kern w:val="0"/>
          <w:sz w:val="24"/>
          <w:szCs w:val="24"/>
        </w:rPr>
        <w:t>备查文件目录</w:t>
      </w: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1</w:t>
      </w:r>
      <w:r w:rsidR="00AB373C" w:rsidRPr="000E4C40">
        <w:rPr>
          <w:rFonts w:hAnsi="宋体"/>
          <w:b/>
          <w:bCs/>
          <w:color w:val="000000"/>
          <w:kern w:val="0"/>
          <w:sz w:val="24"/>
        </w:rPr>
        <w:t>备查文件目录</w:t>
      </w:r>
    </w:p>
    <w:p>
      <w:pPr>
        <w:spacing w:before="29" w:line="288" w:lineRule="auto"/>
        <w:ind w:firstLine="480" w:firstLineChars="200"/>
        <w:rPr>
          <w:color w:val="000000"/>
          <w:sz w:val="24"/>
        </w:rPr>
      </w:pPr>
      <w:r>
        <w:rPr>
          <w:color w:val="000000"/>
          <w:sz w:val="24"/>
        </w:rPr>
        <w:t xml:space="preserve">1、中国证监会批准交银施罗德理财21天债券型证券投资基金募集的文件； </w:t>
      </w:r>
    </w:p>
    <w:p>
      <w:pPr>
        <w:spacing w:before="29" w:line="288" w:lineRule="auto"/>
        <w:ind w:firstLine="480" w:firstLineChars="200"/>
        <w:rPr>
          <w:color w:val="000000"/>
          <w:sz w:val="24"/>
        </w:rPr>
      </w:pPr>
      <w:r>
        <w:rPr>
          <w:color w:val="000000"/>
          <w:sz w:val="24"/>
        </w:rPr>
        <w:t xml:space="preserve">2、《交银施罗德理财21天债券型证券投资基金基金合同》； </w:t>
      </w:r>
    </w:p>
    <w:p>
      <w:pPr>
        <w:spacing w:before="29" w:line="288" w:lineRule="auto"/>
        <w:ind w:firstLine="480" w:firstLineChars="200"/>
        <w:rPr>
          <w:color w:val="000000"/>
          <w:sz w:val="24"/>
        </w:rPr>
      </w:pPr>
      <w:r>
        <w:rPr>
          <w:color w:val="000000"/>
          <w:sz w:val="24"/>
        </w:rPr>
        <w:t xml:space="preserve">3、《交银施罗德理财21天债券型证券投资基金招募说明书》； </w:t>
      </w:r>
    </w:p>
    <w:p>
      <w:pPr>
        <w:spacing w:before="29" w:line="288" w:lineRule="auto"/>
        <w:ind w:firstLine="480" w:firstLineChars="200"/>
        <w:rPr>
          <w:color w:val="000000"/>
          <w:sz w:val="24"/>
        </w:rPr>
      </w:pPr>
      <w:r>
        <w:rPr>
          <w:color w:val="000000"/>
          <w:sz w:val="24"/>
        </w:rPr>
        <w:t xml:space="preserve">4、《交银施罗德理财21天债券型证券投资基金托管协议》； </w:t>
      </w:r>
    </w:p>
    <w:p>
      <w:pPr>
        <w:spacing w:before="29" w:line="288" w:lineRule="auto"/>
        <w:ind w:firstLine="480" w:firstLineChars="200"/>
        <w:rPr>
          <w:color w:val="000000"/>
          <w:sz w:val="24"/>
        </w:rPr>
      </w:pPr>
      <w:r>
        <w:rPr>
          <w:color w:val="000000"/>
          <w:sz w:val="24"/>
        </w:rPr>
        <w:t xml:space="preserve">5、关于募集交银施罗德理财21天债券型证券投资基金之法律意见书； </w:t>
      </w:r>
    </w:p>
    <w:p>
      <w:pPr>
        <w:spacing w:before="29" w:line="288" w:lineRule="auto"/>
        <w:ind w:firstLine="480" w:firstLineChars="200"/>
        <w:rPr>
          <w:color w:val="000000"/>
          <w:sz w:val="24"/>
        </w:rPr>
      </w:pPr>
      <w:r>
        <w:rPr>
          <w:color w:val="000000"/>
          <w:sz w:val="24"/>
        </w:rPr>
        <w:t xml:space="preserve">6、基金管理人业务资格批件、营业执照； </w:t>
      </w:r>
    </w:p>
    <w:p>
      <w:pPr>
        <w:spacing w:before="29" w:line="288" w:lineRule="auto"/>
        <w:ind w:firstLine="480" w:firstLineChars="200"/>
        <w:rPr>
          <w:color w:val="000000"/>
          <w:sz w:val="24"/>
        </w:rPr>
      </w:pPr>
      <w:r>
        <w:rPr>
          <w:color w:val="000000"/>
          <w:sz w:val="24"/>
        </w:rPr>
        <w:t xml:space="preserve">7、基金托管人业务资格批件、营业执照； </w:t>
      </w:r>
    </w:p>
    <w:p w:rsidP="00281564" w:rsidR="00AB373C" w:rsidRDefault="00AB373C" w:rsidRPr="000E4C40">
      <w:pPr>
        <w:spacing w:before="29" w:line="288" w:lineRule="auto"/>
        <w:ind w:firstLine="480" w:firstLineChars="200"/>
        <w:rPr>
          <w:color w:val="000000"/>
          <w:sz w:val="24"/>
        </w:rPr>
      </w:pPr>
      <w:r w:rsidRPr="000E4C40">
        <w:rPr>
          <w:color w:val="000000"/>
          <w:sz w:val="24"/>
        </w:rPr>
        <w:t>8、报告期内交银施罗德理财21天债券型证券投资基金在指定报刊上各项公告的原稿。</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2</w:t>
      </w:r>
      <w:r w:rsidR="00AB373C" w:rsidRPr="000E4C40">
        <w:rPr>
          <w:rFonts w:hAnsi="宋体"/>
          <w:b/>
          <w:bCs/>
          <w:color w:val="000000"/>
          <w:kern w:val="0"/>
          <w:sz w:val="24"/>
        </w:rPr>
        <w:t>存放地点</w:t>
      </w:r>
    </w:p>
    <w:p w:rsidP="00281564" w:rsidR="00AB373C" w:rsidRDefault="00AB373C" w:rsidRPr="000E4C40">
      <w:pPr>
        <w:spacing w:before="29" w:line="288" w:lineRule="auto"/>
        <w:ind w:firstLine="480" w:firstLineChars="200"/>
        <w:rPr>
          <w:color w:val="000000"/>
          <w:sz w:val="24"/>
        </w:rPr>
      </w:pPr>
      <w:r w:rsidRPr="000E4C40">
        <w:rPr>
          <w:color w:val="000000"/>
          <w:sz w:val="24"/>
        </w:rPr>
        <w:t>备查文件存放于基金管理人的办公场所。</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3</w:t>
      </w:r>
      <w:r w:rsidR="00AB373C" w:rsidRPr="000E4C40">
        <w:rPr>
          <w:rFonts w:hAnsi="宋体"/>
          <w:b/>
          <w:bCs/>
          <w:color w:val="000000"/>
          <w:kern w:val="0"/>
          <w:sz w:val="24"/>
        </w:rPr>
        <w:t>查阅方式</w:t>
      </w:r>
    </w:p>
    <w:p>
      <w:pPr>
        <w:spacing w:before="29" w:line="288" w:lineRule="auto"/>
        <w:ind w:firstLine="480" w:firstLineChars="200"/>
        <w:rPr>
          <w:color w:val="000000"/>
          <w:sz w:val="24"/>
        </w:rPr>
      </w:pPr>
      <w:r>
        <w:rPr>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281564" w:rsidR="009D74FC" w:rsidRDefault="00AB373C" w:rsidRPr="000E4C40">
      <w:pPr>
        <w:spacing w:before="29" w:line="288" w:lineRule="auto"/>
        <w:ind w:firstLine="480" w:firstLineChars="200"/>
        <w:rPr>
          <w:color w:val="000000"/>
          <w:sz w:val="24"/>
        </w:rPr>
      </w:pPr>
      <w:r w:rsidRPr="000E4C40">
        <w:rPr>
          <w:color w:val="000000"/>
          <w:sz w:val="24"/>
        </w:rPr>
        <w:t>投资者对本报告书如有疑问，可咨询本基金管理人交银施罗德基金管理有限公司。本公司客户服务中心电话：400-700-5000（免长途话费），021-61055000，电子邮件：services@jysld.com。</w:t>
      </w:r>
    </w:p>
    <w:p w:rsidP="00281564" w:rsidR="003B6DC6" w:rsidRDefault="003B6DC6" w:rsidRPr="000E4C40">
      <w:pPr>
        <w:spacing w:before="29" w:line="288" w:lineRule="auto"/>
        <w:ind w:right="480"/>
        <w:rPr>
          <w:b/>
          <w:bCs/>
          <w:sz w:val="24"/>
        </w:rPr>
      </w:pPr>
    </w:p>
    <w:sectPr w:rsidR="003B6DC6" w:rsidRPr="000E4C40" w:rsidSect="00075BBB">
      <w:pgSz w:h="15840" w:w="11926"/>
      <w:pgMar w:bottom="852" w:footer="992" w:gutter="0" w:header="851" w:left="1420" w:right="1420" w:top="1420"/>
      <w:cols w:space="720"/>
      <w:noEndnote/>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30" w:rsidRDefault="00EE2130">
      <w:r>
        <w:separator/>
      </w:r>
    </w:p>
  </w:endnote>
  <w:endnote w:type="continuationSeparator" w:id="0">
    <w:p w:rsidR="00EE2130" w:rsidRDefault="00EE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5"/>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1D0DB0" w:rsidR="00FE3EEE" w:rsidRDefault="00FE3EEE" w:rsidRPr="001D0DB0">
    <w:pPr>
      <w:pStyle w:val="a5"/>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46DC3">
      <w:rPr>
        <w:noProof/>
        <w:kern w:val="0"/>
        <w:szCs w:val="21"/>
      </w:rPr>
      <w:t>18</w:t>
    </w:r>
    <w:r>
      <w:rPr>
        <w:kern w:val="0"/>
        <w:szCs w:val="21"/>
      </w:rPr>
      <w:fldChar w:fldCharType="end"/>
    </w:r>
    <w:r>
      <w:rPr>
        <w:rFonts w:hint="eastAsia"/>
        <w:kern w:val="0"/>
        <w:szCs w:val="21"/>
      </w:rPr>
      <w:t>页共</w:t>
    </w:r>
    <w:r>
      <w:rPr>
        <w:rFonts w:hint="eastAsia"/>
        <w:kern w:val="0"/>
        <w:szCs w:val="21"/>
      </w:rPr>
      <w:fldChar w:fldCharType="begin"/>
    </w:r>
    <w:r>
      <w:rPr>
        <w:kern w:val="0"/>
        <w:szCs w:val="21"/>
      </w:rPr>
      <w:instrText xml:space="preserve"> NUMPAGES </w:instrText>
    </w:r>
    <w:r>
      <w:rPr>
        <w:rFonts w:hint="eastAsia"/>
        <w:kern w:val="0"/>
        <w:szCs w:val="21"/>
      </w:rPr>
      <w:fldChar w:fldCharType="separate"/>
    </w:r>
    <w:r w:rsidR="00346DC3">
      <w:rPr>
        <w:noProof/>
        <w:kern w:val="0"/>
        <w:szCs w:val="21"/>
      </w:rPr>
      <w:t>23</w:t>
    </w:r>
    <w:r>
      <w:rPr>
        <w:rFonts w:hint="eastAsia"/>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5"/>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EE2130" w:rsidRDefault="00EE2130">
      <w:r>
        <w:separator/>
      </w:r>
    </w:p>
  </w:footnote>
  <w:footnote w:id="0" w:type="continuationSeparator">
    <w:p w:rsidR="00EE2130" w:rsidRDefault="00EE2130">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8379E2" w:rsidR="00FE3EEE" w:rsidRDefault="00FE3EEE" w:rsidRPr="00841EB4">
    <w:pPr>
      <w:pStyle w:val="a4"/>
      <w:pBdr>
        <w:bottom w:color="auto" w:space="0" w:sz="6" w:val="single"/>
      </w:pBdr>
      <w:jc w:val="right"/>
      <w:rPr>
        <w:sz w:val="24"/>
        <w:szCs w:val="24"/>
      </w:rPr>
    </w:pPr>
    <w:r w:rsidRPr="003E676C">
      <w:rPr>
        <w:sz w:val="24"/>
        <w:szCs w:val="24"/>
      </w:rPr>
      <w:t>交银施罗德理财21天债券型证券投资基金2019年第3季度报告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4"/>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E125ACF"/>
    <w:multiLevelType w:val="hybridMultilevel"/>
    <w:tmpl w:val="A1BADB72"/>
    <w:lvl w:ilvl="0" w:tplc="1694A2F2">
      <w:start w:val="1"/>
      <w:numFmt w:val="decimal"/>
      <w:lvlText w:val="%1、"/>
      <w:lvlJc w:val="left"/>
      <w:pPr>
        <w:tabs>
          <w:tab w:pos="830" w:val="num"/>
        </w:tabs>
        <w:ind w:hanging="360" w:left="830"/>
      </w:pPr>
      <w:rPr>
        <w:rFonts w:ascii="宋体" w:hint="default"/>
        <w:color w:val="auto"/>
      </w:rPr>
    </w:lvl>
    <w:lvl w:ilvl="1" w:tentative="1" w:tplc="04090019">
      <w:start w:val="1"/>
      <w:numFmt w:val="lowerLetter"/>
      <w:lvlText w:val="%2)"/>
      <w:lvlJc w:val="left"/>
      <w:pPr>
        <w:tabs>
          <w:tab w:pos="1310" w:val="num"/>
        </w:tabs>
        <w:ind w:hanging="420" w:left="1310"/>
      </w:pPr>
    </w:lvl>
    <w:lvl w:ilvl="2" w:tentative="1" w:tplc="0409001B">
      <w:start w:val="1"/>
      <w:numFmt w:val="lowerRoman"/>
      <w:lvlText w:val="%3."/>
      <w:lvlJc w:val="right"/>
      <w:pPr>
        <w:tabs>
          <w:tab w:pos="1730" w:val="num"/>
        </w:tabs>
        <w:ind w:hanging="420" w:left="1730"/>
      </w:pPr>
    </w:lvl>
    <w:lvl w:ilvl="3" w:tentative="1" w:tplc="0409000F">
      <w:start w:val="1"/>
      <w:numFmt w:val="decimal"/>
      <w:lvlText w:val="%4."/>
      <w:lvlJc w:val="left"/>
      <w:pPr>
        <w:tabs>
          <w:tab w:pos="2150" w:val="num"/>
        </w:tabs>
        <w:ind w:hanging="420" w:left="2150"/>
      </w:pPr>
    </w:lvl>
    <w:lvl w:ilvl="4" w:tentative="1" w:tplc="04090019">
      <w:start w:val="1"/>
      <w:numFmt w:val="lowerLetter"/>
      <w:lvlText w:val="%5)"/>
      <w:lvlJc w:val="left"/>
      <w:pPr>
        <w:tabs>
          <w:tab w:pos="2570" w:val="num"/>
        </w:tabs>
        <w:ind w:hanging="420" w:left="2570"/>
      </w:pPr>
    </w:lvl>
    <w:lvl w:ilvl="5" w:tentative="1" w:tplc="0409001B">
      <w:start w:val="1"/>
      <w:numFmt w:val="lowerRoman"/>
      <w:lvlText w:val="%6."/>
      <w:lvlJc w:val="right"/>
      <w:pPr>
        <w:tabs>
          <w:tab w:pos="2990" w:val="num"/>
        </w:tabs>
        <w:ind w:hanging="420" w:left="2990"/>
      </w:pPr>
    </w:lvl>
    <w:lvl w:ilvl="6" w:tentative="1" w:tplc="0409000F">
      <w:start w:val="1"/>
      <w:numFmt w:val="decimal"/>
      <w:lvlText w:val="%7."/>
      <w:lvlJc w:val="left"/>
      <w:pPr>
        <w:tabs>
          <w:tab w:pos="3410" w:val="num"/>
        </w:tabs>
        <w:ind w:hanging="420" w:left="3410"/>
      </w:pPr>
    </w:lvl>
    <w:lvl w:ilvl="7" w:tentative="1" w:tplc="04090019">
      <w:start w:val="1"/>
      <w:numFmt w:val="lowerLetter"/>
      <w:lvlText w:val="%8)"/>
      <w:lvlJc w:val="left"/>
      <w:pPr>
        <w:tabs>
          <w:tab w:pos="3830" w:val="num"/>
        </w:tabs>
        <w:ind w:hanging="420" w:left="3830"/>
      </w:pPr>
    </w:lvl>
    <w:lvl w:ilvl="8" w:tentative="1" w:tplc="0409001B">
      <w:start w:val="1"/>
      <w:numFmt w:val="lowerRoman"/>
      <w:lvlText w:val="%9."/>
      <w:lvlJc w:val="right"/>
      <w:pPr>
        <w:tabs>
          <w:tab w:pos="4250" w:val="num"/>
        </w:tabs>
        <w:ind w:hanging="420" w:left="4250"/>
      </w:pPr>
    </w:lvl>
  </w:abstractNum>
  <w:num w:numId="1">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embedSystemFonts/>
  <w:bordersDoNotSurroundHeader/>
  <w:bordersDoNotSurroundFooter/>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05660"/>
    <w:rsid w:val="00011D5A"/>
    <w:rsid w:val="000126D2"/>
    <w:rsid w:val="0001552D"/>
    <w:rsid w:val="0001566B"/>
    <w:rsid w:val="0002085F"/>
    <w:rsid w:val="00035596"/>
    <w:rsid w:val="000417E0"/>
    <w:rsid w:val="00044724"/>
    <w:rsid w:val="00052CA4"/>
    <w:rsid w:val="0005518A"/>
    <w:rsid w:val="00057D26"/>
    <w:rsid w:val="000607E9"/>
    <w:rsid w:val="00063BA4"/>
    <w:rsid w:val="00064E6F"/>
    <w:rsid w:val="0006697D"/>
    <w:rsid w:val="00070092"/>
    <w:rsid w:val="0007109E"/>
    <w:rsid w:val="00075BBB"/>
    <w:rsid w:val="00075CA2"/>
    <w:rsid w:val="0007770D"/>
    <w:rsid w:val="000873A2"/>
    <w:rsid w:val="000911B4"/>
    <w:rsid w:val="000A1E90"/>
    <w:rsid w:val="000A2D74"/>
    <w:rsid w:val="000A6084"/>
    <w:rsid w:val="000A6B57"/>
    <w:rsid w:val="000A7480"/>
    <w:rsid w:val="000B2044"/>
    <w:rsid w:val="000B2266"/>
    <w:rsid w:val="000B6615"/>
    <w:rsid w:val="000C469F"/>
    <w:rsid w:val="000D0F44"/>
    <w:rsid w:val="000D6294"/>
    <w:rsid w:val="000D66F0"/>
    <w:rsid w:val="000E0F6E"/>
    <w:rsid w:val="000E4C40"/>
    <w:rsid w:val="000E5695"/>
    <w:rsid w:val="000F1795"/>
    <w:rsid w:val="000F2D88"/>
    <w:rsid w:val="000F2DA3"/>
    <w:rsid w:val="000F3C21"/>
    <w:rsid w:val="000F4826"/>
    <w:rsid w:val="000F4B69"/>
    <w:rsid w:val="000F5947"/>
    <w:rsid w:val="000F78F3"/>
    <w:rsid w:val="00101278"/>
    <w:rsid w:val="0010236C"/>
    <w:rsid w:val="001038EF"/>
    <w:rsid w:val="00103B93"/>
    <w:rsid w:val="001074D6"/>
    <w:rsid w:val="00113777"/>
    <w:rsid w:val="00114C97"/>
    <w:rsid w:val="00124BE3"/>
    <w:rsid w:val="0012707C"/>
    <w:rsid w:val="001302DB"/>
    <w:rsid w:val="00134628"/>
    <w:rsid w:val="00144663"/>
    <w:rsid w:val="00157B55"/>
    <w:rsid w:val="00162222"/>
    <w:rsid w:val="001635C7"/>
    <w:rsid w:val="0018245B"/>
    <w:rsid w:val="0018401C"/>
    <w:rsid w:val="00186667"/>
    <w:rsid w:val="00187BE0"/>
    <w:rsid w:val="00191B28"/>
    <w:rsid w:val="00193BCF"/>
    <w:rsid w:val="00195C6F"/>
    <w:rsid w:val="00196812"/>
    <w:rsid w:val="00197ED0"/>
    <w:rsid w:val="001A2524"/>
    <w:rsid w:val="001B1302"/>
    <w:rsid w:val="001B1BC6"/>
    <w:rsid w:val="001B3FBF"/>
    <w:rsid w:val="001B42BE"/>
    <w:rsid w:val="001B72D6"/>
    <w:rsid w:val="001B7CC6"/>
    <w:rsid w:val="001C5D80"/>
    <w:rsid w:val="001C668D"/>
    <w:rsid w:val="001C69EF"/>
    <w:rsid w:val="001D0D4C"/>
    <w:rsid w:val="001D0DB0"/>
    <w:rsid w:val="001D3FAC"/>
    <w:rsid w:val="001D65C8"/>
    <w:rsid w:val="001D6ECD"/>
    <w:rsid w:val="001D75D9"/>
    <w:rsid w:val="001E15D0"/>
    <w:rsid w:val="001E1B20"/>
    <w:rsid w:val="001E2E91"/>
    <w:rsid w:val="001E6FA5"/>
    <w:rsid w:val="001F0286"/>
    <w:rsid w:val="00205A5F"/>
    <w:rsid w:val="0020640F"/>
    <w:rsid w:val="0021251E"/>
    <w:rsid w:val="00220DD8"/>
    <w:rsid w:val="00223D01"/>
    <w:rsid w:val="002304D5"/>
    <w:rsid w:val="00232095"/>
    <w:rsid w:val="00233014"/>
    <w:rsid w:val="0024424F"/>
    <w:rsid w:val="002473A1"/>
    <w:rsid w:val="0025028B"/>
    <w:rsid w:val="002507FE"/>
    <w:rsid w:val="002525C7"/>
    <w:rsid w:val="00254E7F"/>
    <w:rsid w:val="002611C3"/>
    <w:rsid w:val="002622E8"/>
    <w:rsid w:val="002648B5"/>
    <w:rsid w:val="00267283"/>
    <w:rsid w:val="00274FAC"/>
    <w:rsid w:val="00281564"/>
    <w:rsid w:val="0029349C"/>
    <w:rsid w:val="002A4B7F"/>
    <w:rsid w:val="002A55E5"/>
    <w:rsid w:val="002B45A4"/>
    <w:rsid w:val="002C019C"/>
    <w:rsid w:val="002C1941"/>
    <w:rsid w:val="002C29B1"/>
    <w:rsid w:val="002D3ADF"/>
    <w:rsid w:val="002E040C"/>
    <w:rsid w:val="002E0F4A"/>
    <w:rsid w:val="002F0E9D"/>
    <w:rsid w:val="002F62AD"/>
    <w:rsid w:val="002F6539"/>
    <w:rsid w:val="00305FAF"/>
    <w:rsid w:val="00307062"/>
    <w:rsid w:val="00311ADA"/>
    <w:rsid w:val="00311AEB"/>
    <w:rsid w:val="00311BDC"/>
    <w:rsid w:val="00322B07"/>
    <w:rsid w:val="0032323A"/>
    <w:rsid w:val="00323377"/>
    <w:rsid w:val="00325E07"/>
    <w:rsid w:val="00327FB0"/>
    <w:rsid w:val="00340292"/>
    <w:rsid w:val="00340C3A"/>
    <w:rsid w:val="00343648"/>
    <w:rsid w:val="00343AF0"/>
    <w:rsid w:val="003446AD"/>
    <w:rsid w:val="00346359"/>
    <w:rsid w:val="00346B82"/>
    <w:rsid w:val="00346DC3"/>
    <w:rsid w:val="0035022C"/>
    <w:rsid w:val="0035215C"/>
    <w:rsid w:val="00362E2A"/>
    <w:rsid w:val="00363ED1"/>
    <w:rsid w:val="00371E26"/>
    <w:rsid w:val="00373AAB"/>
    <w:rsid w:val="00380B76"/>
    <w:rsid w:val="00383631"/>
    <w:rsid w:val="00383960"/>
    <w:rsid w:val="00384942"/>
    <w:rsid w:val="0039276A"/>
    <w:rsid w:val="00394BC1"/>
    <w:rsid w:val="003A0EC1"/>
    <w:rsid w:val="003B36B4"/>
    <w:rsid w:val="003B6DC6"/>
    <w:rsid w:val="003C0E8C"/>
    <w:rsid w:val="003C1137"/>
    <w:rsid w:val="003C495A"/>
    <w:rsid w:val="003D1E1A"/>
    <w:rsid w:val="003D1ECF"/>
    <w:rsid w:val="003D21F4"/>
    <w:rsid w:val="003D44FC"/>
    <w:rsid w:val="003D799E"/>
    <w:rsid w:val="003E14FE"/>
    <w:rsid w:val="003E565B"/>
    <w:rsid w:val="003F0FE7"/>
    <w:rsid w:val="003F2742"/>
    <w:rsid w:val="003F43EB"/>
    <w:rsid w:val="00402654"/>
    <w:rsid w:val="00403ED2"/>
    <w:rsid w:val="00410A6D"/>
    <w:rsid w:val="00423C71"/>
    <w:rsid w:val="004250C5"/>
    <w:rsid w:val="00425438"/>
    <w:rsid w:val="004330DF"/>
    <w:rsid w:val="00433C1E"/>
    <w:rsid w:val="004369B0"/>
    <w:rsid w:val="00440828"/>
    <w:rsid w:val="0044257C"/>
    <w:rsid w:val="00444A55"/>
    <w:rsid w:val="00446474"/>
    <w:rsid w:val="0044671E"/>
    <w:rsid w:val="00451FCA"/>
    <w:rsid w:val="004527E3"/>
    <w:rsid w:val="00452D31"/>
    <w:rsid w:val="00457CD3"/>
    <w:rsid w:val="00460000"/>
    <w:rsid w:val="00460350"/>
    <w:rsid w:val="00461A70"/>
    <w:rsid w:val="0046349D"/>
    <w:rsid w:val="00464ABB"/>
    <w:rsid w:val="004702DF"/>
    <w:rsid w:val="00470341"/>
    <w:rsid w:val="00473E10"/>
    <w:rsid w:val="00473EC9"/>
    <w:rsid w:val="00474896"/>
    <w:rsid w:val="004771B9"/>
    <w:rsid w:val="00496B2E"/>
    <w:rsid w:val="00496DD2"/>
    <w:rsid w:val="004A2432"/>
    <w:rsid w:val="004A357E"/>
    <w:rsid w:val="004A46A0"/>
    <w:rsid w:val="004A67CC"/>
    <w:rsid w:val="004A6E66"/>
    <w:rsid w:val="004B1C09"/>
    <w:rsid w:val="004C5B7C"/>
    <w:rsid w:val="004D22E1"/>
    <w:rsid w:val="004E041A"/>
    <w:rsid w:val="004E3452"/>
    <w:rsid w:val="004E4E63"/>
    <w:rsid w:val="004F2B3F"/>
    <w:rsid w:val="00501282"/>
    <w:rsid w:val="00501830"/>
    <w:rsid w:val="00504B75"/>
    <w:rsid w:val="00506EF6"/>
    <w:rsid w:val="005141F5"/>
    <w:rsid w:val="00515166"/>
    <w:rsid w:val="0051578D"/>
    <w:rsid w:val="005212AE"/>
    <w:rsid w:val="00525834"/>
    <w:rsid w:val="00533490"/>
    <w:rsid w:val="00542985"/>
    <w:rsid w:val="0054464B"/>
    <w:rsid w:val="0054477E"/>
    <w:rsid w:val="0054785C"/>
    <w:rsid w:val="00555883"/>
    <w:rsid w:val="00560F94"/>
    <w:rsid w:val="005633AD"/>
    <w:rsid w:val="00570F8C"/>
    <w:rsid w:val="005721C7"/>
    <w:rsid w:val="00575970"/>
    <w:rsid w:val="00580560"/>
    <w:rsid w:val="00582960"/>
    <w:rsid w:val="00585084"/>
    <w:rsid w:val="00592D0A"/>
    <w:rsid w:val="00592F2C"/>
    <w:rsid w:val="00594DCA"/>
    <w:rsid w:val="00595285"/>
    <w:rsid w:val="005954A4"/>
    <w:rsid w:val="00597A8E"/>
    <w:rsid w:val="005A2388"/>
    <w:rsid w:val="005A60B7"/>
    <w:rsid w:val="005B0F46"/>
    <w:rsid w:val="005B527B"/>
    <w:rsid w:val="005D0779"/>
    <w:rsid w:val="005D596C"/>
    <w:rsid w:val="005D6807"/>
    <w:rsid w:val="005E0463"/>
    <w:rsid w:val="005E05CC"/>
    <w:rsid w:val="005E2087"/>
    <w:rsid w:val="005E560C"/>
    <w:rsid w:val="005E6FA5"/>
    <w:rsid w:val="005F05D6"/>
    <w:rsid w:val="005F17EC"/>
    <w:rsid w:val="005F3F29"/>
    <w:rsid w:val="005F41D2"/>
    <w:rsid w:val="005F668B"/>
    <w:rsid w:val="005F6B28"/>
    <w:rsid w:val="0060549B"/>
    <w:rsid w:val="00613327"/>
    <w:rsid w:val="00617DD4"/>
    <w:rsid w:val="006214E4"/>
    <w:rsid w:val="00623E3A"/>
    <w:rsid w:val="006245FF"/>
    <w:rsid w:val="00630342"/>
    <w:rsid w:val="0063302E"/>
    <w:rsid w:val="00633177"/>
    <w:rsid w:val="006331F2"/>
    <w:rsid w:val="00633CF7"/>
    <w:rsid w:val="00636261"/>
    <w:rsid w:val="00636B17"/>
    <w:rsid w:val="0064191E"/>
    <w:rsid w:val="00664834"/>
    <w:rsid w:val="006724A2"/>
    <w:rsid w:val="00672BEF"/>
    <w:rsid w:val="00672C2D"/>
    <w:rsid w:val="00672D25"/>
    <w:rsid w:val="00673BA5"/>
    <w:rsid w:val="006767A8"/>
    <w:rsid w:val="00684A5A"/>
    <w:rsid w:val="0069018A"/>
    <w:rsid w:val="006911A1"/>
    <w:rsid w:val="00693EE6"/>
    <w:rsid w:val="006A1E40"/>
    <w:rsid w:val="006A2D00"/>
    <w:rsid w:val="006B4C67"/>
    <w:rsid w:val="006C671E"/>
    <w:rsid w:val="006C7553"/>
    <w:rsid w:val="006D1D53"/>
    <w:rsid w:val="006D27DD"/>
    <w:rsid w:val="006D4647"/>
    <w:rsid w:val="006D4C22"/>
    <w:rsid w:val="006E13AB"/>
    <w:rsid w:val="006E2890"/>
    <w:rsid w:val="006E3E17"/>
    <w:rsid w:val="006E470F"/>
    <w:rsid w:val="006E4EB5"/>
    <w:rsid w:val="006F1C55"/>
    <w:rsid w:val="006F3CEE"/>
    <w:rsid w:val="006F622C"/>
    <w:rsid w:val="0070378F"/>
    <w:rsid w:val="00707CB2"/>
    <w:rsid w:val="00710487"/>
    <w:rsid w:val="00714B3D"/>
    <w:rsid w:val="0071688D"/>
    <w:rsid w:val="007277D1"/>
    <w:rsid w:val="00727EA0"/>
    <w:rsid w:val="00730567"/>
    <w:rsid w:val="0073105A"/>
    <w:rsid w:val="00733AB7"/>
    <w:rsid w:val="00734B8E"/>
    <w:rsid w:val="0073602D"/>
    <w:rsid w:val="00737060"/>
    <w:rsid w:val="00741288"/>
    <w:rsid w:val="00741E1D"/>
    <w:rsid w:val="0074455F"/>
    <w:rsid w:val="00744E84"/>
    <w:rsid w:val="007521F9"/>
    <w:rsid w:val="00756489"/>
    <w:rsid w:val="00756EA2"/>
    <w:rsid w:val="00757F37"/>
    <w:rsid w:val="00762E87"/>
    <w:rsid w:val="00764CF7"/>
    <w:rsid w:val="007723FD"/>
    <w:rsid w:val="00772687"/>
    <w:rsid w:val="00774E1E"/>
    <w:rsid w:val="00780252"/>
    <w:rsid w:val="00782061"/>
    <w:rsid w:val="00785C32"/>
    <w:rsid w:val="00786879"/>
    <w:rsid w:val="00790C4E"/>
    <w:rsid w:val="007B082A"/>
    <w:rsid w:val="007B1C3E"/>
    <w:rsid w:val="007C42E5"/>
    <w:rsid w:val="007C4D1A"/>
    <w:rsid w:val="007E0C02"/>
    <w:rsid w:val="007E263D"/>
    <w:rsid w:val="007F1DE3"/>
    <w:rsid w:val="007F5A8D"/>
    <w:rsid w:val="007F7BD7"/>
    <w:rsid w:val="008056FA"/>
    <w:rsid w:val="0080769B"/>
    <w:rsid w:val="008115B6"/>
    <w:rsid w:val="00813897"/>
    <w:rsid w:val="00814461"/>
    <w:rsid w:val="00824081"/>
    <w:rsid w:val="00824D84"/>
    <w:rsid w:val="00825EA5"/>
    <w:rsid w:val="0082661C"/>
    <w:rsid w:val="00833555"/>
    <w:rsid w:val="008347B3"/>
    <w:rsid w:val="00834F7F"/>
    <w:rsid w:val="00835BDD"/>
    <w:rsid w:val="008379E2"/>
    <w:rsid w:val="00841EB4"/>
    <w:rsid w:val="00844B21"/>
    <w:rsid w:val="00852119"/>
    <w:rsid w:val="0085498E"/>
    <w:rsid w:val="00855BA5"/>
    <w:rsid w:val="0086245E"/>
    <w:rsid w:val="00880EE6"/>
    <w:rsid w:val="00882323"/>
    <w:rsid w:val="00887643"/>
    <w:rsid w:val="0089287A"/>
    <w:rsid w:val="00893021"/>
    <w:rsid w:val="008955D4"/>
    <w:rsid w:val="008A1980"/>
    <w:rsid w:val="008B17AE"/>
    <w:rsid w:val="008B23BD"/>
    <w:rsid w:val="008D0A39"/>
    <w:rsid w:val="008D2405"/>
    <w:rsid w:val="008E3415"/>
    <w:rsid w:val="008E4638"/>
    <w:rsid w:val="008E71D2"/>
    <w:rsid w:val="008F44F3"/>
    <w:rsid w:val="009004F7"/>
    <w:rsid w:val="00901503"/>
    <w:rsid w:val="00902E3F"/>
    <w:rsid w:val="00903E98"/>
    <w:rsid w:val="00906C9B"/>
    <w:rsid w:val="00907F97"/>
    <w:rsid w:val="00910FB5"/>
    <w:rsid w:val="00911C0E"/>
    <w:rsid w:val="009153D7"/>
    <w:rsid w:val="00920D1F"/>
    <w:rsid w:val="009268A2"/>
    <w:rsid w:val="00930856"/>
    <w:rsid w:val="0094213C"/>
    <w:rsid w:val="00943AFD"/>
    <w:rsid w:val="00943CEC"/>
    <w:rsid w:val="00945D45"/>
    <w:rsid w:val="00951A65"/>
    <w:rsid w:val="0095453F"/>
    <w:rsid w:val="0097021E"/>
    <w:rsid w:val="00971744"/>
    <w:rsid w:val="00971C19"/>
    <w:rsid w:val="00971D35"/>
    <w:rsid w:val="0097206C"/>
    <w:rsid w:val="00984D79"/>
    <w:rsid w:val="00985C3A"/>
    <w:rsid w:val="0099296A"/>
    <w:rsid w:val="009965A5"/>
    <w:rsid w:val="009A56D7"/>
    <w:rsid w:val="009A755D"/>
    <w:rsid w:val="009B15FD"/>
    <w:rsid w:val="009B2693"/>
    <w:rsid w:val="009B3AF9"/>
    <w:rsid w:val="009B3BAA"/>
    <w:rsid w:val="009B3C3F"/>
    <w:rsid w:val="009B3F21"/>
    <w:rsid w:val="009B4EB9"/>
    <w:rsid w:val="009B73A7"/>
    <w:rsid w:val="009C1A42"/>
    <w:rsid w:val="009D1870"/>
    <w:rsid w:val="009D3E05"/>
    <w:rsid w:val="009D54AB"/>
    <w:rsid w:val="009D60EB"/>
    <w:rsid w:val="009D74FC"/>
    <w:rsid w:val="009E07F4"/>
    <w:rsid w:val="009E2BAA"/>
    <w:rsid w:val="009E2CEC"/>
    <w:rsid w:val="009E3E0B"/>
    <w:rsid w:val="009F480F"/>
    <w:rsid w:val="009F4A7B"/>
    <w:rsid w:val="00A01505"/>
    <w:rsid w:val="00A1530B"/>
    <w:rsid w:val="00A16747"/>
    <w:rsid w:val="00A16D78"/>
    <w:rsid w:val="00A21753"/>
    <w:rsid w:val="00A21EC2"/>
    <w:rsid w:val="00A24DC0"/>
    <w:rsid w:val="00A33AA8"/>
    <w:rsid w:val="00A42A96"/>
    <w:rsid w:val="00A44046"/>
    <w:rsid w:val="00A455A0"/>
    <w:rsid w:val="00A50D92"/>
    <w:rsid w:val="00A53C6C"/>
    <w:rsid w:val="00A55038"/>
    <w:rsid w:val="00A575D2"/>
    <w:rsid w:val="00A62469"/>
    <w:rsid w:val="00A62DD4"/>
    <w:rsid w:val="00A65A66"/>
    <w:rsid w:val="00A7219D"/>
    <w:rsid w:val="00A76B36"/>
    <w:rsid w:val="00A805BC"/>
    <w:rsid w:val="00A80F9F"/>
    <w:rsid w:val="00A81075"/>
    <w:rsid w:val="00A83050"/>
    <w:rsid w:val="00A83F4B"/>
    <w:rsid w:val="00A87550"/>
    <w:rsid w:val="00A948C3"/>
    <w:rsid w:val="00A95FA9"/>
    <w:rsid w:val="00A96BCD"/>
    <w:rsid w:val="00AA1DFA"/>
    <w:rsid w:val="00AA5B03"/>
    <w:rsid w:val="00AA68D4"/>
    <w:rsid w:val="00AB373C"/>
    <w:rsid w:val="00AB5159"/>
    <w:rsid w:val="00AC2ACF"/>
    <w:rsid w:val="00AC2B47"/>
    <w:rsid w:val="00AC3D9E"/>
    <w:rsid w:val="00AC446F"/>
    <w:rsid w:val="00AC6C3D"/>
    <w:rsid w:val="00AD1ADB"/>
    <w:rsid w:val="00AD2F16"/>
    <w:rsid w:val="00AD30B2"/>
    <w:rsid w:val="00AD68B9"/>
    <w:rsid w:val="00AE17F1"/>
    <w:rsid w:val="00AE2FB9"/>
    <w:rsid w:val="00AE342F"/>
    <w:rsid w:val="00AE4F96"/>
    <w:rsid w:val="00AE6D9A"/>
    <w:rsid w:val="00AE7435"/>
    <w:rsid w:val="00AF2397"/>
    <w:rsid w:val="00AF27F9"/>
    <w:rsid w:val="00AF3D19"/>
    <w:rsid w:val="00AF60BA"/>
    <w:rsid w:val="00B040BC"/>
    <w:rsid w:val="00B0441A"/>
    <w:rsid w:val="00B044FC"/>
    <w:rsid w:val="00B06458"/>
    <w:rsid w:val="00B071B2"/>
    <w:rsid w:val="00B07C45"/>
    <w:rsid w:val="00B11578"/>
    <w:rsid w:val="00B12EB2"/>
    <w:rsid w:val="00B13F60"/>
    <w:rsid w:val="00B2239A"/>
    <w:rsid w:val="00B25119"/>
    <w:rsid w:val="00B26FE5"/>
    <w:rsid w:val="00B27004"/>
    <w:rsid w:val="00B33F45"/>
    <w:rsid w:val="00B33FA5"/>
    <w:rsid w:val="00B40443"/>
    <w:rsid w:val="00B415B8"/>
    <w:rsid w:val="00B420AC"/>
    <w:rsid w:val="00B4354A"/>
    <w:rsid w:val="00B54CC5"/>
    <w:rsid w:val="00B60E27"/>
    <w:rsid w:val="00B64D62"/>
    <w:rsid w:val="00B6632C"/>
    <w:rsid w:val="00B81F61"/>
    <w:rsid w:val="00B83944"/>
    <w:rsid w:val="00B86A3F"/>
    <w:rsid w:val="00B92FD1"/>
    <w:rsid w:val="00B94B49"/>
    <w:rsid w:val="00BA1773"/>
    <w:rsid w:val="00BA7AF1"/>
    <w:rsid w:val="00BB03CC"/>
    <w:rsid w:val="00BB252C"/>
    <w:rsid w:val="00BB5126"/>
    <w:rsid w:val="00BB7518"/>
    <w:rsid w:val="00BC0205"/>
    <w:rsid w:val="00BC14F5"/>
    <w:rsid w:val="00BC2146"/>
    <w:rsid w:val="00BD4710"/>
    <w:rsid w:val="00BD4DEE"/>
    <w:rsid w:val="00BD6918"/>
    <w:rsid w:val="00BD7053"/>
    <w:rsid w:val="00BE33B1"/>
    <w:rsid w:val="00BE3EB8"/>
    <w:rsid w:val="00BE439F"/>
    <w:rsid w:val="00BE52AF"/>
    <w:rsid w:val="00BE5584"/>
    <w:rsid w:val="00BF1111"/>
    <w:rsid w:val="00BF3886"/>
    <w:rsid w:val="00C009AF"/>
    <w:rsid w:val="00C03EF8"/>
    <w:rsid w:val="00C06606"/>
    <w:rsid w:val="00C1039C"/>
    <w:rsid w:val="00C17098"/>
    <w:rsid w:val="00C2005E"/>
    <w:rsid w:val="00C205E4"/>
    <w:rsid w:val="00C26FF6"/>
    <w:rsid w:val="00C2782D"/>
    <w:rsid w:val="00C3040F"/>
    <w:rsid w:val="00C31398"/>
    <w:rsid w:val="00C31708"/>
    <w:rsid w:val="00C31F37"/>
    <w:rsid w:val="00C36C15"/>
    <w:rsid w:val="00C4213A"/>
    <w:rsid w:val="00C4371A"/>
    <w:rsid w:val="00C4627A"/>
    <w:rsid w:val="00C54ED4"/>
    <w:rsid w:val="00C637D1"/>
    <w:rsid w:val="00C640B8"/>
    <w:rsid w:val="00C7033B"/>
    <w:rsid w:val="00C83157"/>
    <w:rsid w:val="00C8683C"/>
    <w:rsid w:val="00C86E1D"/>
    <w:rsid w:val="00C927D5"/>
    <w:rsid w:val="00C97508"/>
    <w:rsid w:val="00CA0730"/>
    <w:rsid w:val="00CA091E"/>
    <w:rsid w:val="00CA1C04"/>
    <w:rsid w:val="00CA3808"/>
    <w:rsid w:val="00CA65DD"/>
    <w:rsid w:val="00CB0E8A"/>
    <w:rsid w:val="00CB7680"/>
    <w:rsid w:val="00CC05B9"/>
    <w:rsid w:val="00CC3F83"/>
    <w:rsid w:val="00CC57FC"/>
    <w:rsid w:val="00CC7DB0"/>
    <w:rsid w:val="00CD5F24"/>
    <w:rsid w:val="00CD6E50"/>
    <w:rsid w:val="00CE0E18"/>
    <w:rsid w:val="00CE193A"/>
    <w:rsid w:val="00CE25BB"/>
    <w:rsid w:val="00CE6A71"/>
    <w:rsid w:val="00CF21C5"/>
    <w:rsid w:val="00CF6DF0"/>
    <w:rsid w:val="00D06255"/>
    <w:rsid w:val="00D12B02"/>
    <w:rsid w:val="00D15D82"/>
    <w:rsid w:val="00D1705E"/>
    <w:rsid w:val="00D25602"/>
    <w:rsid w:val="00D30BD3"/>
    <w:rsid w:val="00D33791"/>
    <w:rsid w:val="00D33BA8"/>
    <w:rsid w:val="00D364EB"/>
    <w:rsid w:val="00D40363"/>
    <w:rsid w:val="00D451BC"/>
    <w:rsid w:val="00D51E96"/>
    <w:rsid w:val="00D5661A"/>
    <w:rsid w:val="00D568BB"/>
    <w:rsid w:val="00D63B9E"/>
    <w:rsid w:val="00D6565D"/>
    <w:rsid w:val="00D65D90"/>
    <w:rsid w:val="00D66016"/>
    <w:rsid w:val="00D769BA"/>
    <w:rsid w:val="00D8034F"/>
    <w:rsid w:val="00D81755"/>
    <w:rsid w:val="00D8505A"/>
    <w:rsid w:val="00D85266"/>
    <w:rsid w:val="00D8617C"/>
    <w:rsid w:val="00D87D00"/>
    <w:rsid w:val="00D92498"/>
    <w:rsid w:val="00D94E23"/>
    <w:rsid w:val="00DA1983"/>
    <w:rsid w:val="00DA2F1E"/>
    <w:rsid w:val="00DA329B"/>
    <w:rsid w:val="00DA5831"/>
    <w:rsid w:val="00DB2873"/>
    <w:rsid w:val="00DB6417"/>
    <w:rsid w:val="00DC4482"/>
    <w:rsid w:val="00DC6D2A"/>
    <w:rsid w:val="00DD1CEE"/>
    <w:rsid w:val="00DD2C3B"/>
    <w:rsid w:val="00DD5028"/>
    <w:rsid w:val="00DE7C60"/>
    <w:rsid w:val="00DF1198"/>
    <w:rsid w:val="00DF2D90"/>
    <w:rsid w:val="00E12082"/>
    <w:rsid w:val="00E21589"/>
    <w:rsid w:val="00E24D9E"/>
    <w:rsid w:val="00E257C8"/>
    <w:rsid w:val="00E26581"/>
    <w:rsid w:val="00E269C1"/>
    <w:rsid w:val="00E2722E"/>
    <w:rsid w:val="00E27752"/>
    <w:rsid w:val="00E3447D"/>
    <w:rsid w:val="00E428F6"/>
    <w:rsid w:val="00E431CE"/>
    <w:rsid w:val="00E445F8"/>
    <w:rsid w:val="00E503E4"/>
    <w:rsid w:val="00E5134D"/>
    <w:rsid w:val="00E55E02"/>
    <w:rsid w:val="00E571C4"/>
    <w:rsid w:val="00E5775C"/>
    <w:rsid w:val="00E62A84"/>
    <w:rsid w:val="00E63B3D"/>
    <w:rsid w:val="00E64272"/>
    <w:rsid w:val="00E64479"/>
    <w:rsid w:val="00E66A12"/>
    <w:rsid w:val="00E67D99"/>
    <w:rsid w:val="00E70E8B"/>
    <w:rsid w:val="00E75556"/>
    <w:rsid w:val="00E76F1F"/>
    <w:rsid w:val="00E80BE2"/>
    <w:rsid w:val="00E8309D"/>
    <w:rsid w:val="00E90A9C"/>
    <w:rsid w:val="00E912B7"/>
    <w:rsid w:val="00E95356"/>
    <w:rsid w:val="00E966E5"/>
    <w:rsid w:val="00E96898"/>
    <w:rsid w:val="00E9710E"/>
    <w:rsid w:val="00E97D49"/>
    <w:rsid w:val="00EA3D96"/>
    <w:rsid w:val="00EA4C82"/>
    <w:rsid w:val="00EA6B69"/>
    <w:rsid w:val="00EA6B7B"/>
    <w:rsid w:val="00EB25E4"/>
    <w:rsid w:val="00EB3D8B"/>
    <w:rsid w:val="00ED1B77"/>
    <w:rsid w:val="00ED1E31"/>
    <w:rsid w:val="00ED5511"/>
    <w:rsid w:val="00ED57D1"/>
    <w:rsid w:val="00EE2130"/>
    <w:rsid w:val="00EE7A0B"/>
    <w:rsid w:val="00EF3B7C"/>
    <w:rsid w:val="00EF4DD2"/>
    <w:rsid w:val="00EF568A"/>
    <w:rsid w:val="00EF56FA"/>
    <w:rsid w:val="00EF6216"/>
    <w:rsid w:val="00EF6E42"/>
    <w:rsid w:val="00F046FB"/>
    <w:rsid w:val="00F0613C"/>
    <w:rsid w:val="00F06EDE"/>
    <w:rsid w:val="00F10508"/>
    <w:rsid w:val="00F11244"/>
    <w:rsid w:val="00F120D4"/>
    <w:rsid w:val="00F14672"/>
    <w:rsid w:val="00F14A7B"/>
    <w:rsid w:val="00F1658B"/>
    <w:rsid w:val="00F2540D"/>
    <w:rsid w:val="00F26602"/>
    <w:rsid w:val="00F31380"/>
    <w:rsid w:val="00F333BF"/>
    <w:rsid w:val="00F34483"/>
    <w:rsid w:val="00F34499"/>
    <w:rsid w:val="00F365C9"/>
    <w:rsid w:val="00F406E3"/>
    <w:rsid w:val="00F40C82"/>
    <w:rsid w:val="00F41AA6"/>
    <w:rsid w:val="00F5114E"/>
    <w:rsid w:val="00F53B1A"/>
    <w:rsid w:val="00F54568"/>
    <w:rsid w:val="00F57249"/>
    <w:rsid w:val="00F60094"/>
    <w:rsid w:val="00F6042F"/>
    <w:rsid w:val="00F62DE3"/>
    <w:rsid w:val="00F77131"/>
    <w:rsid w:val="00F7796E"/>
    <w:rsid w:val="00F85CBF"/>
    <w:rsid w:val="00F85D7E"/>
    <w:rsid w:val="00F92B0F"/>
    <w:rsid w:val="00F94C5A"/>
    <w:rsid w:val="00F9749C"/>
    <w:rsid w:val="00FA379D"/>
    <w:rsid w:val="00FA4C13"/>
    <w:rsid w:val="00FA6E20"/>
    <w:rsid w:val="00FB345F"/>
    <w:rsid w:val="00FB4DA5"/>
    <w:rsid w:val="00FB7A18"/>
    <w:rsid w:val="00FC3236"/>
    <w:rsid w:val="00FC57A1"/>
    <w:rsid w:val="00FD3820"/>
    <w:rsid w:val="00FE2508"/>
    <w:rsid w:val="00FE3301"/>
    <w:rsid w:val="00FE3EEE"/>
    <w:rsid w:val="00FE6E6D"/>
    <w:rsid w:val="00FF0DAE"/>
    <w:rsid w:val="00FF3092"/>
    <w:rsid w:val="00FF6C89"/>
    <w:rsid w:val="00FF721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2049" v:ext="edit"/>
    <o:shapelayout v:ext="edit">
      <o:idmap data="1" v:ext="edit"/>
    </o:shapelayout>
  </w:shapeDefaults>
  <w:doNotEmbedSmartTags/>
  <w:decimalSymbol w:val="."/>
  <w:listSeparator w:val=","/>
  <w15:docId w15:val="{9CE9F10A-D266-40C6-AA50-04DD1132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075BBB"/>
    <w:pPr>
      <w:widowControl w:val="0"/>
      <w:jc w:val="both"/>
    </w:pPr>
    <w:rPr>
      <w:kern w:val="2"/>
      <w:sz w:val="21"/>
      <w:szCs w:val="24"/>
    </w:rPr>
  </w:style>
  <w:style w:styleId="1" w:type="paragraph">
    <w:name w:val="heading 1"/>
    <w:basedOn w:val="a"/>
    <w:next w:val="a"/>
    <w:link w:val="1Char"/>
    <w:qFormat/>
    <w:rsid w:val="00CA65DD"/>
    <w:pPr>
      <w:keepNext/>
      <w:keepLines/>
      <w:spacing w:after="330" w:before="340" w:line="578" w:lineRule="auto"/>
      <w:outlineLvl w:val="0"/>
    </w:pPr>
    <w:rPr>
      <w:b/>
      <w:bCs/>
      <w:kern w:val="44"/>
      <w:sz w:val="44"/>
      <w:szCs w:val="44"/>
    </w:rPr>
  </w:style>
  <w:style w:styleId="2" w:type="paragraph">
    <w:name w:val="heading 2"/>
    <w:basedOn w:val="a"/>
    <w:next w:val="a0"/>
    <w:qFormat/>
    <w:rsid w:val="009D74FC"/>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4" w:type="paragraph">
    <w:name w:val="header"/>
    <w:basedOn w:val="a"/>
    <w:link w:val="Char"/>
    <w:uiPriority w:val="99"/>
    <w:rsid w:val="00613327"/>
    <w:pPr>
      <w:pBdr>
        <w:bottom w:color="auto" w:space="1" w:sz="6" w:val="single"/>
      </w:pBdr>
      <w:tabs>
        <w:tab w:pos="4153" w:val="center"/>
        <w:tab w:pos="8306" w:val="right"/>
      </w:tabs>
      <w:snapToGrid w:val="0"/>
      <w:jc w:val="center"/>
    </w:pPr>
    <w:rPr>
      <w:sz w:val="18"/>
      <w:szCs w:val="18"/>
    </w:rPr>
  </w:style>
  <w:style w:styleId="a5" w:type="paragraph">
    <w:name w:val="footer"/>
    <w:basedOn w:val="a"/>
    <w:rsid w:val="00613327"/>
    <w:pPr>
      <w:tabs>
        <w:tab w:pos="4153" w:val="center"/>
        <w:tab w:pos="8306" w:val="right"/>
      </w:tabs>
      <w:snapToGrid w:val="0"/>
      <w:jc w:val="left"/>
    </w:pPr>
    <w:rPr>
      <w:sz w:val="18"/>
      <w:szCs w:val="18"/>
    </w:rPr>
  </w:style>
  <w:style w:customStyle="1" w:styleId="Char0" w:type="paragraph">
    <w:name w:val="Char"/>
    <w:basedOn w:val="a"/>
    <w:rsid w:val="00186667"/>
  </w:style>
  <w:style w:styleId="20" w:type="paragraph">
    <w:name w:val="Body Text Indent 2"/>
    <w:basedOn w:val="a"/>
    <w:rsid w:val="00186667"/>
    <w:pPr>
      <w:spacing w:line="560" w:lineRule="exact"/>
      <w:ind w:firstLine="480" w:firstLineChars="200"/>
    </w:pPr>
    <w:rPr>
      <w:rFonts w:ascii="宋体" w:hAnsi="宋体"/>
      <w:color w:val="FF0000"/>
      <w:sz w:val="24"/>
    </w:rPr>
  </w:style>
  <w:style w:styleId="a6" w:type="paragraph">
    <w:name w:val="Plain Text"/>
    <w:basedOn w:val="a"/>
    <w:link w:val="Char1"/>
    <w:uiPriority w:val="99"/>
    <w:rsid w:val="004771B9"/>
    <w:rPr>
      <w:rFonts w:ascii="宋体" w:hAnsi="Courier New"/>
      <w:szCs w:val="21"/>
    </w:rPr>
  </w:style>
  <w:style w:styleId="3" w:type="paragraph">
    <w:name w:val="Body Text Indent 3"/>
    <w:basedOn w:val="a"/>
    <w:rsid w:val="004771B9"/>
    <w:pPr>
      <w:spacing w:after="120"/>
      <w:ind w:left="420" w:leftChars="200"/>
    </w:pPr>
    <w:rPr>
      <w:sz w:val="16"/>
      <w:szCs w:val="16"/>
    </w:rPr>
  </w:style>
  <w:style w:styleId="a0" w:type="paragraph">
    <w:name w:val="Normal Indent"/>
    <w:basedOn w:val="a"/>
    <w:rsid w:val="009D74FC"/>
    <w:pPr>
      <w:ind w:firstLine="420" w:firstLineChars="200"/>
    </w:pPr>
  </w:style>
  <w:style w:styleId="a7" w:type="paragraph">
    <w:name w:val="Document Map"/>
    <w:basedOn w:val="a"/>
    <w:semiHidden/>
    <w:rsid w:val="005212AE"/>
    <w:pPr>
      <w:shd w:color="auto" w:fill="000080" w:val="clear"/>
    </w:pPr>
  </w:style>
  <w:style w:customStyle="1" w:styleId="Char1" w:type="character">
    <w:name w:val="纯文本 Char"/>
    <w:link w:val="a6"/>
    <w:uiPriority w:val="99"/>
    <w:rsid w:val="00E63B3D"/>
    <w:rPr>
      <w:rFonts w:ascii="宋体" w:hAnsi="Courier New"/>
      <w:kern w:val="2"/>
      <w:sz w:val="21"/>
      <w:szCs w:val="21"/>
    </w:rPr>
  </w:style>
  <w:style w:styleId="a8" w:type="paragraph">
    <w:name w:val="Balloon Text"/>
    <w:basedOn w:val="a"/>
    <w:link w:val="Char2"/>
    <w:rsid w:val="00E63B3D"/>
    <w:rPr>
      <w:sz w:val="18"/>
      <w:szCs w:val="18"/>
    </w:rPr>
  </w:style>
  <w:style w:customStyle="1" w:styleId="Char2" w:type="character">
    <w:name w:val="批注框文本 Char"/>
    <w:basedOn w:val="a1"/>
    <w:link w:val="a8"/>
    <w:rsid w:val="00E63B3D"/>
    <w:rPr>
      <w:kern w:val="2"/>
      <w:sz w:val="18"/>
      <w:szCs w:val="18"/>
    </w:rPr>
  </w:style>
  <w:style w:styleId="a9" w:type="paragraph">
    <w:name w:val="List Paragraph"/>
    <w:basedOn w:val="a"/>
    <w:uiPriority w:val="34"/>
    <w:qFormat/>
    <w:rsid w:val="005F668B"/>
    <w:pPr>
      <w:ind w:firstLine="420" w:firstLineChars="200"/>
    </w:pPr>
  </w:style>
  <w:style w:styleId="aa" w:type="table">
    <w:name w:val="Table Grid"/>
    <w:basedOn w:val="a2"/>
    <w:qFormat/>
    <w:rsid w:val="005A60B7"/>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styleId="ab" w:type="paragraph">
    <w:name w:val="Normal (Web)"/>
    <w:basedOn w:val="a"/>
    <w:rsid w:val="008B23BD"/>
    <w:pPr>
      <w:widowControl/>
      <w:spacing w:after="100" w:afterAutospacing="1" w:before="100" w:beforeAutospacing="1"/>
    </w:pPr>
    <w:rPr>
      <w:rFonts w:ascii="宋体" w:hAnsi="宋体"/>
      <w:kern w:val="0"/>
      <w:sz w:val="24"/>
      <w:szCs w:val="20"/>
    </w:rPr>
  </w:style>
  <w:style w:customStyle="1" w:styleId="Char" w:type="character">
    <w:name w:val="页眉 Char"/>
    <w:basedOn w:val="a1"/>
    <w:link w:val="a4"/>
    <w:uiPriority w:val="99"/>
    <w:rsid w:val="008379E2"/>
    <w:rPr>
      <w:kern w:val="2"/>
      <w:sz w:val="18"/>
      <w:szCs w:val="18"/>
    </w:rPr>
  </w:style>
  <w:style w:customStyle="1" w:styleId="1Char" w:type="character">
    <w:name w:val="标题 1 Char"/>
    <w:basedOn w:val="a1"/>
    <w:link w:val="1"/>
    <w:rsid w:val="00CA65DD"/>
    <w:rPr>
      <w:b/>
      <w:bCs/>
      <w:kern w:val="44"/>
      <w:sz w:val="44"/>
      <w:szCs w:val="44"/>
    </w:rPr>
  </w:style>
  <w:style w:styleId="ac" w:type="paragraph">
    <w:name w:val="Date"/>
    <w:basedOn w:val="a"/>
    <w:next w:val="a"/>
    <w:link w:val="Char3"/>
    <w:rsid w:val="00D66016"/>
    <w:rPr>
      <w:sz w:val="24"/>
      <w:szCs w:val="20"/>
    </w:rPr>
  </w:style>
  <w:style w:customStyle="1" w:styleId="Char3" w:type="character">
    <w:name w:val="日期 Char"/>
    <w:basedOn w:val="a1"/>
    <w:link w:val="ac"/>
    <w:rsid w:val="00D66016"/>
    <w:rPr>
      <w:kern w:val="2"/>
      <w:sz w:val="24"/>
    </w:rPr>
  </w:style>
  <w:style w:styleId="ad" w:type="character">
    <w:name w:val="Strong"/>
    <w:basedOn w:val="a1"/>
    <w:uiPriority w:val="22"/>
    <w:qFormat/>
    <w:rsid w:val="00A21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7842">
      <w:bodyDiv w:val="1"/>
      <w:marLeft w:val="0"/>
      <w:marRight w:val="0"/>
      <w:marTop w:val="0"/>
      <w:marBottom w:val="0"/>
      <w:divBdr>
        <w:top w:val="none" w:sz="0" w:space="0" w:color="auto"/>
        <w:left w:val="none" w:sz="0" w:space="0" w:color="auto"/>
        <w:bottom w:val="none" w:sz="0" w:space="0" w:color="auto"/>
        <w:right w:val="none" w:sz="0" w:space="0" w:color="auto"/>
      </w:divBdr>
    </w:div>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338926825">
      <w:bodyDiv w:val="1"/>
      <w:marLeft w:val="0"/>
      <w:marRight w:val="0"/>
      <w:marTop w:val="0"/>
      <w:marBottom w:val="0"/>
      <w:divBdr>
        <w:top w:val="none" w:sz="0" w:space="0" w:color="auto"/>
        <w:left w:val="none" w:sz="0" w:space="0" w:color="auto"/>
        <w:bottom w:val="none" w:sz="0" w:space="0" w:color="auto"/>
        <w:right w:val="none" w:sz="0" w:space="0" w:color="auto"/>
      </w:divBdr>
    </w:div>
    <w:div w:id="1455054290">
      <w:bodyDiv w:val="1"/>
      <w:marLeft w:val="0"/>
      <w:marRight w:val="0"/>
      <w:marTop w:val="0"/>
      <w:marBottom w:val="0"/>
      <w:divBdr>
        <w:top w:val="none" w:sz="0" w:space="0" w:color="auto"/>
        <w:left w:val="none" w:sz="0" w:space="0" w:color="auto"/>
        <w:bottom w:val="none" w:sz="0" w:space="0" w:color="auto"/>
        <w:right w:val="none" w:sz="0" w:space="0" w:color="auto"/>
      </w:divBdr>
    </w:div>
    <w:div w:id="1487357562">
      <w:bodyDiv w:val="1"/>
      <w:marLeft w:val="0"/>
      <w:marRight w:val="0"/>
      <w:marTop w:val="0"/>
      <w:marBottom w:val="0"/>
      <w:divBdr>
        <w:top w:val="none" w:sz="0" w:space="0" w:color="auto"/>
        <w:left w:val="none" w:sz="0" w:space="0" w:color="auto"/>
        <w:bottom w:val="none" w:sz="0" w:space="0" w:color="auto"/>
        <w:right w:val="none" w:sz="0" w:space="0" w:color="auto"/>
      </w:divBdr>
    </w:div>
    <w:div w:id="1707101621">
      <w:bodyDiv w:val="1"/>
      <w:marLeft w:val="0"/>
      <w:marRight w:val="0"/>
      <w:marTop w:val="0"/>
      <w:marBottom w:val="0"/>
      <w:divBdr>
        <w:top w:val="none" w:sz="0" w:space="0" w:color="auto"/>
        <w:left w:val="none" w:sz="0" w:space="0" w:color="auto"/>
        <w:bottom w:val="none" w:sz="0" w:space="0" w:color="auto"/>
        <w:right w:val="none" w:sz="0" w:space="0" w:color="auto"/>
      </w:divBdr>
    </w:div>
    <w:div w:id="1971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ntTable.xml" Type="http://schemas.openxmlformats.org/officeDocument/2006/relationships/fontTable"/>
<Relationship Id="rId17"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5C4DA2-A388-404C-A21B-6B2BD1FD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23</Pages>
  <Words>3613</Words>
  <Characters>20597</Characters>
  <Application>Microsoft Office Word</Application>
  <DocSecurity>0</DocSecurity>
  <Lines>171</Lines>
  <Paragraphs>48</Paragraphs>
  <ScaleCrop>false</ScaleCrop>
  <Company>jysld</Company>
  <LinksUpToDate>false</LinksUpToDate>
  <CharactersWithSpaces>24162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2012-11-21T05:49:00Z</dcterms:created>
  <cp:lastModifiedBy>业务系统</cp:lastModifiedBy>
  <cp:lastPrinted>2009-01-22T10:11:00Z</cp:lastPrinted>
  <dcterms:modified xsi:type="dcterms:W3CDTF">2019-08-22T08:33:00Z</dcterms:modified>
  <cp:revision>331</cp:revision>
</cp:coreProperties>
</file>