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交银施罗德上证180公司治理交易型开放式指数证券投资基金联接基金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2019年第3季度报告</w:t>
      </w:r>
    </w:p>
    <w:p w:rsidP="00B04217" w:rsidR="00943748" w:rsidRDefault="003251EE" w:rsidRPr="006C615F">
      <w:pPr>
        <w:spacing w:before="29" w:line="288" w:lineRule="auto"/>
        <w:jc w:val="center"/>
        <w:rPr>
          <w:b/>
          <w:sz w:val="36"/>
          <w:szCs w:val="36"/>
        </w:rPr>
      </w:pPr>
      <w:r w:rsidRPr="006C615F">
        <w:rPr>
          <w:b/>
          <w:sz w:val="36"/>
          <w:szCs w:val="36"/>
        </w:rPr>
        <w:t>2019年9月30日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二〇一九年十月二十二日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本报告期自2019年7月1日起至9月30日止。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交银上证180公司治理ETF联接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2009年9月29日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292,510,886.01</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本基金通过把全部或接近全部的基金资产投资于目标ETF、标的指数成份股和备选成份股进行被动式指数化投资，正常情况下投资于目标ETF的比例不低于基金资产净值的90%。</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上证180公司治理指数×95%＋银行活期存款税后收益率×5%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上证180公司治理交易型开放式指数证券投资基金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510010</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3D1893" w:rsidRPr="00324C76">
              <w:rPr>
                <w:sz w:val="24"/>
              </w:rPr>
              <w:t/>
            </w:r>
            <w:r w:rsidRPr="00324C76">
              <w:rPr>
                <w:sz w:val="24"/>
              </w:rPr>
              <w:t>2009年9月25日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r w:rsidRPr="00324C76">
              <w:rPr>
                <w:sz w:val="24"/>
              </w:rPr>
              <w:lastRenderedPageBreak/>
              <w:t>上海证券交易所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F840F0" w:rsidRPr="00324C76">
              <w:rPr>
                <w:sz w:val="24"/>
              </w:rPr>
              <w:t/>
            </w:r>
            <w:r w:rsidRPr="00324C76">
              <w:rPr>
                <w:sz w:val="24"/>
              </w:rPr>
              <w:t>2009年12月15日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中国农业银行股份有限公司</w:t>
            </w:r>
          </w:p>
        </w:tc>
      </w:tr>
    </w:tbl>
    <w:p w:rsidP="00B04217" w:rsidR="00220542" w:rsidRDefault="0090000A" w:rsidRPr="00324C76">
      <w:pPr>
        <w:autoSpaceDE w:val="0"/>
        <w:autoSpaceDN w:val="0"/>
        <w:adjustRightInd w:val="0"/>
        <w:spacing w:before="29" w:line="288" w:lineRule="auto"/>
        <w:jc w:val="left"/>
        <w:rPr>
          <w:color w:val="000000"/>
          <w:sz w:val="24"/>
        </w:rPr>
      </w:pPr>
      <w:r w:rsidRPr="00324C76">
        <w:rPr>
          <w:color w:val="000000"/>
          <w:sz w:val="24"/>
        </w:rPr>
        <w:t>注：本表所列的基金主代码510010为目标基金的二级市场交易代码，目标基金的一级市场申购赎回代码为510011。</w:t>
      </w:r>
    </w:p>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上证180公司治理指数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2019年7月1日-2019年9月30日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4,466,051.15</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-8,627,147.71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-0.0287</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376,288,482.67</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1.286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-2.21%</w:t>
            </w:r>
          </w:p>
        </w:tc>
        <w:tc>
          <w:tcPr>
            <w:vAlign w:val="center"/>
          </w:tcPr>
          <w:p>
            <w:pPr>
              <w:jc w:val="center"/>
            </w:pPr>
            <w:r>
              <w:rPr>
                <w:color w:val="000000"/>
                <w:sz w:val="24"/>
              </w:rPr>
              <w:t>0.82%</w:t>
            </w:r>
          </w:p>
        </w:tc>
        <w:tc>
          <w:tcPr>
            <w:vAlign w:val="center"/>
          </w:tcPr>
          <w:p>
            <w:pPr>
              <w:jc w:val="center"/>
            </w:pPr>
            <w:r>
              <w:rPr>
                <w:color w:val="000000"/>
                <w:sz w:val="24"/>
              </w:rPr>
              <w:t>-3.87%</w:t>
            </w:r>
          </w:p>
        </w:tc>
        <w:tc>
          <w:tcPr>
            <w:vAlign w:val="center"/>
          </w:tcPr>
          <w:p>
            <w:pPr>
              <w:jc w:val="center"/>
            </w:pPr>
            <w:r>
              <w:rPr>
                <w:color w:val="000000"/>
                <w:sz w:val="24"/>
              </w:rPr>
              <w:t>0.83%</w:t>
            </w:r>
          </w:p>
        </w:tc>
        <w:tc>
          <w:tcPr>
            <w:vAlign w:val="center"/>
          </w:tcPr>
          <w:p>
            <w:pPr>
              <w:jc w:val="center"/>
            </w:pPr>
            <w:r>
              <w:rPr>
                <w:color w:val="000000"/>
                <w:sz w:val="24"/>
              </w:rPr>
              <w:t>1.66%</w:t>
            </w:r>
          </w:p>
        </w:tc>
        <w:tc>
          <w:tcPr>
            <w:vAlign w:val="center"/>
          </w:tcPr>
          <w:p>
            <w:pPr>
              <w:jc w:val="center"/>
            </w:pPr>
            <w:r>
              <w:rPr>
                <w:color w:val="000000"/>
                <w:sz w:val="24"/>
              </w:rPr>
              <w:t>-0.01%</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交银施罗德上证180公司治理交易型开放式指数证券投资基金联接基金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2009年9月29日</w:t>
      </w:r>
      <w:r w:rsidRPr="00324C76">
        <w:rPr>
          <w:color w:val="000000"/>
          <w:kern w:val="0"/>
          <w:sz w:val="24"/>
        </w:rPr>
        <w:t>至</w:t>
      </w:r>
      <w:r w:rsidRPr="00324C76">
        <w:rPr>
          <w:color w:val="000000"/>
          <w:kern w:val="0"/>
          <w:sz w:val="24"/>
        </w:rPr>
        <w:t>2019年9月30日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注：本基金建仓期为自基金合同生效日起的3个月。截至建仓期结束，本基金各项资产配置比例符合基金合同及招募说明书有关投资比例的约定。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宏观环境基本稳定，经济走势稳中偏弱，政策面支持力度加大。受需求端拖累和外部不确定性影响，国内制造业投资面临一定压力，但消费和基建的温和回暖为国内经济带来支撑。在此经济背景下，三季度A股市场延续震荡态势，估值水平基本稳定，市场风险偏好有所上升，科技类品种受到较强关注。作为跟踪基准指数的指数基金，三季度基金总体呈现震荡走势。</w:t>
      </w:r>
    </w:p>
    <w:p w:rsidP="00B04217" w:rsidR="004D6E34" w:rsidRDefault="00E27AF2" w:rsidRPr="00324C76">
      <w:pPr>
        <w:spacing w:before="29" w:line="288" w:lineRule="auto"/>
        <w:ind w:firstLine="480" w:firstLineChars="200"/>
        <w:rPr>
          <w:color w:val="000000"/>
          <w:sz w:val="24"/>
        </w:rPr>
      </w:pPr>
      <w:r w:rsidRPr="00324C76">
        <w:rPr>
          <w:color w:val="000000"/>
          <w:sz w:val="24"/>
        </w:rPr>
        <w:t>展望2019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A股市场仍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1,953,315.05</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0.52</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1,953,315.05</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0.52</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350,932,979.15</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93.01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24,370,962.87</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6.46</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51,645.88</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0.01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377,308,902.95</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上证180公司治理交易型开放式指数证券投资基金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350,932,979.15</w:t>
            </w:r>
          </w:p>
        </w:tc>
        <w:tc>
          <w:tcPr>
            <w:vAlign w:val="center"/>
          </w:tcPr>
          <w:p>
            <w:pPr>
              <w:jc w:val="right"/>
            </w:pPr>
            <w:r>
              <w:rPr>
                <w:sz w:val="24"/>
              </w:rPr>
              <w:t>93.26</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126,961.00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420,925.16</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0.11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87,425.00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120,207.60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11,717.00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69,180.00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49,542.60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1,008,778.35</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0.27</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53,655.00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288.34</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4,635.00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1,953,315.05</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0.52</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4,200</w:t>
            </w:r>
          </w:p>
        </w:tc>
        <w:tc>
          <w:tcPr>
            <w:vAlign w:val="center"/>
          </w:tcPr>
          <w:p>
            <w:pPr>
              <w:jc w:val="right"/>
            </w:pPr>
            <w:r>
              <w:rPr>
                <w:color w:val="000000"/>
                <w:sz w:val="24"/>
              </w:rPr>
              <w:t>365,568.00</w:t>
            </w:r>
          </w:p>
        </w:tc>
        <w:tc>
          <w:tcPr>
            <w:vAlign w:val="center"/>
          </w:tcPr>
          <w:p>
            <w:pPr>
              <w:jc w:val="right"/>
            </w:pPr>
            <w:r>
              <w:rPr>
                <w:color w:val="000000"/>
                <w:sz w:val="24"/>
              </w:rPr>
              <w:t>0.10</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4,000</w:t>
            </w:r>
          </w:p>
        </w:tc>
        <w:tc>
          <w:tcPr>
            <w:vAlign w:val="center"/>
          </w:tcPr>
          <w:p>
            <w:pPr>
              <w:jc w:val="right"/>
            </w:pPr>
            <w:r>
              <w:rPr>
                <w:color w:val="000000"/>
                <w:sz w:val="24"/>
              </w:rPr>
              <w:t>139,000.00</w:t>
            </w:r>
          </w:p>
        </w:tc>
        <w:tc>
          <w:tcPr>
            <w:vAlign w:val="center"/>
          </w:tcPr>
          <w:p>
            <w:pPr>
              <w:jc w:val="right"/>
            </w:pPr>
            <w:r>
              <w:rPr>
                <w:color w:val="000000"/>
                <w:sz w:val="24"/>
              </w:rPr>
              <w:t>0.04</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5,600</w:t>
            </w:r>
          </w:p>
        </w:tc>
        <w:tc>
          <w:tcPr>
            <w:vAlign w:val="center"/>
          </w:tcPr>
          <w:p>
            <w:pPr>
              <w:jc w:val="right"/>
            </w:pPr>
            <w:r>
              <w:rPr>
                <w:color w:val="000000"/>
                <w:sz w:val="24"/>
              </w:rPr>
              <w:t>98,168.00</w:t>
            </w:r>
          </w:p>
        </w:tc>
        <w:tc>
          <w:tcPr>
            <w:vAlign w:val="center"/>
          </w:tcPr>
          <w:p>
            <w:pPr>
              <w:jc w:val="right"/>
            </w:pPr>
            <w:r>
              <w:rPr>
                <w:color w:val="000000"/>
                <w:sz w:val="24"/>
              </w:rPr>
              <w:t>0.03</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2,300</w:t>
            </w:r>
          </w:p>
        </w:tc>
        <w:tc>
          <w:tcPr>
            <w:vAlign w:val="center"/>
          </w:tcPr>
          <w:p>
            <w:pPr>
              <w:jc w:val="right"/>
            </w:pPr>
            <w:r>
              <w:rPr>
                <w:color w:val="000000"/>
                <w:sz w:val="24"/>
              </w:rPr>
              <w:t>65,596.00</w:t>
            </w:r>
          </w:p>
        </w:tc>
        <w:tc>
          <w:tcPr>
            <w:vAlign w:val="center"/>
          </w:tcPr>
          <w:p>
            <w:pPr>
              <w:jc w:val="right"/>
            </w:pPr>
            <w:r>
              <w:rPr>
                <w:color w:val="000000"/>
                <w:sz w:val="24"/>
              </w:rPr>
              <w:t>0.02</w:t>
            </w:r>
          </w:p>
        </w:tc>
      </w:tr>
      <w:tr>
        <w:tc>
          <w:tcPr>
            <w:vAlign w:val="center"/>
          </w:tcPr>
          <w:p>
            <w:pPr>
              <w:jc w:val="center"/>
            </w:pPr>
            <w:r>
              <w:rPr>
                <w:color w:val="000000"/>
                <w:sz w:val="24"/>
              </w:rPr>
              <w:t>5</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4,500</w:t>
            </w:r>
          </w:p>
        </w:tc>
        <w:tc>
          <w:tcPr>
            <w:vAlign w:val="center"/>
          </w:tcPr>
          <w:p>
            <w:pPr>
              <w:jc w:val="right"/>
            </w:pPr>
            <w:r>
              <w:rPr>
                <w:color w:val="000000"/>
                <w:sz w:val="24"/>
              </w:rPr>
              <w:t>53,280.00</w:t>
            </w:r>
          </w:p>
        </w:tc>
        <w:tc>
          <w:tcPr>
            <w:vAlign w:val="center"/>
          </w:tcPr>
          <w:p>
            <w:pPr>
              <w:jc w:val="right"/>
            </w:pPr>
            <w:r>
              <w:rPr>
                <w:color w:val="000000"/>
                <w:sz w:val="24"/>
              </w:rPr>
              <w:t>0.01</w:t>
            </w:r>
          </w:p>
        </w:tc>
      </w:tr>
      <w:tr>
        <w:tc>
          <w:tcPr>
            <w:vAlign w:val="center"/>
          </w:tcPr>
          <w:p>
            <w:pPr>
              <w:jc w:val="center"/>
            </w:pPr>
            <w:r>
              <w:rPr>
                <w:color w:val="000000"/>
                <w:sz w:val="24"/>
              </w:rPr>
              <w:t>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8,300</w:t>
            </w:r>
          </w:p>
        </w:tc>
        <w:tc>
          <w:tcPr>
            <w:vAlign w:val="center"/>
          </w:tcPr>
          <w:p>
            <w:pPr>
              <w:jc w:val="right"/>
            </w:pPr>
            <w:r>
              <w:rPr>
                <w:color w:val="000000"/>
                <w:sz w:val="24"/>
              </w:rPr>
              <w:t>45,899.00</w:t>
            </w:r>
          </w:p>
        </w:tc>
        <w:tc>
          <w:tcPr>
            <w:vAlign w:val="center"/>
          </w:tcPr>
          <w:p>
            <w:pPr>
              <w:jc w:val="right"/>
            </w:pPr>
            <w:r>
              <w:rPr>
                <w:color w:val="000000"/>
                <w:sz w:val="24"/>
              </w:rPr>
              <w:t>0.01</w:t>
            </w:r>
          </w:p>
        </w:tc>
      </w:tr>
      <w:tr>
        <w:tc>
          <w:tcPr>
            <w:vAlign w:val="center"/>
          </w:tcPr>
          <w:p>
            <w:pPr>
              <w:jc w:val="center"/>
            </w:pPr>
            <w:r>
              <w:rPr>
                <w:color w:val="000000"/>
                <w:sz w:val="24"/>
              </w:rPr>
              <w:t>7</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2,500</w:t>
            </w:r>
          </w:p>
        </w:tc>
        <w:tc>
          <w:tcPr>
            <w:vAlign w:val="center"/>
          </w:tcPr>
          <w:p>
            <w:pPr>
              <w:jc w:val="right"/>
            </w:pPr>
            <w:r>
              <w:rPr>
                <w:color w:val="000000"/>
                <w:sz w:val="24"/>
              </w:rPr>
              <w:t>45,575.00</w:t>
            </w:r>
          </w:p>
        </w:tc>
        <w:tc>
          <w:tcPr>
            <w:vAlign w:val="center"/>
          </w:tcPr>
          <w:p>
            <w:pPr>
              <w:jc w:val="right"/>
            </w:pPr>
            <w:r>
              <w:rPr>
                <w:color w:val="000000"/>
                <w:sz w:val="24"/>
              </w:rPr>
              <w:t>0.01</w:t>
            </w:r>
          </w:p>
        </w:tc>
      </w:tr>
      <w:tr>
        <w:tc>
          <w:tcPr>
            <w:vAlign w:val="center"/>
          </w:tcPr>
          <w:p>
            <w:pPr>
              <w:jc w:val="center"/>
            </w:pPr>
            <w:r>
              <w:rPr>
                <w:color w:val="000000"/>
                <w:sz w:val="24"/>
              </w:rPr>
              <w:t>8</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8,120</w:t>
            </w:r>
          </w:p>
        </w:tc>
        <w:tc>
          <w:tcPr>
            <w:vAlign w:val="center"/>
          </w:tcPr>
          <w:p>
            <w:pPr>
              <w:jc w:val="right"/>
            </w:pPr>
            <w:r>
              <w:rPr>
                <w:color w:val="000000"/>
                <w:sz w:val="24"/>
              </w:rPr>
              <w:t>44,091.60</w:t>
            </w:r>
          </w:p>
        </w:tc>
        <w:tc>
          <w:tcPr>
            <w:vAlign w:val="center"/>
          </w:tcPr>
          <w:p>
            <w:pPr>
              <w:jc w:val="right"/>
            </w:pPr>
            <w:r>
              <w:rPr>
                <w:color w:val="000000"/>
                <w:sz w:val="24"/>
              </w:rPr>
              <w:t>0.01</w:t>
            </w:r>
          </w:p>
        </w:tc>
      </w:tr>
      <w:tr>
        <w:tc>
          <w:tcPr>
            <w:vAlign w:val="center"/>
          </w:tcPr>
          <w:p>
            <w:pPr>
              <w:jc w:val="center"/>
            </w:pPr>
            <w:r>
              <w:rPr>
                <w:color w:val="000000"/>
                <w:sz w:val="24"/>
              </w:rPr>
              <w:t>9</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1,200</w:t>
            </w:r>
          </w:p>
        </w:tc>
        <w:tc>
          <w:tcPr>
            <w:vAlign w:val="center"/>
          </w:tcPr>
          <w:p>
            <w:pPr>
              <w:jc w:val="right"/>
            </w:pPr>
            <w:r>
              <w:rPr>
                <w:color w:val="000000"/>
                <w:sz w:val="24"/>
              </w:rPr>
              <w:t>41,844.00</w:t>
            </w:r>
          </w:p>
        </w:tc>
        <w:tc>
          <w:tcPr>
            <w:vAlign w:val="center"/>
          </w:tcPr>
          <w:p>
            <w:pPr>
              <w:jc w:val="right"/>
            </w:pPr>
            <w:r>
              <w:rPr>
                <w:color w:val="000000"/>
                <w:sz w:val="24"/>
              </w:rPr>
              <w:t>0.01</w:t>
            </w:r>
          </w:p>
        </w:tc>
      </w:tr>
      <w:tr>
        <w:tc>
          <w:tcPr>
            <w:vAlign w:val="center"/>
          </w:tcPr>
          <w:p>
            <w:pPr>
              <w:jc w:val="center"/>
            </w:pPr>
            <w:r>
              <w:rPr>
                <w:color w:val="000000"/>
                <w:sz w:val="24"/>
              </w:rPr>
              <w:t>10</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2,700</w:t>
            </w:r>
          </w:p>
        </w:tc>
        <w:tc>
          <w:tcPr>
            <w:vAlign w:val="center"/>
          </w:tcPr>
          <w:p>
            <w:pPr>
              <w:jc w:val="right"/>
            </w:pPr>
            <w:r>
              <w:rPr>
                <w:color w:val="000000"/>
                <w:sz w:val="24"/>
              </w:rPr>
              <w:t>38,610.00</w:t>
            </w:r>
          </w:p>
        </w:tc>
        <w:tc>
          <w:tcPr>
            <w:vAlign w:val="center"/>
          </w:tcPr>
          <w:p>
            <w:pPr>
              <w:jc w:val="right"/>
            </w:pPr>
            <w:r>
              <w:rPr>
                <w:color w:val="000000"/>
                <w:sz w:val="24"/>
              </w:rPr>
              <w:t>0.01</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lastRenderedPageBreak/>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lastRenderedPageBreak/>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5.12.1报告期内本基金投资的前十名证券的发行主体未被监管部门立案调查，在本报告编制日前一年内本基金投资的前十名证券的发行主体未受到公开谴责和处罚。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5.12.2本基金投资的前十名股票中，没有超出基金合同规定的备选股票库之外的股票。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22,483.85</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4,801.44</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24,360.59</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51,645.88</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bookmarkStart w:id="3" w:name="_GoBack"/>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bookmarkEnd w:id="3"/>
    <w:p w:rsidP="00B04217" w:rsidR="002620C9" w:rsidRDefault="00A40C1C" w:rsidRPr="00324C76">
      <w:pPr>
        <w:spacing w:before="29" w:line="288" w:lineRule="auto"/>
        <w:rPr>
          <w:color w:val="000000"/>
          <w:sz w:val="24"/>
        </w:rPr>
      </w:pPr>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311,945,069.15</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3,026,778.57</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22,460,961.71</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292,510,886.01</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xml:space="preserve">7.1 </w:t>
      </w:r>
      <w:r w:rsidRPr="00F229B7">
        <w:rPr>
          <w:b/>
          <w:sz w:val="24"/>
        </w:rPr>
        <w:t>基金管理人持有本基金份额变动情况</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本报告期内未发生基金管理人运用固有资金投资本基金的情况。</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8</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1、中国证监会核准交银施罗德上证180公司治理交易型开放式指数证券投资基金联接基金募集的文件；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2、《交银施罗德上证180公司治理交易型开放式指数证券投资基金联接基金基金合同》； </w:t>
      </w:r>
    </w:p>
    <w:p>
      <w:pPr>
        <w:spacing w:before="29" w:line="288" w:lineRule="auto"/>
        <w:ind w:firstLine="480" w:firstLineChars="200"/>
        <w:rPr>
          <w:color w:val="000000"/>
          <w:sz w:val="24"/>
        </w:rPr>
      </w:pPr>
      <w:r>
        <w:rPr>
          <w:color w:val="000000"/>
          <w:sz w:val="24"/>
        </w:rPr>
        <w:t>3、《交银施罗德上证180公司治理交易型开放式指数证券投资基金联接基金招募说明书》；</w:t>
      </w:r>
    </w:p>
    <w:p>
      <w:pPr>
        <w:spacing w:before="29" w:line="288" w:lineRule="auto"/>
        <w:ind w:firstLine="480" w:firstLineChars="200"/>
        <w:rPr>
          <w:color w:val="000000"/>
          <w:sz w:val="24"/>
        </w:rPr>
      </w:pPr>
      <w:r>
        <w:rPr>
          <w:color w:val="000000"/>
          <w:sz w:val="24"/>
        </w:rPr>
        <w:t>4、《交银施罗德上证180公司治理交易型开放式指数证券投资基金联接基金托管协议》；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5、关于申请募集交银施罗德上证180公司治理交易型开放式指数证券投资基金联接基金之法律意见书；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8、报告期内交银施罗德上证180公司治理交易型开放式指数证券投资基金联接基金在指定报刊上各项公告的原稿。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8.2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8.3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75" w:rsidRDefault="00A66E75">
      <w:r>
        <w:separator/>
      </w:r>
    </w:p>
  </w:endnote>
  <w:endnote w:type="continuationSeparator" w:id="0">
    <w:p w:rsidR="00A66E75" w:rsidRDefault="00A6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390F9A">
      <w:rPr>
        <w:noProof/>
        <w:kern w:val="0"/>
        <w:szCs w:val="21"/>
      </w:rPr>
      <w:t>20</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390F9A">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A66E75" w:rsidRDefault="00A66E75">
      <w:r>
        <w:separator/>
      </w:r>
    </w:p>
  </w:footnote>
  <w:footnote w:id="0" w:type="continuationSeparator">
    <w:p w:rsidR="00A66E75" w:rsidRDefault="00A66E75">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交银施罗德上证180公司治理交易型开放式指数证券投资基金联接基金2019年第3季度报告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695-5025-41EB-96BA-F06390F9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348</TotalTime>
  <Pages>26</Pages>
  <Words>3989</Words>
  <Characters>22740</Characters>
  <Application>Microsoft Office Word</Application>
  <DocSecurity>0</DocSecurity>
  <Lines>189</Lines>
  <Paragraphs>53</Paragraphs>
  <ScaleCrop>false</ScaleCrop>
  <Company>TRT. Ltd. Co.</Company>
  <LinksUpToDate>false</LinksUpToDate>
  <CharactersWithSpaces>26676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2019-08-22T08:30:00Z</dcterms:modified>
  <cp:revision>426</cp:revision>
</cp:coreProperties>
</file>