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交银施罗德增利债券证券投资基金</w:t>
      </w:r>
    </w:p>
    <w:p w:rsidR="001548F9" w:rsidRPr="008A1551" w:rsidRDefault="001548F9" w:rsidP="009E1EA4">
      <w:pPr>
        <w:spacing w:before="29" w:line="288" w:lineRule="auto"/>
        <w:jc w:val="center"/>
        <w:rPr>
          <w:b/>
          <w:sz w:val="36"/>
          <w:szCs w:val="36"/>
        </w:rPr>
      </w:pPr>
      <w:r w:rsidRPr="008A1551">
        <w:rPr>
          <w:b/>
          <w:sz w:val="36"/>
          <w:szCs w:val="36"/>
        </w:rPr>
        <w:t>2019</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2019</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基金托管人：中国建设银行股份有限公司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报告送出日期：二〇一九年八月二十九日</w:t>
      </w:r>
    </w:p>
    <w:p w:rsidR="001548F9" w:rsidRPr="008A1551" w:rsidRDefault="001548F9" w:rsidP="009E1EA4">
      <w:pPr>
        <w:widowControl/>
        <w:spacing w:before="29" w:line="288" w:lineRule="auto"/>
        <w:jc w:val="left"/>
        <w:rPr>
          <w:color w:val="000000"/>
          <w:sz w:val="24"/>
        </w:rPr>
        <w:sectPr w:rsidR="001548F9" w:rsidRPr="008A1551" w:rsidSect="00B015FE">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中国建设银行股份有限公司</w:t>
      </w:r>
      <w:r w:rsidRPr="008A1551">
        <w:rPr>
          <w:color w:val="000000"/>
          <w:sz w:val="24"/>
        </w:rPr>
        <w:t>根据本基金合同规定，于</w:t>
      </w:r>
      <w:r w:rsidRPr="008A1551">
        <w:rPr>
          <w:color w:val="000000"/>
          <w:sz w:val="24"/>
        </w:rPr>
        <w:t>2019</w:t>
      </w:r>
      <w:r w:rsidRPr="008A1551">
        <w:rPr>
          <w:color w:val="000000"/>
          <w:sz w:val="24"/>
        </w:rPr>
        <w:t>年</w:t>
      </w:r>
      <w:r w:rsidRPr="008A1551">
        <w:rPr>
          <w:color w:val="000000"/>
          <w:sz w:val="24"/>
        </w:rPr>
        <w:t>8</w:t>
      </w:r>
      <w:r w:rsidRPr="008A1551">
        <w:rPr>
          <w:color w:val="000000"/>
          <w:sz w:val="24"/>
        </w:rPr>
        <w:t>月</w:t>
      </w:r>
      <w:r w:rsidRPr="008A1551">
        <w:rPr>
          <w:color w:val="000000"/>
          <w:sz w:val="24"/>
        </w:rPr>
        <w:t>28</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A7746B">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交银增利债券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519680</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2008</w:t>
            </w:r>
            <w:r w:rsidRPr="008A1551">
              <w:rPr>
                <w:sz w:val="24"/>
              </w:rPr>
              <w:t>年</w:t>
            </w:r>
            <w:r w:rsidRPr="008A1551">
              <w:rPr>
                <w:sz w:val="24"/>
              </w:rPr>
              <w:t>3</w:t>
            </w:r>
            <w:r w:rsidRPr="008A1551">
              <w:rPr>
                <w:sz w:val="24"/>
              </w:rPr>
              <w:t>月</w:t>
            </w:r>
            <w:r w:rsidRPr="008A1551">
              <w:rPr>
                <w:sz w:val="24"/>
              </w:rPr>
              <w:t>31</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中国建设银行股份有限公司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452,790,050.92</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交银增利债券</w:t>
            </w:r>
            <w:r w:rsidRPr="008A1551">
              <w:rPr>
                <w:sz w:val="24"/>
              </w:rPr>
              <w:t>A/B</w:t>
            </w:r>
          </w:p>
        </w:tc>
        <w:tc>
          <w:tcPr>
            <w:tcW w:w="2596" w:type="dxa"/>
            <w:vAlign w:val="center"/>
          </w:tcPr>
          <w:p w:rsidR="00405B9D" w:rsidRPr="008A1551" w:rsidRDefault="00405B9D" w:rsidP="009E1EA4">
            <w:pPr>
              <w:spacing w:before="29" w:line="288" w:lineRule="auto"/>
              <w:jc w:val="center"/>
              <w:rPr>
                <w:sz w:val="24"/>
              </w:rPr>
            </w:pPr>
            <w:r w:rsidRPr="008A1551">
              <w:rPr>
                <w:sz w:val="24"/>
              </w:rPr>
              <w:t>交银增利债券</w:t>
            </w:r>
            <w:r w:rsidRPr="008A1551">
              <w:rPr>
                <w:sz w:val="24"/>
              </w:rPr>
              <w:t>C</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下属分级基金的交易代码</w:t>
            </w:r>
          </w:p>
        </w:tc>
        <w:tc>
          <w:tcPr>
            <w:tcW w:w="2709" w:type="dxa"/>
            <w:vAlign w:val="center"/>
          </w:tcPr>
          <w:p w:rsidR="0073136C" w:rsidRPr="008A1551" w:rsidRDefault="0073136C" w:rsidP="0073136C">
            <w:pPr>
              <w:spacing w:before="29" w:line="288" w:lineRule="auto"/>
              <w:jc w:val="center"/>
              <w:rPr>
                <w:sz w:val="24"/>
              </w:rPr>
            </w:pPr>
            <w:r w:rsidRPr="008A1551">
              <w:rPr>
                <w:sz w:val="24"/>
              </w:rPr>
              <w:t>519680</w:t>
            </w:r>
          </w:p>
        </w:tc>
        <w:tc>
          <w:tcPr>
            <w:tcW w:w="2596" w:type="dxa"/>
            <w:vAlign w:val="center"/>
          </w:tcPr>
          <w:p w:rsidR="0073136C" w:rsidRPr="008A1551" w:rsidRDefault="0073136C" w:rsidP="009E1EA4">
            <w:pPr>
              <w:spacing w:before="29" w:line="288" w:lineRule="auto"/>
              <w:jc w:val="center"/>
              <w:rPr>
                <w:sz w:val="24"/>
              </w:rPr>
            </w:pPr>
            <w:r w:rsidRPr="008A1551">
              <w:rPr>
                <w:sz w:val="24"/>
              </w:rPr>
              <w:t>519682</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报告期末下属分级基金的份额总额</w:t>
            </w:r>
          </w:p>
        </w:tc>
        <w:tc>
          <w:tcPr>
            <w:tcW w:w="2709" w:type="dxa"/>
            <w:vAlign w:val="center"/>
          </w:tcPr>
          <w:p w:rsidR="0073136C" w:rsidRPr="008A1551" w:rsidRDefault="0073136C" w:rsidP="009E1EA4">
            <w:pPr>
              <w:spacing w:before="29" w:line="288" w:lineRule="auto"/>
              <w:jc w:val="center"/>
              <w:rPr>
                <w:sz w:val="24"/>
              </w:rPr>
            </w:pPr>
            <w:r w:rsidRPr="008A1551">
              <w:rPr>
                <w:sz w:val="24"/>
              </w:rPr>
              <w:t>367,833,331.62</w:t>
            </w:r>
            <w:r w:rsidRPr="008A1551">
              <w:rPr>
                <w:sz w:val="24"/>
              </w:rPr>
              <w:t>份</w:t>
            </w:r>
          </w:p>
        </w:tc>
        <w:tc>
          <w:tcPr>
            <w:tcW w:w="2596" w:type="dxa"/>
            <w:vAlign w:val="center"/>
          </w:tcPr>
          <w:p w:rsidR="0073136C" w:rsidRPr="008A1551" w:rsidRDefault="0073136C" w:rsidP="009E1EA4">
            <w:pPr>
              <w:spacing w:before="29" w:line="288" w:lineRule="auto"/>
              <w:jc w:val="center"/>
              <w:rPr>
                <w:sz w:val="24"/>
              </w:rPr>
            </w:pPr>
            <w:r w:rsidRPr="008A1551">
              <w:rPr>
                <w:sz w:val="24"/>
              </w:rPr>
              <w:t>84,956,719.30</w:t>
            </w:r>
            <w:r w:rsidRPr="008A1551">
              <w:rPr>
                <w:sz w:val="24"/>
              </w:rPr>
              <w:t>份</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w:t>
      </w:r>
      <w:r w:rsidRPr="008A1551">
        <w:rPr>
          <w:kern w:val="0"/>
          <w:sz w:val="24"/>
        </w:rPr>
        <w:t>A</w:t>
      </w:r>
      <w:r w:rsidRPr="008A1551">
        <w:rPr>
          <w:kern w:val="0"/>
          <w:sz w:val="24"/>
        </w:rPr>
        <w:t>类基金份额采用前端收费模式，</w:t>
      </w:r>
      <w:r w:rsidRPr="008A1551">
        <w:rPr>
          <w:kern w:val="0"/>
          <w:sz w:val="24"/>
        </w:rPr>
        <w:t>B</w:t>
      </w:r>
      <w:r w:rsidRPr="008A1551">
        <w:rPr>
          <w:kern w:val="0"/>
          <w:sz w:val="24"/>
        </w:rPr>
        <w:t>类基金份额采用后端收费模式，前端交易代码即为</w:t>
      </w:r>
      <w:r w:rsidRPr="008A1551">
        <w:rPr>
          <w:kern w:val="0"/>
          <w:sz w:val="24"/>
        </w:rPr>
        <w:t>A</w:t>
      </w:r>
      <w:r w:rsidRPr="008A1551">
        <w:rPr>
          <w:kern w:val="0"/>
          <w:sz w:val="24"/>
        </w:rPr>
        <w:t>类基金份额交易代码，后端交易代码即为</w:t>
      </w:r>
      <w:r w:rsidRPr="008A1551">
        <w:rPr>
          <w:kern w:val="0"/>
          <w:sz w:val="24"/>
        </w:rPr>
        <w:t>B</w:t>
      </w:r>
      <w:r w:rsidRPr="008A1551">
        <w:rPr>
          <w:kern w:val="0"/>
          <w:sz w:val="24"/>
        </w:rPr>
        <w:t>类基金份额交易代码。</w:t>
      </w: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根据宏观经济运行状况和金融市场的运行趋势，自上而下进行宏观分析，自下而上精选个券，在控制信用风险、利率风险、流动性风险前提下，主要通过投资承担一定信用风险、具有较高息票率的债券，实现基金资产的长期稳定增长。</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本基金在分析和判断宏观经济运行状况和金融市场运行趋势的基础上，动态调整大类金融资产比例，自上而下决定债券组合久期、期限结构配置及债券类别配置，自下而上地配置债券类属和精选个券。</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中债企业债总指数</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本基金是一只债券型基金，在证券投资基金中属于中等风险的品种，其长期平均风险和预期收益高于货币市场基金，低于股票型基金。</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w:t>
            </w:r>
            <w:r w:rsidRPr="008A1551">
              <w:rPr>
                <w:color w:val="000000"/>
                <w:kern w:val="0"/>
                <w:sz w:val="24"/>
              </w:rPr>
              <w:lastRenderedPageBreak/>
              <w:t>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lastRenderedPageBreak/>
              <w:t>中国建设银行股份有限公司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王晚婷</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田青</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tianqing1.zh@ccb.com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010-66275853</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2019</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2019</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交银增利债券</w:t>
            </w:r>
            <w:r w:rsidRPr="008A1551">
              <w:rPr>
                <w:sz w:val="24"/>
              </w:rPr>
              <w:t>A/B</w:t>
            </w:r>
          </w:p>
        </w:tc>
        <w:tc>
          <w:tcPr>
            <w:tcW w:w="2558" w:type="dxa"/>
            <w:vAlign w:val="center"/>
          </w:tcPr>
          <w:p w:rsidR="001548F9" w:rsidRPr="008A1551" w:rsidRDefault="001548F9" w:rsidP="009E1EA4">
            <w:pPr>
              <w:spacing w:before="29" w:line="288" w:lineRule="auto"/>
              <w:jc w:val="center"/>
              <w:rPr>
                <w:sz w:val="24"/>
              </w:rPr>
            </w:pPr>
            <w:r w:rsidRPr="008A1551">
              <w:rPr>
                <w:sz w:val="24"/>
              </w:rPr>
              <w:t>交银增利债券</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11,906,710.42</w:t>
            </w:r>
          </w:p>
        </w:tc>
        <w:tc>
          <w:tcPr>
            <w:tcW w:w="2558" w:type="dxa"/>
            <w:vAlign w:val="center"/>
          </w:tcPr>
          <w:p w:rsidR="001548F9" w:rsidRPr="008A1551" w:rsidRDefault="001548F9" w:rsidP="009E1EA4">
            <w:pPr>
              <w:spacing w:before="29" w:line="288" w:lineRule="auto"/>
              <w:jc w:val="right"/>
              <w:rPr>
                <w:sz w:val="24"/>
              </w:rPr>
            </w:pPr>
            <w:r w:rsidRPr="008A1551">
              <w:rPr>
                <w:sz w:val="24"/>
              </w:rPr>
              <w:t>2,651,793.95</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10,873,241.84</w:t>
            </w:r>
          </w:p>
        </w:tc>
        <w:tc>
          <w:tcPr>
            <w:tcW w:w="2558" w:type="dxa"/>
            <w:vAlign w:val="center"/>
          </w:tcPr>
          <w:p w:rsidR="001548F9" w:rsidRPr="008A1551" w:rsidRDefault="001548F9" w:rsidP="009E1EA4">
            <w:pPr>
              <w:spacing w:before="29" w:line="288" w:lineRule="auto"/>
              <w:jc w:val="right"/>
              <w:rPr>
                <w:sz w:val="24"/>
              </w:rPr>
            </w:pPr>
            <w:r w:rsidRPr="008A1551">
              <w:rPr>
                <w:sz w:val="24"/>
              </w:rPr>
              <w:t>2,599,105.35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0.0275</w:t>
            </w:r>
          </w:p>
        </w:tc>
        <w:tc>
          <w:tcPr>
            <w:tcW w:w="2558" w:type="dxa"/>
            <w:vAlign w:val="center"/>
          </w:tcPr>
          <w:p w:rsidR="001548F9" w:rsidRPr="008A1551" w:rsidRDefault="001548F9" w:rsidP="009E1EA4">
            <w:pPr>
              <w:spacing w:before="29" w:line="288" w:lineRule="auto"/>
              <w:jc w:val="right"/>
              <w:rPr>
                <w:sz w:val="24"/>
              </w:rPr>
            </w:pPr>
            <w:r w:rsidRPr="008A1551">
              <w:rPr>
                <w:sz w:val="24"/>
              </w:rPr>
              <w:t>0.0274</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3.24%</w:t>
            </w:r>
          </w:p>
        </w:tc>
        <w:tc>
          <w:tcPr>
            <w:tcW w:w="2558" w:type="dxa"/>
            <w:vAlign w:val="center"/>
          </w:tcPr>
          <w:p w:rsidR="001548F9" w:rsidRPr="008A1551" w:rsidRDefault="001548F9" w:rsidP="009E1EA4">
            <w:pPr>
              <w:spacing w:before="29" w:line="288" w:lineRule="auto"/>
              <w:jc w:val="right"/>
              <w:rPr>
                <w:sz w:val="24"/>
              </w:rPr>
            </w:pPr>
            <w:r w:rsidRPr="008A1551">
              <w:rPr>
                <w:sz w:val="24"/>
              </w:rPr>
              <w:t>3.05%</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(2019</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交银增利债券</w:t>
            </w:r>
            <w:r w:rsidRPr="008A1551">
              <w:rPr>
                <w:color w:val="000000"/>
                <w:sz w:val="24"/>
              </w:rPr>
              <w:t>A/B</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交银增利债券</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0.0365</w:t>
            </w:r>
          </w:p>
        </w:tc>
        <w:tc>
          <w:tcPr>
            <w:tcW w:w="2558" w:type="dxa"/>
            <w:vAlign w:val="center"/>
          </w:tcPr>
          <w:p w:rsidR="001548F9" w:rsidRPr="008A1551" w:rsidRDefault="001548F9" w:rsidP="009E1EA4">
            <w:pPr>
              <w:spacing w:before="29" w:line="288" w:lineRule="auto"/>
              <w:jc w:val="right"/>
              <w:rPr>
                <w:sz w:val="24"/>
              </w:rPr>
            </w:pPr>
            <w:r w:rsidRPr="008A1551">
              <w:rPr>
                <w:sz w:val="24"/>
              </w:rPr>
              <w:t>0.0338</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381,261,523.80</w:t>
            </w:r>
          </w:p>
        </w:tc>
        <w:tc>
          <w:tcPr>
            <w:tcW w:w="2558" w:type="dxa"/>
            <w:vAlign w:val="center"/>
          </w:tcPr>
          <w:p w:rsidR="001548F9" w:rsidRPr="008A1551" w:rsidRDefault="001548F9" w:rsidP="009E1EA4">
            <w:pPr>
              <w:spacing w:before="29" w:line="288" w:lineRule="auto"/>
              <w:jc w:val="right"/>
              <w:rPr>
                <w:sz w:val="24"/>
              </w:rPr>
            </w:pPr>
            <w:r w:rsidRPr="008A1551">
              <w:rPr>
                <w:sz w:val="24"/>
              </w:rPr>
              <w:t>87,829,281.22</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1.0365</w:t>
            </w:r>
          </w:p>
        </w:tc>
        <w:tc>
          <w:tcPr>
            <w:tcW w:w="2558" w:type="dxa"/>
            <w:vAlign w:val="center"/>
          </w:tcPr>
          <w:p w:rsidR="001548F9" w:rsidRPr="008A1551" w:rsidRDefault="001548F9" w:rsidP="009E1EA4">
            <w:pPr>
              <w:spacing w:before="29" w:line="288" w:lineRule="auto"/>
              <w:jc w:val="right"/>
              <w:rPr>
                <w:sz w:val="24"/>
              </w:rPr>
            </w:pPr>
            <w:r w:rsidRPr="008A1551">
              <w:rPr>
                <w:sz w:val="24"/>
              </w:rPr>
              <w:t>1.0338</w:t>
            </w:r>
          </w:p>
        </w:tc>
      </w:tr>
    </w:tbl>
    <w:p w:rsidR="001D6EDA" w:rsidRDefault="00DD400B">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类业绩指标不包括持有人认购或交易基金的各项费用，计入费用后的</w:t>
      </w:r>
      <w:r>
        <w:rPr>
          <w:kern w:val="0"/>
          <w:sz w:val="24"/>
        </w:rPr>
        <w:t xml:space="preserve"> </w:t>
      </w:r>
      <w:r>
        <w:rPr>
          <w:kern w:val="0"/>
          <w:sz w:val="24"/>
        </w:rPr>
        <w:t>实际收益水平要低于所列数字；</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交银增利债券</w:t>
      </w:r>
      <w:r w:rsidRPr="008A1551">
        <w:rPr>
          <w:rFonts w:ascii="Times New Roman" w:hAnsi="Times New Roman"/>
          <w:color w:val="auto"/>
        </w:rPr>
        <w:t>A/B</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1D6EDA">
        <w:tc>
          <w:tcPr>
            <w:tcW w:w="1497" w:type="dxa"/>
            <w:vAlign w:val="center"/>
          </w:tcPr>
          <w:p w:rsidR="001D6EDA" w:rsidRDefault="00DD400B">
            <w:pPr>
              <w:jc w:val="left"/>
            </w:pPr>
            <w:r>
              <w:rPr>
                <w:color w:val="000000"/>
                <w:sz w:val="24"/>
              </w:rPr>
              <w:t>过去一个月</w:t>
            </w:r>
          </w:p>
        </w:tc>
        <w:tc>
          <w:tcPr>
            <w:tcW w:w="1251" w:type="dxa"/>
            <w:vAlign w:val="center"/>
          </w:tcPr>
          <w:p w:rsidR="001D6EDA" w:rsidRDefault="00DD400B">
            <w:pPr>
              <w:jc w:val="center"/>
            </w:pPr>
            <w:r>
              <w:rPr>
                <w:color w:val="000000"/>
                <w:sz w:val="24"/>
              </w:rPr>
              <w:t>0.43%</w:t>
            </w:r>
          </w:p>
        </w:tc>
        <w:tc>
          <w:tcPr>
            <w:tcW w:w="1250" w:type="dxa"/>
            <w:vAlign w:val="center"/>
          </w:tcPr>
          <w:p w:rsidR="001D6EDA" w:rsidRDefault="00DD400B">
            <w:pPr>
              <w:jc w:val="center"/>
            </w:pPr>
            <w:r>
              <w:rPr>
                <w:color w:val="000000"/>
                <w:sz w:val="24"/>
              </w:rPr>
              <w:t>0.08%</w:t>
            </w:r>
          </w:p>
        </w:tc>
        <w:tc>
          <w:tcPr>
            <w:tcW w:w="1250" w:type="dxa"/>
            <w:vAlign w:val="center"/>
          </w:tcPr>
          <w:p w:rsidR="001D6EDA" w:rsidRDefault="00DD400B">
            <w:pPr>
              <w:jc w:val="center"/>
            </w:pPr>
            <w:r>
              <w:rPr>
                <w:color w:val="000000"/>
                <w:sz w:val="24"/>
              </w:rPr>
              <w:t>0.17%</w:t>
            </w:r>
          </w:p>
        </w:tc>
        <w:tc>
          <w:tcPr>
            <w:tcW w:w="1250" w:type="dxa"/>
            <w:vAlign w:val="center"/>
          </w:tcPr>
          <w:p w:rsidR="001D6EDA" w:rsidRDefault="00DD400B">
            <w:pPr>
              <w:jc w:val="center"/>
            </w:pPr>
            <w:r>
              <w:rPr>
                <w:color w:val="000000"/>
                <w:sz w:val="24"/>
              </w:rPr>
              <w:t>0.03%</w:t>
            </w:r>
          </w:p>
        </w:tc>
        <w:tc>
          <w:tcPr>
            <w:tcW w:w="1250" w:type="dxa"/>
            <w:vAlign w:val="center"/>
          </w:tcPr>
          <w:p w:rsidR="001D6EDA" w:rsidRDefault="00DD400B">
            <w:pPr>
              <w:jc w:val="center"/>
            </w:pPr>
            <w:r>
              <w:rPr>
                <w:color w:val="000000"/>
                <w:sz w:val="24"/>
              </w:rPr>
              <w:t>0.26%</w:t>
            </w:r>
          </w:p>
        </w:tc>
        <w:tc>
          <w:tcPr>
            <w:tcW w:w="1250" w:type="dxa"/>
            <w:vAlign w:val="center"/>
          </w:tcPr>
          <w:p w:rsidR="001D6EDA" w:rsidRDefault="00DD400B">
            <w:pPr>
              <w:jc w:val="center"/>
            </w:pPr>
            <w:r>
              <w:rPr>
                <w:color w:val="000000"/>
                <w:sz w:val="24"/>
              </w:rPr>
              <w:t>0.05%</w:t>
            </w:r>
          </w:p>
        </w:tc>
      </w:tr>
      <w:tr w:rsidR="001D6EDA">
        <w:tc>
          <w:tcPr>
            <w:tcW w:w="1497" w:type="dxa"/>
            <w:vAlign w:val="center"/>
          </w:tcPr>
          <w:p w:rsidR="001D6EDA" w:rsidRDefault="00DD400B">
            <w:pPr>
              <w:jc w:val="left"/>
            </w:pPr>
            <w:r>
              <w:rPr>
                <w:color w:val="000000"/>
                <w:sz w:val="24"/>
              </w:rPr>
              <w:t>过去三个月</w:t>
            </w:r>
          </w:p>
        </w:tc>
        <w:tc>
          <w:tcPr>
            <w:tcW w:w="1251" w:type="dxa"/>
            <w:vAlign w:val="center"/>
          </w:tcPr>
          <w:p w:rsidR="001D6EDA" w:rsidRDefault="00DD400B">
            <w:pPr>
              <w:jc w:val="center"/>
            </w:pPr>
            <w:r>
              <w:rPr>
                <w:color w:val="000000"/>
                <w:sz w:val="24"/>
              </w:rPr>
              <w:t>-0.31%</w:t>
            </w:r>
          </w:p>
        </w:tc>
        <w:tc>
          <w:tcPr>
            <w:tcW w:w="1250" w:type="dxa"/>
            <w:vAlign w:val="center"/>
          </w:tcPr>
          <w:p w:rsidR="001D6EDA" w:rsidRDefault="00DD400B">
            <w:pPr>
              <w:jc w:val="center"/>
            </w:pPr>
            <w:r>
              <w:rPr>
                <w:color w:val="000000"/>
                <w:sz w:val="24"/>
              </w:rPr>
              <w:t>0.16%</w:t>
            </w:r>
          </w:p>
        </w:tc>
        <w:tc>
          <w:tcPr>
            <w:tcW w:w="1250" w:type="dxa"/>
            <w:vAlign w:val="center"/>
          </w:tcPr>
          <w:p w:rsidR="001D6EDA" w:rsidRDefault="00DD400B">
            <w:pPr>
              <w:jc w:val="center"/>
            </w:pPr>
            <w:r>
              <w:rPr>
                <w:color w:val="000000"/>
                <w:sz w:val="24"/>
              </w:rPr>
              <w:t>-0.10%</w:t>
            </w:r>
          </w:p>
        </w:tc>
        <w:tc>
          <w:tcPr>
            <w:tcW w:w="1250" w:type="dxa"/>
            <w:vAlign w:val="center"/>
          </w:tcPr>
          <w:p w:rsidR="001D6EDA" w:rsidRDefault="00DD400B">
            <w:pPr>
              <w:jc w:val="center"/>
            </w:pPr>
            <w:r>
              <w:rPr>
                <w:color w:val="000000"/>
                <w:sz w:val="24"/>
              </w:rPr>
              <w:t>0.05%</w:t>
            </w:r>
          </w:p>
        </w:tc>
        <w:tc>
          <w:tcPr>
            <w:tcW w:w="1250" w:type="dxa"/>
            <w:vAlign w:val="center"/>
          </w:tcPr>
          <w:p w:rsidR="001D6EDA" w:rsidRDefault="00DD400B">
            <w:pPr>
              <w:jc w:val="center"/>
            </w:pPr>
            <w:r>
              <w:rPr>
                <w:color w:val="000000"/>
                <w:sz w:val="24"/>
              </w:rPr>
              <w:t>-0.21%</w:t>
            </w:r>
          </w:p>
        </w:tc>
        <w:tc>
          <w:tcPr>
            <w:tcW w:w="1250" w:type="dxa"/>
            <w:vAlign w:val="center"/>
          </w:tcPr>
          <w:p w:rsidR="001D6EDA" w:rsidRDefault="00DD400B">
            <w:pPr>
              <w:jc w:val="center"/>
            </w:pPr>
            <w:r>
              <w:rPr>
                <w:color w:val="000000"/>
                <w:sz w:val="24"/>
              </w:rPr>
              <w:t>0.11%</w:t>
            </w:r>
          </w:p>
        </w:tc>
      </w:tr>
      <w:tr w:rsidR="001D6EDA">
        <w:tc>
          <w:tcPr>
            <w:tcW w:w="1497" w:type="dxa"/>
            <w:vAlign w:val="center"/>
          </w:tcPr>
          <w:p w:rsidR="001D6EDA" w:rsidRDefault="00DD400B">
            <w:pPr>
              <w:jc w:val="left"/>
            </w:pPr>
            <w:r>
              <w:rPr>
                <w:color w:val="000000"/>
                <w:sz w:val="24"/>
              </w:rPr>
              <w:t>过去六个月</w:t>
            </w:r>
          </w:p>
        </w:tc>
        <w:tc>
          <w:tcPr>
            <w:tcW w:w="1251" w:type="dxa"/>
            <w:vAlign w:val="center"/>
          </w:tcPr>
          <w:p w:rsidR="001D6EDA" w:rsidRDefault="00DD400B">
            <w:pPr>
              <w:jc w:val="center"/>
            </w:pPr>
            <w:r>
              <w:rPr>
                <w:color w:val="000000"/>
                <w:sz w:val="24"/>
              </w:rPr>
              <w:t>3.24%</w:t>
            </w:r>
          </w:p>
        </w:tc>
        <w:tc>
          <w:tcPr>
            <w:tcW w:w="1250" w:type="dxa"/>
            <w:vAlign w:val="center"/>
          </w:tcPr>
          <w:p w:rsidR="001D6EDA" w:rsidRDefault="00DD400B">
            <w:pPr>
              <w:jc w:val="center"/>
            </w:pPr>
            <w:r>
              <w:rPr>
                <w:color w:val="000000"/>
                <w:sz w:val="24"/>
              </w:rPr>
              <w:t>0.15%</w:t>
            </w:r>
          </w:p>
        </w:tc>
        <w:tc>
          <w:tcPr>
            <w:tcW w:w="1250" w:type="dxa"/>
            <w:vAlign w:val="center"/>
          </w:tcPr>
          <w:p w:rsidR="001D6EDA" w:rsidRDefault="00DD400B">
            <w:pPr>
              <w:jc w:val="center"/>
            </w:pPr>
            <w:r>
              <w:rPr>
                <w:color w:val="000000"/>
                <w:sz w:val="24"/>
              </w:rPr>
              <w:t>0.47%</w:t>
            </w:r>
          </w:p>
        </w:tc>
        <w:tc>
          <w:tcPr>
            <w:tcW w:w="1250" w:type="dxa"/>
            <w:vAlign w:val="center"/>
          </w:tcPr>
          <w:p w:rsidR="001D6EDA" w:rsidRDefault="00DD400B">
            <w:pPr>
              <w:jc w:val="center"/>
            </w:pPr>
            <w:r>
              <w:rPr>
                <w:color w:val="000000"/>
                <w:sz w:val="24"/>
              </w:rPr>
              <w:t>0.05%</w:t>
            </w:r>
          </w:p>
        </w:tc>
        <w:tc>
          <w:tcPr>
            <w:tcW w:w="1250" w:type="dxa"/>
            <w:vAlign w:val="center"/>
          </w:tcPr>
          <w:p w:rsidR="001D6EDA" w:rsidRDefault="00DD400B">
            <w:pPr>
              <w:jc w:val="center"/>
            </w:pPr>
            <w:r>
              <w:rPr>
                <w:color w:val="000000"/>
                <w:sz w:val="24"/>
              </w:rPr>
              <w:t>2.77%</w:t>
            </w:r>
          </w:p>
        </w:tc>
        <w:tc>
          <w:tcPr>
            <w:tcW w:w="1250" w:type="dxa"/>
            <w:vAlign w:val="center"/>
          </w:tcPr>
          <w:p w:rsidR="001D6EDA" w:rsidRDefault="00DD400B">
            <w:pPr>
              <w:jc w:val="center"/>
            </w:pPr>
            <w:r>
              <w:rPr>
                <w:color w:val="000000"/>
                <w:sz w:val="24"/>
              </w:rPr>
              <w:t>0.10%</w:t>
            </w:r>
          </w:p>
        </w:tc>
      </w:tr>
      <w:tr w:rsidR="001D6EDA">
        <w:tc>
          <w:tcPr>
            <w:tcW w:w="1497" w:type="dxa"/>
            <w:vAlign w:val="center"/>
          </w:tcPr>
          <w:p w:rsidR="001D6EDA" w:rsidRDefault="00DD400B">
            <w:pPr>
              <w:jc w:val="left"/>
            </w:pPr>
            <w:r>
              <w:rPr>
                <w:color w:val="000000"/>
                <w:sz w:val="24"/>
              </w:rPr>
              <w:t>过去一年</w:t>
            </w:r>
          </w:p>
        </w:tc>
        <w:tc>
          <w:tcPr>
            <w:tcW w:w="1251" w:type="dxa"/>
            <w:vAlign w:val="center"/>
          </w:tcPr>
          <w:p w:rsidR="001D6EDA" w:rsidRDefault="00DD400B">
            <w:pPr>
              <w:jc w:val="center"/>
            </w:pPr>
            <w:r>
              <w:rPr>
                <w:color w:val="000000"/>
                <w:sz w:val="24"/>
              </w:rPr>
              <w:t>8.37%</w:t>
            </w:r>
          </w:p>
        </w:tc>
        <w:tc>
          <w:tcPr>
            <w:tcW w:w="1250" w:type="dxa"/>
            <w:vAlign w:val="center"/>
          </w:tcPr>
          <w:p w:rsidR="001D6EDA" w:rsidRDefault="00DD400B">
            <w:pPr>
              <w:jc w:val="center"/>
            </w:pPr>
            <w:r>
              <w:rPr>
                <w:color w:val="000000"/>
                <w:sz w:val="24"/>
              </w:rPr>
              <w:t>0.12%</w:t>
            </w:r>
          </w:p>
        </w:tc>
        <w:tc>
          <w:tcPr>
            <w:tcW w:w="1250" w:type="dxa"/>
            <w:vAlign w:val="center"/>
          </w:tcPr>
          <w:p w:rsidR="001D6EDA" w:rsidRDefault="00DD400B">
            <w:pPr>
              <w:jc w:val="center"/>
            </w:pPr>
            <w:r>
              <w:rPr>
                <w:color w:val="000000"/>
                <w:sz w:val="24"/>
              </w:rPr>
              <w:t>2.88%</w:t>
            </w:r>
          </w:p>
        </w:tc>
        <w:tc>
          <w:tcPr>
            <w:tcW w:w="1250" w:type="dxa"/>
            <w:vAlign w:val="center"/>
          </w:tcPr>
          <w:p w:rsidR="001D6EDA" w:rsidRDefault="00DD400B">
            <w:pPr>
              <w:jc w:val="center"/>
            </w:pPr>
            <w:r>
              <w:rPr>
                <w:color w:val="000000"/>
                <w:sz w:val="24"/>
              </w:rPr>
              <w:t>0.05%</w:t>
            </w:r>
          </w:p>
        </w:tc>
        <w:tc>
          <w:tcPr>
            <w:tcW w:w="1250" w:type="dxa"/>
            <w:vAlign w:val="center"/>
          </w:tcPr>
          <w:p w:rsidR="001D6EDA" w:rsidRDefault="00DD400B">
            <w:pPr>
              <w:jc w:val="center"/>
            </w:pPr>
            <w:r>
              <w:rPr>
                <w:color w:val="000000"/>
                <w:sz w:val="24"/>
              </w:rPr>
              <w:t>5.49%</w:t>
            </w:r>
          </w:p>
        </w:tc>
        <w:tc>
          <w:tcPr>
            <w:tcW w:w="1250" w:type="dxa"/>
            <w:vAlign w:val="center"/>
          </w:tcPr>
          <w:p w:rsidR="001D6EDA" w:rsidRDefault="00DD400B">
            <w:pPr>
              <w:jc w:val="center"/>
            </w:pPr>
            <w:r>
              <w:rPr>
                <w:color w:val="000000"/>
                <w:sz w:val="24"/>
              </w:rPr>
              <w:t>0.07%</w:t>
            </w:r>
          </w:p>
        </w:tc>
      </w:tr>
      <w:tr w:rsidR="001D6EDA">
        <w:tc>
          <w:tcPr>
            <w:tcW w:w="1497" w:type="dxa"/>
            <w:vAlign w:val="center"/>
          </w:tcPr>
          <w:p w:rsidR="001D6EDA" w:rsidRDefault="00DD400B">
            <w:pPr>
              <w:jc w:val="left"/>
            </w:pPr>
            <w:r>
              <w:rPr>
                <w:color w:val="000000"/>
                <w:sz w:val="24"/>
              </w:rPr>
              <w:t>过去三年</w:t>
            </w:r>
          </w:p>
        </w:tc>
        <w:tc>
          <w:tcPr>
            <w:tcW w:w="1251" w:type="dxa"/>
            <w:vAlign w:val="center"/>
          </w:tcPr>
          <w:p w:rsidR="001D6EDA" w:rsidRDefault="00DD400B">
            <w:pPr>
              <w:jc w:val="center"/>
            </w:pPr>
            <w:r>
              <w:rPr>
                <w:color w:val="000000"/>
                <w:sz w:val="24"/>
              </w:rPr>
              <w:t>9.39%</w:t>
            </w:r>
          </w:p>
        </w:tc>
        <w:tc>
          <w:tcPr>
            <w:tcW w:w="1250" w:type="dxa"/>
            <w:vAlign w:val="center"/>
          </w:tcPr>
          <w:p w:rsidR="001D6EDA" w:rsidRDefault="00DD400B">
            <w:pPr>
              <w:jc w:val="center"/>
            </w:pPr>
            <w:r>
              <w:rPr>
                <w:color w:val="000000"/>
                <w:sz w:val="24"/>
              </w:rPr>
              <w:t>0.11%</w:t>
            </w:r>
          </w:p>
        </w:tc>
        <w:tc>
          <w:tcPr>
            <w:tcW w:w="1250" w:type="dxa"/>
            <w:vAlign w:val="center"/>
          </w:tcPr>
          <w:p w:rsidR="001D6EDA" w:rsidRDefault="00DD400B">
            <w:pPr>
              <w:jc w:val="center"/>
            </w:pPr>
            <w:r>
              <w:rPr>
                <w:color w:val="000000"/>
                <w:sz w:val="24"/>
              </w:rPr>
              <w:t>-11.66%</w:t>
            </w:r>
          </w:p>
        </w:tc>
        <w:tc>
          <w:tcPr>
            <w:tcW w:w="1250" w:type="dxa"/>
            <w:vAlign w:val="center"/>
          </w:tcPr>
          <w:p w:rsidR="001D6EDA" w:rsidRDefault="00DD400B">
            <w:pPr>
              <w:jc w:val="center"/>
            </w:pPr>
            <w:r>
              <w:rPr>
                <w:color w:val="000000"/>
                <w:sz w:val="24"/>
              </w:rPr>
              <w:t>0.08%</w:t>
            </w:r>
          </w:p>
        </w:tc>
        <w:tc>
          <w:tcPr>
            <w:tcW w:w="1250" w:type="dxa"/>
            <w:vAlign w:val="center"/>
          </w:tcPr>
          <w:p w:rsidR="001D6EDA" w:rsidRDefault="00DD400B">
            <w:pPr>
              <w:jc w:val="center"/>
            </w:pPr>
            <w:r>
              <w:rPr>
                <w:color w:val="000000"/>
                <w:sz w:val="24"/>
              </w:rPr>
              <w:t>21.05%</w:t>
            </w:r>
          </w:p>
        </w:tc>
        <w:tc>
          <w:tcPr>
            <w:tcW w:w="1250" w:type="dxa"/>
            <w:vAlign w:val="center"/>
          </w:tcPr>
          <w:p w:rsidR="001D6EDA" w:rsidRDefault="00DD400B">
            <w:pPr>
              <w:jc w:val="center"/>
            </w:pPr>
            <w:r>
              <w:rPr>
                <w:color w:val="000000"/>
                <w:sz w:val="24"/>
              </w:rPr>
              <w:t>0.03%</w:t>
            </w:r>
          </w:p>
        </w:tc>
      </w:tr>
      <w:tr w:rsidR="001D6EDA">
        <w:tc>
          <w:tcPr>
            <w:tcW w:w="1497" w:type="dxa"/>
            <w:vAlign w:val="center"/>
          </w:tcPr>
          <w:p w:rsidR="001D6EDA" w:rsidRDefault="00DD400B">
            <w:pPr>
              <w:jc w:val="left"/>
            </w:pPr>
            <w:r>
              <w:rPr>
                <w:color w:val="000000"/>
                <w:sz w:val="24"/>
              </w:rPr>
              <w:t>自基金合同生效起至今</w:t>
            </w:r>
          </w:p>
        </w:tc>
        <w:tc>
          <w:tcPr>
            <w:tcW w:w="1251" w:type="dxa"/>
            <w:vAlign w:val="center"/>
          </w:tcPr>
          <w:p w:rsidR="001D6EDA" w:rsidRDefault="00DD400B">
            <w:pPr>
              <w:jc w:val="center"/>
            </w:pPr>
            <w:r>
              <w:rPr>
                <w:color w:val="000000"/>
                <w:sz w:val="24"/>
              </w:rPr>
              <w:t>91.65%</w:t>
            </w:r>
          </w:p>
        </w:tc>
        <w:tc>
          <w:tcPr>
            <w:tcW w:w="1250" w:type="dxa"/>
            <w:vAlign w:val="center"/>
          </w:tcPr>
          <w:p w:rsidR="001D6EDA" w:rsidRDefault="00DD400B">
            <w:pPr>
              <w:jc w:val="center"/>
            </w:pPr>
            <w:r>
              <w:rPr>
                <w:color w:val="000000"/>
                <w:sz w:val="24"/>
              </w:rPr>
              <w:t>0.26%</w:t>
            </w:r>
          </w:p>
        </w:tc>
        <w:tc>
          <w:tcPr>
            <w:tcW w:w="1250" w:type="dxa"/>
            <w:vAlign w:val="center"/>
          </w:tcPr>
          <w:p w:rsidR="001D6EDA" w:rsidRDefault="00DD400B">
            <w:pPr>
              <w:jc w:val="center"/>
            </w:pPr>
            <w:r>
              <w:rPr>
                <w:color w:val="000000"/>
                <w:sz w:val="24"/>
              </w:rPr>
              <w:t>-2.98%</w:t>
            </w:r>
          </w:p>
        </w:tc>
        <w:tc>
          <w:tcPr>
            <w:tcW w:w="1250" w:type="dxa"/>
            <w:vAlign w:val="center"/>
          </w:tcPr>
          <w:p w:rsidR="001D6EDA" w:rsidRDefault="00DD400B">
            <w:pPr>
              <w:jc w:val="center"/>
            </w:pPr>
            <w:r>
              <w:rPr>
                <w:color w:val="000000"/>
                <w:sz w:val="24"/>
              </w:rPr>
              <w:t>0.12%</w:t>
            </w:r>
          </w:p>
        </w:tc>
        <w:tc>
          <w:tcPr>
            <w:tcW w:w="1250" w:type="dxa"/>
            <w:vAlign w:val="center"/>
          </w:tcPr>
          <w:p w:rsidR="001D6EDA" w:rsidRDefault="00DD400B">
            <w:pPr>
              <w:jc w:val="center"/>
            </w:pPr>
            <w:r>
              <w:rPr>
                <w:color w:val="000000"/>
                <w:sz w:val="24"/>
              </w:rPr>
              <w:t>94.63%</w:t>
            </w:r>
          </w:p>
        </w:tc>
        <w:tc>
          <w:tcPr>
            <w:tcW w:w="1250" w:type="dxa"/>
            <w:vAlign w:val="center"/>
          </w:tcPr>
          <w:p w:rsidR="001D6EDA" w:rsidRDefault="00DD400B">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注：本基金的业绩比较基准为中债企业债总指数。</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交银增利债券</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1D6EDA">
        <w:tc>
          <w:tcPr>
            <w:tcW w:w="1497" w:type="dxa"/>
            <w:vAlign w:val="center"/>
          </w:tcPr>
          <w:p w:rsidR="001D6EDA" w:rsidRDefault="00DD400B">
            <w:pPr>
              <w:jc w:val="left"/>
            </w:pPr>
            <w:r>
              <w:rPr>
                <w:color w:val="000000"/>
                <w:sz w:val="24"/>
              </w:rPr>
              <w:t>过去一个月</w:t>
            </w:r>
          </w:p>
        </w:tc>
        <w:tc>
          <w:tcPr>
            <w:tcW w:w="1251" w:type="dxa"/>
            <w:vAlign w:val="center"/>
          </w:tcPr>
          <w:p w:rsidR="001D6EDA" w:rsidRDefault="00DD400B">
            <w:pPr>
              <w:jc w:val="center"/>
            </w:pPr>
            <w:r>
              <w:rPr>
                <w:color w:val="000000"/>
                <w:sz w:val="24"/>
              </w:rPr>
              <w:t>0.40%</w:t>
            </w:r>
          </w:p>
        </w:tc>
        <w:tc>
          <w:tcPr>
            <w:tcW w:w="1250" w:type="dxa"/>
            <w:vAlign w:val="center"/>
          </w:tcPr>
          <w:p w:rsidR="001D6EDA" w:rsidRDefault="00DD400B">
            <w:pPr>
              <w:jc w:val="center"/>
            </w:pPr>
            <w:r>
              <w:rPr>
                <w:color w:val="000000"/>
                <w:sz w:val="24"/>
              </w:rPr>
              <w:t>0.08%</w:t>
            </w:r>
          </w:p>
        </w:tc>
        <w:tc>
          <w:tcPr>
            <w:tcW w:w="1250" w:type="dxa"/>
            <w:vAlign w:val="center"/>
          </w:tcPr>
          <w:p w:rsidR="001D6EDA" w:rsidRDefault="00DD400B">
            <w:pPr>
              <w:jc w:val="center"/>
            </w:pPr>
            <w:r>
              <w:rPr>
                <w:color w:val="000000"/>
                <w:sz w:val="24"/>
              </w:rPr>
              <w:t>0.17%</w:t>
            </w:r>
          </w:p>
        </w:tc>
        <w:tc>
          <w:tcPr>
            <w:tcW w:w="1250" w:type="dxa"/>
            <w:vAlign w:val="center"/>
          </w:tcPr>
          <w:p w:rsidR="001D6EDA" w:rsidRDefault="00DD400B">
            <w:pPr>
              <w:jc w:val="center"/>
            </w:pPr>
            <w:r>
              <w:rPr>
                <w:color w:val="000000"/>
                <w:sz w:val="24"/>
              </w:rPr>
              <w:t>0.03%</w:t>
            </w:r>
          </w:p>
        </w:tc>
        <w:tc>
          <w:tcPr>
            <w:tcW w:w="1250" w:type="dxa"/>
            <w:vAlign w:val="center"/>
          </w:tcPr>
          <w:p w:rsidR="001D6EDA" w:rsidRDefault="00DD400B">
            <w:pPr>
              <w:jc w:val="center"/>
            </w:pPr>
            <w:r>
              <w:rPr>
                <w:color w:val="000000"/>
                <w:sz w:val="24"/>
              </w:rPr>
              <w:t>0.23%</w:t>
            </w:r>
          </w:p>
        </w:tc>
        <w:tc>
          <w:tcPr>
            <w:tcW w:w="1250" w:type="dxa"/>
            <w:vAlign w:val="center"/>
          </w:tcPr>
          <w:p w:rsidR="001D6EDA" w:rsidRDefault="00DD400B">
            <w:pPr>
              <w:jc w:val="center"/>
            </w:pPr>
            <w:r>
              <w:rPr>
                <w:color w:val="000000"/>
                <w:sz w:val="24"/>
              </w:rPr>
              <w:t>0.05%</w:t>
            </w:r>
          </w:p>
        </w:tc>
      </w:tr>
      <w:tr w:rsidR="001D6EDA">
        <w:tc>
          <w:tcPr>
            <w:tcW w:w="1497" w:type="dxa"/>
            <w:vAlign w:val="center"/>
          </w:tcPr>
          <w:p w:rsidR="001D6EDA" w:rsidRDefault="00DD400B">
            <w:pPr>
              <w:jc w:val="left"/>
            </w:pPr>
            <w:r>
              <w:rPr>
                <w:color w:val="000000"/>
                <w:sz w:val="24"/>
              </w:rPr>
              <w:t>过去三个月</w:t>
            </w:r>
          </w:p>
        </w:tc>
        <w:tc>
          <w:tcPr>
            <w:tcW w:w="1251" w:type="dxa"/>
            <w:vAlign w:val="center"/>
          </w:tcPr>
          <w:p w:rsidR="001D6EDA" w:rsidRDefault="00DD400B">
            <w:pPr>
              <w:jc w:val="center"/>
            </w:pPr>
            <w:r>
              <w:rPr>
                <w:color w:val="000000"/>
                <w:sz w:val="24"/>
              </w:rPr>
              <w:t>-0.41%</w:t>
            </w:r>
          </w:p>
        </w:tc>
        <w:tc>
          <w:tcPr>
            <w:tcW w:w="1250" w:type="dxa"/>
            <w:vAlign w:val="center"/>
          </w:tcPr>
          <w:p w:rsidR="001D6EDA" w:rsidRDefault="00DD400B">
            <w:pPr>
              <w:jc w:val="center"/>
            </w:pPr>
            <w:r>
              <w:rPr>
                <w:color w:val="000000"/>
                <w:sz w:val="24"/>
              </w:rPr>
              <w:t>0.16%</w:t>
            </w:r>
          </w:p>
        </w:tc>
        <w:tc>
          <w:tcPr>
            <w:tcW w:w="1250" w:type="dxa"/>
            <w:vAlign w:val="center"/>
          </w:tcPr>
          <w:p w:rsidR="001D6EDA" w:rsidRDefault="00DD400B">
            <w:pPr>
              <w:jc w:val="center"/>
            </w:pPr>
            <w:r>
              <w:rPr>
                <w:color w:val="000000"/>
                <w:sz w:val="24"/>
              </w:rPr>
              <w:t>-0.10%</w:t>
            </w:r>
          </w:p>
        </w:tc>
        <w:tc>
          <w:tcPr>
            <w:tcW w:w="1250" w:type="dxa"/>
            <w:vAlign w:val="center"/>
          </w:tcPr>
          <w:p w:rsidR="001D6EDA" w:rsidRDefault="00DD400B">
            <w:pPr>
              <w:jc w:val="center"/>
            </w:pPr>
            <w:r>
              <w:rPr>
                <w:color w:val="000000"/>
                <w:sz w:val="24"/>
              </w:rPr>
              <w:t>0.05%</w:t>
            </w:r>
          </w:p>
        </w:tc>
        <w:tc>
          <w:tcPr>
            <w:tcW w:w="1250" w:type="dxa"/>
            <w:vAlign w:val="center"/>
          </w:tcPr>
          <w:p w:rsidR="001D6EDA" w:rsidRDefault="00DD400B">
            <w:pPr>
              <w:jc w:val="center"/>
            </w:pPr>
            <w:r>
              <w:rPr>
                <w:color w:val="000000"/>
                <w:sz w:val="24"/>
              </w:rPr>
              <w:t>-0.31%</w:t>
            </w:r>
          </w:p>
        </w:tc>
        <w:tc>
          <w:tcPr>
            <w:tcW w:w="1250" w:type="dxa"/>
            <w:vAlign w:val="center"/>
          </w:tcPr>
          <w:p w:rsidR="001D6EDA" w:rsidRDefault="00DD400B">
            <w:pPr>
              <w:jc w:val="center"/>
            </w:pPr>
            <w:r>
              <w:rPr>
                <w:color w:val="000000"/>
                <w:sz w:val="24"/>
              </w:rPr>
              <w:t>0.11%</w:t>
            </w:r>
          </w:p>
        </w:tc>
      </w:tr>
      <w:tr w:rsidR="001D6EDA">
        <w:tc>
          <w:tcPr>
            <w:tcW w:w="1497" w:type="dxa"/>
            <w:vAlign w:val="center"/>
          </w:tcPr>
          <w:p w:rsidR="001D6EDA" w:rsidRDefault="00DD400B">
            <w:pPr>
              <w:jc w:val="left"/>
            </w:pPr>
            <w:r>
              <w:rPr>
                <w:color w:val="000000"/>
                <w:sz w:val="24"/>
              </w:rPr>
              <w:t>过去六个月</w:t>
            </w:r>
          </w:p>
        </w:tc>
        <w:tc>
          <w:tcPr>
            <w:tcW w:w="1251" w:type="dxa"/>
            <w:vAlign w:val="center"/>
          </w:tcPr>
          <w:p w:rsidR="001D6EDA" w:rsidRDefault="00DD400B">
            <w:pPr>
              <w:jc w:val="center"/>
            </w:pPr>
            <w:r>
              <w:rPr>
                <w:color w:val="000000"/>
                <w:sz w:val="24"/>
              </w:rPr>
              <w:t>3.05%</w:t>
            </w:r>
          </w:p>
        </w:tc>
        <w:tc>
          <w:tcPr>
            <w:tcW w:w="1250" w:type="dxa"/>
            <w:vAlign w:val="center"/>
          </w:tcPr>
          <w:p w:rsidR="001D6EDA" w:rsidRDefault="00DD400B">
            <w:pPr>
              <w:jc w:val="center"/>
            </w:pPr>
            <w:r>
              <w:rPr>
                <w:color w:val="000000"/>
                <w:sz w:val="24"/>
              </w:rPr>
              <w:t>0.15%</w:t>
            </w:r>
          </w:p>
        </w:tc>
        <w:tc>
          <w:tcPr>
            <w:tcW w:w="1250" w:type="dxa"/>
            <w:vAlign w:val="center"/>
          </w:tcPr>
          <w:p w:rsidR="001D6EDA" w:rsidRDefault="00DD400B">
            <w:pPr>
              <w:jc w:val="center"/>
            </w:pPr>
            <w:r>
              <w:rPr>
                <w:color w:val="000000"/>
                <w:sz w:val="24"/>
              </w:rPr>
              <w:t>0.47%</w:t>
            </w:r>
          </w:p>
        </w:tc>
        <w:tc>
          <w:tcPr>
            <w:tcW w:w="1250" w:type="dxa"/>
            <w:vAlign w:val="center"/>
          </w:tcPr>
          <w:p w:rsidR="001D6EDA" w:rsidRDefault="00DD400B">
            <w:pPr>
              <w:jc w:val="center"/>
            </w:pPr>
            <w:r>
              <w:rPr>
                <w:color w:val="000000"/>
                <w:sz w:val="24"/>
              </w:rPr>
              <w:t>0.05%</w:t>
            </w:r>
          </w:p>
        </w:tc>
        <w:tc>
          <w:tcPr>
            <w:tcW w:w="1250" w:type="dxa"/>
            <w:vAlign w:val="center"/>
          </w:tcPr>
          <w:p w:rsidR="001D6EDA" w:rsidRDefault="00DD400B">
            <w:pPr>
              <w:jc w:val="center"/>
            </w:pPr>
            <w:r>
              <w:rPr>
                <w:color w:val="000000"/>
                <w:sz w:val="24"/>
              </w:rPr>
              <w:t>2.58%</w:t>
            </w:r>
          </w:p>
        </w:tc>
        <w:tc>
          <w:tcPr>
            <w:tcW w:w="1250" w:type="dxa"/>
            <w:vAlign w:val="center"/>
          </w:tcPr>
          <w:p w:rsidR="001D6EDA" w:rsidRDefault="00DD400B">
            <w:pPr>
              <w:jc w:val="center"/>
            </w:pPr>
            <w:r>
              <w:rPr>
                <w:color w:val="000000"/>
                <w:sz w:val="24"/>
              </w:rPr>
              <w:t>0.10%</w:t>
            </w:r>
          </w:p>
        </w:tc>
      </w:tr>
      <w:tr w:rsidR="001D6EDA">
        <w:tc>
          <w:tcPr>
            <w:tcW w:w="1497" w:type="dxa"/>
            <w:vAlign w:val="center"/>
          </w:tcPr>
          <w:p w:rsidR="001D6EDA" w:rsidRDefault="00DD400B">
            <w:pPr>
              <w:jc w:val="left"/>
            </w:pPr>
            <w:r>
              <w:rPr>
                <w:color w:val="000000"/>
                <w:sz w:val="24"/>
              </w:rPr>
              <w:t>过去一年</w:t>
            </w:r>
          </w:p>
        </w:tc>
        <w:tc>
          <w:tcPr>
            <w:tcW w:w="1251" w:type="dxa"/>
            <w:vAlign w:val="center"/>
          </w:tcPr>
          <w:p w:rsidR="001D6EDA" w:rsidRDefault="00DD400B">
            <w:pPr>
              <w:jc w:val="center"/>
            </w:pPr>
            <w:r>
              <w:rPr>
                <w:color w:val="000000"/>
                <w:sz w:val="24"/>
              </w:rPr>
              <w:t>7.95%</w:t>
            </w:r>
          </w:p>
        </w:tc>
        <w:tc>
          <w:tcPr>
            <w:tcW w:w="1250" w:type="dxa"/>
            <w:vAlign w:val="center"/>
          </w:tcPr>
          <w:p w:rsidR="001D6EDA" w:rsidRDefault="00DD400B">
            <w:pPr>
              <w:jc w:val="center"/>
            </w:pPr>
            <w:r>
              <w:rPr>
                <w:color w:val="000000"/>
                <w:sz w:val="24"/>
              </w:rPr>
              <w:t>0.12%</w:t>
            </w:r>
          </w:p>
        </w:tc>
        <w:tc>
          <w:tcPr>
            <w:tcW w:w="1250" w:type="dxa"/>
            <w:vAlign w:val="center"/>
          </w:tcPr>
          <w:p w:rsidR="001D6EDA" w:rsidRDefault="00DD400B">
            <w:pPr>
              <w:jc w:val="center"/>
            </w:pPr>
            <w:r>
              <w:rPr>
                <w:color w:val="000000"/>
                <w:sz w:val="24"/>
              </w:rPr>
              <w:t>2.88%</w:t>
            </w:r>
          </w:p>
        </w:tc>
        <w:tc>
          <w:tcPr>
            <w:tcW w:w="1250" w:type="dxa"/>
            <w:vAlign w:val="center"/>
          </w:tcPr>
          <w:p w:rsidR="001D6EDA" w:rsidRDefault="00DD400B">
            <w:pPr>
              <w:jc w:val="center"/>
            </w:pPr>
            <w:r>
              <w:rPr>
                <w:color w:val="000000"/>
                <w:sz w:val="24"/>
              </w:rPr>
              <w:t>0.05%</w:t>
            </w:r>
          </w:p>
        </w:tc>
        <w:tc>
          <w:tcPr>
            <w:tcW w:w="1250" w:type="dxa"/>
            <w:vAlign w:val="center"/>
          </w:tcPr>
          <w:p w:rsidR="001D6EDA" w:rsidRDefault="00DD400B">
            <w:pPr>
              <w:jc w:val="center"/>
            </w:pPr>
            <w:r>
              <w:rPr>
                <w:color w:val="000000"/>
                <w:sz w:val="24"/>
              </w:rPr>
              <w:t>5.07%</w:t>
            </w:r>
          </w:p>
        </w:tc>
        <w:tc>
          <w:tcPr>
            <w:tcW w:w="1250" w:type="dxa"/>
            <w:vAlign w:val="center"/>
          </w:tcPr>
          <w:p w:rsidR="001D6EDA" w:rsidRDefault="00DD400B">
            <w:pPr>
              <w:jc w:val="center"/>
            </w:pPr>
            <w:r>
              <w:rPr>
                <w:color w:val="000000"/>
                <w:sz w:val="24"/>
              </w:rPr>
              <w:t>0.07%</w:t>
            </w:r>
          </w:p>
        </w:tc>
      </w:tr>
      <w:tr w:rsidR="001D6EDA">
        <w:tc>
          <w:tcPr>
            <w:tcW w:w="1497" w:type="dxa"/>
            <w:vAlign w:val="center"/>
          </w:tcPr>
          <w:p w:rsidR="001D6EDA" w:rsidRDefault="00DD400B">
            <w:pPr>
              <w:jc w:val="left"/>
            </w:pPr>
            <w:r>
              <w:rPr>
                <w:color w:val="000000"/>
                <w:sz w:val="24"/>
              </w:rPr>
              <w:t>过去三年</w:t>
            </w:r>
          </w:p>
        </w:tc>
        <w:tc>
          <w:tcPr>
            <w:tcW w:w="1251" w:type="dxa"/>
            <w:vAlign w:val="center"/>
          </w:tcPr>
          <w:p w:rsidR="001D6EDA" w:rsidRDefault="00DD400B">
            <w:pPr>
              <w:jc w:val="center"/>
            </w:pPr>
            <w:r>
              <w:rPr>
                <w:color w:val="000000"/>
                <w:sz w:val="24"/>
              </w:rPr>
              <w:t>8.02%</w:t>
            </w:r>
          </w:p>
        </w:tc>
        <w:tc>
          <w:tcPr>
            <w:tcW w:w="1250" w:type="dxa"/>
            <w:vAlign w:val="center"/>
          </w:tcPr>
          <w:p w:rsidR="001D6EDA" w:rsidRDefault="00DD400B">
            <w:pPr>
              <w:jc w:val="center"/>
            </w:pPr>
            <w:r>
              <w:rPr>
                <w:color w:val="000000"/>
                <w:sz w:val="24"/>
              </w:rPr>
              <w:t>0.11%</w:t>
            </w:r>
          </w:p>
        </w:tc>
        <w:tc>
          <w:tcPr>
            <w:tcW w:w="1250" w:type="dxa"/>
            <w:vAlign w:val="center"/>
          </w:tcPr>
          <w:p w:rsidR="001D6EDA" w:rsidRDefault="00DD400B">
            <w:pPr>
              <w:jc w:val="center"/>
            </w:pPr>
            <w:r>
              <w:rPr>
                <w:color w:val="000000"/>
                <w:sz w:val="24"/>
              </w:rPr>
              <w:t>-11.66%</w:t>
            </w:r>
          </w:p>
        </w:tc>
        <w:tc>
          <w:tcPr>
            <w:tcW w:w="1250" w:type="dxa"/>
            <w:vAlign w:val="center"/>
          </w:tcPr>
          <w:p w:rsidR="001D6EDA" w:rsidRDefault="00DD400B">
            <w:pPr>
              <w:jc w:val="center"/>
            </w:pPr>
            <w:r>
              <w:rPr>
                <w:color w:val="000000"/>
                <w:sz w:val="24"/>
              </w:rPr>
              <w:t>0.08%</w:t>
            </w:r>
          </w:p>
        </w:tc>
        <w:tc>
          <w:tcPr>
            <w:tcW w:w="1250" w:type="dxa"/>
            <w:vAlign w:val="center"/>
          </w:tcPr>
          <w:p w:rsidR="001D6EDA" w:rsidRDefault="00DD400B">
            <w:pPr>
              <w:jc w:val="center"/>
            </w:pPr>
            <w:r>
              <w:rPr>
                <w:color w:val="000000"/>
                <w:sz w:val="24"/>
              </w:rPr>
              <w:t>19.68%</w:t>
            </w:r>
          </w:p>
        </w:tc>
        <w:tc>
          <w:tcPr>
            <w:tcW w:w="1250" w:type="dxa"/>
            <w:vAlign w:val="center"/>
          </w:tcPr>
          <w:p w:rsidR="001D6EDA" w:rsidRDefault="00DD400B">
            <w:pPr>
              <w:jc w:val="center"/>
            </w:pPr>
            <w:r>
              <w:rPr>
                <w:color w:val="000000"/>
                <w:sz w:val="24"/>
              </w:rPr>
              <w:t>0.03%</w:t>
            </w:r>
          </w:p>
        </w:tc>
      </w:tr>
      <w:tr w:rsidR="001D6EDA">
        <w:tc>
          <w:tcPr>
            <w:tcW w:w="1497" w:type="dxa"/>
            <w:vAlign w:val="center"/>
          </w:tcPr>
          <w:p w:rsidR="001D6EDA" w:rsidRDefault="00DD400B">
            <w:pPr>
              <w:jc w:val="left"/>
            </w:pPr>
            <w:r>
              <w:rPr>
                <w:color w:val="000000"/>
                <w:sz w:val="24"/>
              </w:rPr>
              <w:t>自基金合同生效起至今</w:t>
            </w:r>
          </w:p>
        </w:tc>
        <w:tc>
          <w:tcPr>
            <w:tcW w:w="1251" w:type="dxa"/>
            <w:vAlign w:val="center"/>
          </w:tcPr>
          <w:p w:rsidR="001D6EDA" w:rsidRDefault="00DD400B">
            <w:pPr>
              <w:jc w:val="center"/>
            </w:pPr>
            <w:r>
              <w:rPr>
                <w:color w:val="000000"/>
                <w:sz w:val="24"/>
              </w:rPr>
              <w:t>82.59%</w:t>
            </w:r>
          </w:p>
        </w:tc>
        <w:tc>
          <w:tcPr>
            <w:tcW w:w="1250" w:type="dxa"/>
            <w:vAlign w:val="center"/>
          </w:tcPr>
          <w:p w:rsidR="001D6EDA" w:rsidRDefault="00DD400B">
            <w:pPr>
              <w:jc w:val="center"/>
            </w:pPr>
            <w:r>
              <w:rPr>
                <w:color w:val="000000"/>
                <w:sz w:val="24"/>
              </w:rPr>
              <w:t>0.26%</w:t>
            </w:r>
          </w:p>
        </w:tc>
        <w:tc>
          <w:tcPr>
            <w:tcW w:w="1250" w:type="dxa"/>
            <w:vAlign w:val="center"/>
          </w:tcPr>
          <w:p w:rsidR="001D6EDA" w:rsidRDefault="00DD400B">
            <w:pPr>
              <w:jc w:val="center"/>
            </w:pPr>
            <w:r>
              <w:rPr>
                <w:color w:val="000000"/>
                <w:sz w:val="24"/>
              </w:rPr>
              <w:t>-2.98%</w:t>
            </w:r>
          </w:p>
        </w:tc>
        <w:tc>
          <w:tcPr>
            <w:tcW w:w="1250" w:type="dxa"/>
            <w:vAlign w:val="center"/>
          </w:tcPr>
          <w:p w:rsidR="001D6EDA" w:rsidRDefault="00DD400B">
            <w:pPr>
              <w:jc w:val="center"/>
            </w:pPr>
            <w:r>
              <w:rPr>
                <w:color w:val="000000"/>
                <w:sz w:val="24"/>
              </w:rPr>
              <w:t>0.12%</w:t>
            </w:r>
          </w:p>
        </w:tc>
        <w:tc>
          <w:tcPr>
            <w:tcW w:w="1250" w:type="dxa"/>
            <w:vAlign w:val="center"/>
          </w:tcPr>
          <w:p w:rsidR="001D6EDA" w:rsidRDefault="00DD400B">
            <w:pPr>
              <w:jc w:val="center"/>
            </w:pPr>
            <w:r>
              <w:rPr>
                <w:color w:val="000000"/>
                <w:sz w:val="24"/>
              </w:rPr>
              <w:t>85.57%</w:t>
            </w:r>
          </w:p>
        </w:tc>
        <w:tc>
          <w:tcPr>
            <w:tcW w:w="1250" w:type="dxa"/>
            <w:vAlign w:val="center"/>
          </w:tcPr>
          <w:p w:rsidR="001D6EDA" w:rsidRDefault="00DD400B">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注：本基金的业绩比较基准为中债企业债总指数。</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交银施罗德增利债券证券投资基金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2008</w:t>
      </w:r>
      <w:r w:rsidR="001548F9" w:rsidRPr="008A1551">
        <w:rPr>
          <w:rFonts w:ascii="Times New Roman" w:hAnsi="Times New Roman"/>
          <w:sz w:val="24"/>
          <w:szCs w:val="24"/>
        </w:rPr>
        <w:t>年</w:t>
      </w:r>
      <w:r w:rsidR="001548F9" w:rsidRPr="008A1551">
        <w:rPr>
          <w:rFonts w:ascii="Times New Roman" w:hAnsi="Times New Roman"/>
          <w:sz w:val="24"/>
          <w:szCs w:val="24"/>
        </w:rPr>
        <w:t>3</w:t>
      </w:r>
      <w:r w:rsidR="001548F9" w:rsidRPr="008A1551">
        <w:rPr>
          <w:rFonts w:ascii="Times New Roman" w:hAnsi="Times New Roman"/>
          <w:sz w:val="24"/>
          <w:szCs w:val="24"/>
        </w:rPr>
        <w:t>月</w:t>
      </w:r>
      <w:r w:rsidR="001548F9" w:rsidRPr="008A1551">
        <w:rPr>
          <w:rFonts w:ascii="Times New Roman" w:hAnsi="Times New Roman"/>
          <w:sz w:val="24"/>
          <w:szCs w:val="24"/>
        </w:rPr>
        <w:t>31</w:t>
      </w:r>
      <w:r w:rsidR="001548F9" w:rsidRPr="008A1551">
        <w:rPr>
          <w:rFonts w:ascii="Times New Roman" w:hAnsi="Times New Roman"/>
          <w:sz w:val="24"/>
          <w:szCs w:val="24"/>
        </w:rPr>
        <w:t>日至</w:t>
      </w:r>
      <w:r w:rsidRPr="008A1551">
        <w:rPr>
          <w:rFonts w:ascii="Times New Roman" w:hAnsi="Times New Roman"/>
          <w:sz w:val="24"/>
          <w:szCs w:val="24"/>
        </w:rPr>
        <w:t>2019</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交银增利债券</w:t>
      </w:r>
      <w:r w:rsidRPr="008A1551">
        <w:rPr>
          <w:rFonts w:ascii="Times New Roman" w:hAnsi="Times New Roman"/>
          <w:color w:val="auto"/>
        </w:rPr>
        <w:t>A/B</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交银增利债券</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1D6EDA" w:rsidRDefault="00DD400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截至报告期末，公司管理了包括货币型、债券型、普通混合型和股票型在内的</w:t>
      </w:r>
      <w:r w:rsidRPr="008A1551">
        <w:rPr>
          <w:color w:val="000000"/>
          <w:sz w:val="24"/>
        </w:rPr>
        <w:t>80</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1D6EDA">
        <w:tc>
          <w:tcPr>
            <w:tcW w:w="1033" w:type="dxa"/>
            <w:vAlign w:val="center"/>
          </w:tcPr>
          <w:p w:rsidR="001D6EDA" w:rsidRDefault="00DD400B">
            <w:pPr>
              <w:jc w:val="center"/>
            </w:pPr>
            <w:r>
              <w:rPr>
                <w:color w:val="000000"/>
                <w:sz w:val="24"/>
              </w:rPr>
              <w:t>于海颖</w:t>
            </w:r>
          </w:p>
        </w:tc>
        <w:tc>
          <w:tcPr>
            <w:tcW w:w="1416" w:type="dxa"/>
            <w:vAlign w:val="center"/>
          </w:tcPr>
          <w:p w:rsidR="001D6EDA" w:rsidRDefault="00DD400B">
            <w:pPr>
              <w:jc w:val="center"/>
            </w:pPr>
            <w:r>
              <w:rPr>
                <w:color w:val="000000"/>
                <w:sz w:val="24"/>
              </w:rPr>
              <w:t>交银增利债券、交银纯债债券发起、交银丰盈收益债券、交银丰晟收益债券、交银裕如纯债债券的基金经理，公司固定收益（公募）投资总监</w:t>
            </w:r>
          </w:p>
        </w:tc>
        <w:tc>
          <w:tcPr>
            <w:tcW w:w="1126" w:type="dxa"/>
            <w:vAlign w:val="center"/>
          </w:tcPr>
          <w:p w:rsidR="001D6EDA" w:rsidRDefault="00DD400B">
            <w:pPr>
              <w:jc w:val="center"/>
            </w:pPr>
            <w:r>
              <w:rPr>
                <w:color w:val="000000"/>
                <w:sz w:val="24"/>
              </w:rPr>
              <w:t>2017-06-10</w:t>
            </w:r>
          </w:p>
        </w:tc>
        <w:tc>
          <w:tcPr>
            <w:tcW w:w="1192" w:type="dxa"/>
            <w:vAlign w:val="center"/>
          </w:tcPr>
          <w:p w:rsidR="001D6EDA" w:rsidRDefault="00DD400B">
            <w:pPr>
              <w:jc w:val="center"/>
            </w:pPr>
            <w:r>
              <w:rPr>
                <w:color w:val="000000"/>
                <w:sz w:val="24"/>
              </w:rPr>
              <w:t>-</w:t>
            </w:r>
          </w:p>
        </w:tc>
        <w:tc>
          <w:tcPr>
            <w:tcW w:w="1169" w:type="dxa"/>
            <w:vAlign w:val="center"/>
          </w:tcPr>
          <w:p w:rsidR="001D6EDA" w:rsidRDefault="00DD400B">
            <w:pPr>
              <w:jc w:val="center"/>
            </w:pPr>
            <w:r>
              <w:rPr>
                <w:color w:val="000000"/>
                <w:sz w:val="24"/>
              </w:rPr>
              <w:t>13</w:t>
            </w:r>
            <w:r>
              <w:rPr>
                <w:color w:val="000000"/>
                <w:sz w:val="24"/>
              </w:rPr>
              <w:t>年</w:t>
            </w:r>
          </w:p>
        </w:tc>
        <w:tc>
          <w:tcPr>
            <w:tcW w:w="3062" w:type="dxa"/>
            <w:vAlign w:val="center"/>
          </w:tcPr>
          <w:p w:rsidR="001D6EDA" w:rsidRDefault="00DD400B">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w:t>
            </w:r>
            <w:r>
              <w:rPr>
                <w:color w:val="000000"/>
                <w:sz w:val="24"/>
              </w:rPr>
              <w:t>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w:t>
            </w:r>
            <w:r>
              <w:rPr>
                <w:color w:val="000000"/>
                <w:sz w:val="24"/>
              </w:rPr>
              <w:t>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r w:rsidR="001D6EDA">
        <w:tc>
          <w:tcPr>
            <w:tcW w:w="1033" w:type="dxa"/>
            <w:vAlign w:val="center"/>
          </w:tcPr>
          <w:p w:rsidR="001D6EDA" w:rsidRDefault="00DD400B">
            <w:pPr>
              <w:jc w:val="center"/>
            </w:pPr>
            <w:r>
              <w:rPr>
                <w:color w:val="000000"/>
                <w:sz w:val="24"/>
              </w:rPr>
              <w:t>魏玉敏</w:t>
            </w:r>
          </w:p>
        </w:tc>
        <w:tc>
          <w:tcPr>
            <w:tcW w:w="1416" w:type="dxa"/>
            <w:vAlign w:val="center"/>
          </w:tcPr>
          <w:p w:rsidR="001D6EDA" w:rsidRDefault="00DD400B">
            <w:pPr>
              <w:jc w:val="center"/>
            </w:pPr>
            <w:r>
              <w:rPr>
                <w:color w:val="000000"/>
                <w:sz w:val="24"/>
              </w:rPr>
              <w:t>交银增利债券、交银纯债债券发起、交银丰润收益债券、交银增利增强债券、交银丰晟收益债券、交银裕如纯债债券、交银中债</w:t>
            </w:r>
            <w:r>
              <w:rPr>
                <w:color w:val="000000"/>
                <w:sz w:val="24"/>
              </w:rPr>
              <w:t>1-3</w:t>
            </w:r>
            <w:r>
              <w:rPr>
                <w:color w:val="000000"/>
                <w:sz w:val="24"/>
              </w:rPr>
              <w:t>年农发债指数的基金经理</w:t>
            </w:r>
          </w:p>
        </w:tc>
        <w:tc>
          <w:tcPr>
            <w:tcW w:w="1126" w:type="dxa"/>
            <w:vAlign w:val="center"/>
          </w:tcPr>
          <w:p w:rsidR="001D6EDA" w:rsidRDefault="00DD400B">
            <w:pPr>
              <w:jc w:val="center"/>
            </w:pPr>
            <w:r>
              <w:rPr>
                <w:color w:val="000000"/>
                <w:sz w:val="24"/>
              </w:rPr>
              <w:t>2018-08-29</w:t>
            </w:r>
          </w:p>
        </w:tc>
        <w:tc>
          <w:tcPr>
            <w:tcW w:w="1192" w:type="dxa"/>
            <w:vAlign w:val="center"/>
          </w:tcPr>
          <w:p w:rsidR="001D6EDA" w:rsidRDefault="00DD400B">
            <w:pPr>
              <w:jc w:val="center"/>
            </w:pPr>
            <w:r>
              <w:rPr>
                <w:color w:val="000000"/>
                <w:sz w:val="24"/>
              </w:rPr>
              <w:t>-</w:t>
            </w:r>
          </w:p>
        </w:tc>
        <w:tc>
          <w:tcPr>
            <w:tcW w:w="1169" w:type="dxa"/>
            <w:vAlign w:val="center"/>
          </w:tcPr>
          <w:p w:rsidR="001D6EDA" w:rsidRDefault="00DD400B">
            <w:pPr>
              <w:jc w:val="center"/>
            </w:pPr>
            <w:r>
              <w:rPr>
                <w:color w:val="000000"/>
                <w:sz w:val="24"/>
              </w:rPr>
              <w:t>7</w:t>
            </w:r>
            <w:r>
              <w:rPr>
                <w:color w:val="000000"/>
                <w:sz w:val="24"/>
              </w:rPr>
              <w:t>年</w:t>
            </w:r>
          </w:p>
        </w:tc>
        <w:tc>
          <w:tcPr>
            <w:tcW w:w="3062" w:type="dxa"/>
            <w:vAlign w:val="center"/>
          </w:tcPr>
          <w:p w:rsidR="001D6EDA" w:rsidRDefault="00DD400B">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p>
        </w:tc>
      </w:tr>
    </w:tbl>
    <w:p w:rsidR="001D6EDA" w:rsidRDefault="00DD400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1D6EDA" w:rsidRDefault="00DD400B">
      <w:pPr>
        <w:tabs>
          <w:tab w:val="left" w:pos="426"/>
        </w:tabs>
        <w:spacing w:before="29" w:line="288" w:lineRule="auto"/>
        <w:jc w:val="left"/>
        <w:rPr>
          <w:kern w:val="0"/>
          <w:sz w:val="24"/>
        </w:rPr>
      </w:pPr>
      <w:r>
        <w:rPr>
          <w:kern w:val="0"/>
          <w:sz w:val="24"/>
        </w:rPr>
        <w:t xml:space="preserve">    2</w:t>
      </w:r>
      <w:r>
        <w:rPr>
          <w:kern w:val="0"/>
          <w:sz w:val="24"/>
        </w:rPr>
        <w:t>、本表所列基金经</w:t>
      </w:r>
      <w:r>
        <w:rPr>
          <w:kern w:val="0"/>
          <w:sz w:val="24"/>
        </w:rPr>
        <w:t>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1548F9" w:rsidRPr="008A1551" w:rsidRDefault="001548F9" w:rsidP="009E1EA4">
      <w:pPr>
        <w:spacing w:before="29" w:line="288" w:lineRule="auto"/>
        <w:ind w:firstLineChars="200" w:firstLine="480"/>
        <w:rPr>
          <w:color w:val="000000"/>
          <w:sz w:val="24"/>
        </w:rPr>
      </w:pPr>
      <w:r w:rsidRPr="008A1551">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1D6EDA" w:rsidRDefault="00DD400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D6EDA" w:rsidRDefault="00DD400B">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D6EDA" w:rsidRDefault="00DD400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本基金于本报告期内未发现异常交易行为。本报告期内，本公司管理的所有投资组合参与的交易所公开竞价同日反向交易成交较少的单边交易量超过该证券当日总成交量</w:t>
      </w:r>
      <w:r w:rsidRPr="008A1551">
        <w:rPr>
          <w:color w:val="000000"/>
          <w:sz w:val="24"/>
        </w:rPr>
        <w:t>5%</w:t>
      </w:r>
      <w:r w:rsidRPr="008A1551">
        <w:rPr>
          <w:color w:val="000000"/>
          <w:sz w:val="24"/>
        </w:rPr>
        <w:t>的情况有</w:t>
      </w:r>
      <w:r w:rsidRPr="008A1551">
        <w:rPr>
          <w:color w:val="000000"/>
          <w:sz w:val="24"/>
        </w:rPr>
        <w:t>1</w:t>
      </w:r>
      <w:r w:rsidRPr="008A1551">
        <w:rPr>
          <w:color w:val="000000"/>
          <w:sz w:val="24"/>
        </w:rPr>
        <w:t>次，是投资组合因投资策略需要而发生同日反向交易，未发现不公平交易和利益输送的情况。本基金与本公司管理的其他投资组合在不同时间窗下（如日内、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日内）同向交易的交易价差未发现异常。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1D6EDA" w:rsidRDefault="00DD400B">
      <w:pPr>
        <w:spacing w:before="29" w:line="288" w:lineRule="auto"/>
        <w:ind w:firstLineChars="200" w:firstLine="480"/>
        <w:rPr>
          <w:color w:val="000000"/>
          <w:sz w:val="24"/>
        </w:rPr>
      </w:pPr>
      <w:r>
        <w:rPr>
          <w:color w:val="000000"/>
          <w:sz w:val="24"/>
        </w:rPr>
        <w:t>2019</w:t>
      </w:r>
      <w:r>
        <w:rPr>
          <w:color w:val="000000"/>
          <w:sz w:val="24"/>
        </w:rPr>
        <w:t>年上半年宏观经济和债券市场均处于震荡波动中，债券收益率呈现先上后下走势。今年年初以来债券市场的交易逻辑从去年的</w:t>
      </w:r>
      <w:r>
        <w:rPr>
          <w:color w:val="000000"/>
          <w:sz w:val="24"/>
        </w:rPr>
        <w:t>“</w:t>
      </w:r>
      <w:r>
        <w:rPr>
          <w:color w:val="000000"/>
          <w:sz w:val="24"/>
        </w:rPr>
        <w:t>宽货币紧信用</w:t>
      </w:r>
      <w:r>
        <w:rPr>
          <w:color w:val="000000"/>
          <w:sz w:val="24"/>
        </w:rPr>
        <w:t>”</w:t>
      </w:r>
      <w:r>
        <w:rPr>
          <w:color w:val="000000"/>
          <w:sz w:val="24"/>
        </w:rPr>
        <w:t>逐步转向</w:t>
      </w:r>
      <w:r>
        <w:rPr>
          <w:color w:val="000000"/>
          <w:sz w:val="24"/>
        </w:rPr>
        <w:t>“</w:t>
      </w:r>
      <w:r>
        <w:rPr>
          <w:color w:val="000000"/>
          <w:sz w:val="24"/>
        </w:rPr>
        <w:t>宽货币宽信用</w:t>
      </w:r>
      <w:r>
        <w:rPr>
          <w:color w:val="000000"/>
          <w:sz w:val="24"/>
        </w:rPr>
        <w:t>”</w:t>
      </w:r>
      <w:r>
        <w:rPr>
          <w:color w:val="000000"/>
          <w:sz w:val="24"/>
        </w:rPr>
        <w:t>，随着经济托底政策的推进，市场对前期经济的悲观预期明显修复，债券收益率震荡上行。进入四月，经济数据大幅超预期，在央行辟谣降准后，</w:t>
      </w:r>
      <w:r>
        <w:rPr>
          <w:color w:val="000000"/>
          <w:sz w:val="24"/>
        </w:rPr>
        <w:t>货币政策宽松的预期出现动摇，资金面边际收敛、再加上股市上涨的多重利空之下，现券收益率加速上行。五月之后，中美贸易摩擦再度升级，风险偏好大幅回落，央行随即定向降准。随后出台的经济数据较前期明显走弱，尤其是信贷社融大幅低于预期，带动债券收益率震荡下行。</w:t>
      </w:r>
    </w:p>
    <w:p w:rsidR="001D6EDA" w:rsidRDefault="00DD400B">
      <w:pPr>
        <w:spacing w:before="29" w:line="288" w:lineRule="auto"/>
        <w:ind w:firstLineChars="200" w:firstLine="480"/>
        <w:rPr>
          <w:color w:val="000000"/>
          <w:sz w:val="24"/>
        </w:rPr>
      </w:pPr>
      <w:r>
        <w:rPr>
          <w:color w:val="000000"/>
          <w:sz w:val="24"/>
        </w:rPr>
        <w:t>上半年转债资产表现呈现出大幅波动，一季度随着经济悲观预期修复和风险偏好的提升，转债资产明显上行。二季度以来随着政策预期的收紧和中美贸易摩擦加剧，权益市场明显调整，转债在一季度累计涨幅较高的情况下，二季度随着权益市场下行，平价估值均有所压缩。</w:t>
      </w:r>
    </w:p>
    <w:p w:rsidR="00C02A8F" w:rsidRPr="008A1551" w:rsidRDefault="00C02A8F" w:rsidP="009E1EA4">
      <w:pPr>
        <w:spacing w:before="29" w:line="288" w:lineRule="auto"/>
        <w:ind w:firstLineChars="200" w:firstLine="480"/>
        <w:rPr>
          <w:color w:val="000000"/>
          <w:sz w:val="24"/>
        </w:rPr>
      </w:pPr>
      <w:r w:rsidRPr="008A1551">
        <w:rPr>
          <w:color w:val="000000"/>
          <w:sz w:val="24"/>
        </w:rPr>
        <w:t>报告期内，基于对宏观经济的判断，本基金适当降低了组合久期，券种配置上以信用债为底仓，获得较为稳定的票息收益。同时，组合小幅降低了转债仓位，控制回撤。</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本基金（各类）份额净值及业绩表现请见</w:t>
      </w:r>
      <w:r w:rsidRPr="008A1551">
        <w:rPr>
          <w:color w:val="000000"/>
          <w:sz w:val="24"/>
        </w:rPr>
        <w:t>“3.1</w:t>
      </w:r>
      <w:r w:rsidRPr="008A1551">
        <w:rPr>
          <w:color w:val="000000"/>
          <w:sz w:val="24"/>
        </w:rPr>
        <w:t>主要会计数据和财务指标</w:t>
      </w:r>
      <w:r w:rsidRPr="008A1551">
        <w:rPr>
          <w:color w:val="000000"/>
          <w:sz w:val="24"/>
        </w:rPr>
        <w:t xml:space="preserve">” </w:t>
      </w:r>
      <w:r w:rsidRPr="008A1551">
        <w:rPr>
          <w:color w:val="000000"/>
          <w:sz w:val="24"/>
        </w:rPr>
        <w:t>及</w:t>
      </w:r>
      <w:r w:rsidRPr="008A1551">
        <w:rPr>
          <w:color w:val="000000"/>
          <w:sz w:val="24"/>
        </w:rPr>
        <w:t>“3.2.1</w:t>
      </w:r>
      <w:r w:rsidRPr="008A1551">
        <w:rPr>
          <w:color w:val="000000"/>
          <w:sz w:val="24"/>
        </w:rPr>
        <w:t>基金份额净值增长率及其与同期业绩比较基准收益率的比较</w:t>
      </w:r>
      <w:r w:rsidRPr="008A1551">
        <w:rPr>
          <w:color w:val="000000"/>
          <w:sz w:val="24"/>
        </w:rPr>
        <w:t>”</w:t>
      </w:r>
      <w:r w:rsidRPr="008A1551">
        <w:rPr>
          <w:color w:val="000000"/>
          <w:sz w:val="24"/>
        </w:rPr>
        <w:t>部分披露。</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w:t>
      </w:r>
      <w:r w:rsidRPr="008A1551">
        <w:rPr>
          <w:color w:val="000000"/>
          <w:sz w:val="24"/>
        </w:rPr>
        <w:t>2019</w:t>
      </w:r>
      <w:r w:rsidRPr="008A1551">
        <w:rPr>
          <w:color w:val="000000"/>
          <w:sz w:val="24"/>
        </w:rPr>
        <w:t>年下半年，基本面仍是债市的核心影响因素，在逆周期政策压力之下，货币政策难以明显收紧，宽信用政策效果始终受到稳定宏观杠杆率的上限约束。后续稳增长发力需要更多依靠财政政策，但在财政支出前置、地方政府隐性债务监管之下，资金来源问题需要更多解决途径。在政策托而不举的思路下，经济或延续缓慢下行的趋势，三季度或随着名义增速回落，债券收益率仍有一定下行空间，但之后则需要关注经济企稳预期和通胀回升压力。操作策略方面，我们将关注信用债的票息机会，拟继续以中高等级信用债为配置重点，并维持中等的杠杆水平，以期提升组合整体静态收益。操作策略方面，我们将继续关注中高等级信用品种的投资机会，维持中性杠杆，提高信用底仓的静态收益。转债资产方面，我们将保持适当的转债仓位配置，并精选具有性价比优势的个券，以期增厚组合收益。</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1D6EDA" w:rsidRDefault="00DD400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r>
        <w:rPr>
          <w:color w:val="000000"/>
          <w:sz w:val="24"/>
        </w:rPr>
        <w:t xml:space="preserve"> </w:t>
      </w:r>
    </w:p>
    <w:p w:rsidR="001D6EDA" w:rsidRDefault="00DD400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w:t>
      </w:r>
      <w:r>
        <w:rPr>
          <w:color w:val="000000"/>
          <w:sz w:val="24"/>
        </w:rPr>
        <w:t>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r>
        <w:rPr>
          <w:color w:val="000000"/>
          <w:sz w:val="24"/>
        </w:rPr>
        <w:t xml:space="preserve"> </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根据相关法律法规和基金合同的规定，本基金对上一年度及本报告期应分配的可供分配利润进行了收益分配，具体情况参见半年度报告正文</w:t>
      </w:r>
      <w:r w:rsidRPr="008A1551">
        <w:rPr>
          <w:color w:val="000000"/>
          <w:sz w:val="24"/>
        </w:rPr>
        <w:t>6.4.8.2</w:t>
      </w:r>
      <w:r w:rsidRPr="008A1551">
        <w:rPr>
          <w:color w:val="000000"/>
          <w:sz w:val="24"/>
        </w:rPr>
        <w:t>资产负债表日后事项及</w:t>
      </w:r>
      <w:r w:rsidRPr="008A1551">
        <w:rPr>
          <w:color w:val="000000"/>
          <w:sz w:val="24"/>
        </w:rPr>
        <w:t>6.4.11</w:t>
      </w:r>
      <w:r w:rsidRPr="008A1551">
        <w:rPr>
          <w:color w:val="000000"/>
          <w:sz w:val="24"/>
        </w:rPr>
        <w:t>利润分配情况。</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D6EDA" w:rsidRDefault="00DD400B">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报告期内，本基金</w:t>
      </w:r>
      <w:r w:rsidRPr="008A1551">
        <w:rPr>
          <w:color w:val="000000"/>
          <w:sz w:val="24"/>
        </w:rPr>
        <w:t>A</w:t>
      </w:r>
      <w:r w:rsidRPr="008A1551">
        <w:rPr>
          <w:color w:val="000000"/>
          <w:sz w:val="24"/>
        </w:rPr>
        <w:t>级实施利润分配的金额为</w:t>
      </w:r>
      <w:r w:rsidRPr="008A1551">
        <w:rPr>
          <w:color w:val="000000"/>
          <w:sz w:val="24"/>
        </w:rPr>
        <w:t>4,180,140.82</w:t>
      </w:r>
      <w:r w:rsidRPr="008A1551">
        <w:rPr>
          <w:color w:val="000000"/>
          <w:sz w:val="24"/>
        </w:rPr>
        <w:t>元，</w:t>
      </w:r>
      <w:r w:rsidRPr="008A1551">
        <w:rPr>
          <w:color w:val="000000"/>
          <w:sz w:val="24"/>
        </w:rPr>
        <w:t>C</w:t>
      </w:r>
      <w:r w:rsidRPr="008A1551">
        <w:rPr>
          <w:color w:val="000000"/>
          <w:sz w:val="24"/>
        </w:rPr>
        <w:t>级实施利润分配的金额为</w:t>
      </w:r>
      <w:r w:rsidRPr="008A1551">
        <w:rPr>
          <w:color w:val="000000"/>
          <w:sz w:val="24"/>
        </w:rPr>
        <w:t>1,508,163.33</w:t>
      </w:r>
      <w:r w:rsidRPr="008A1551">
        <w:rPr>
          <w:color w:val="000000"/>
          <w:sz w:val="24"/>
        </w:rPr>
        <w:t>。</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本托管人复核审查了本报告中的财务指标、净值表现、利润分配情况、财务会计报告、投资组合报告等内容，保证复核内容不存在虚假记载、误导性陈述或者重大遗漏。</w:t>
      </w:r>
    </w:p>
    <w:p w:rsidR="00647A34" w:rsidRPr="008A1551" w:rsidRDefault="00647A34" w:rsidP="009E1EA4">
      <w:pPr>
        <w:spacing w:before="29" w:line="288" w:lineRule="auto"/>
        <w:ind w:firstLineChars="200" w:firstLine="480"/>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会计主体：交银施罗德增利债券证券投资基金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2019</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4,276,214.59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1,066,155.34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8,445,635.14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10,152,069.76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33,716.60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11,082.32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597,806,250.39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398,249,458.46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597,806,250.39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394,249,458.46</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4,000,000.00</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9,278,785.96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7,020,168.01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10,531.70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85,936.61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619,851,134.38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416,584,870.50</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2019</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150,000,000.00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103,000,000.00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55,152.65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115,172.56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272,291.91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240,072.35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163,798.10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80,024.11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54,599.35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29,772.01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28,859.49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1,525.07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2,584.03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63,370.41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44,849.88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133,561.61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100,234.40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96,831.24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189,402.60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150,760,329.36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103,911,772.41</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p>
        </w:tc>
        <w:tc>
          <w:tcPr>
            <w:tcW w:w="2520" w:type="dxa"/>
            <w:vAlign w:val="center"/>
          </w:tcPr>
          <w:p w:rsidR="00C0045D" w:rsidRPr="008A1551" w:rsidRDefault="00C0045D" w:rsidP="009E1EA4">
            <w:pPr>
              <w:spacing w:before="29" w:line="288" w:lineRule="auto"/>
              <w:jc w:val="right"/>
              <w:rPr>
                <w:b/>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452,790,050.92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306,092,285.48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16,300,754.10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6,580,812.61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469,090,805.02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312,673,098.09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619,851,134.38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416,584,870.50</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A/B</w:t>
      </w:r>
      <w:r w:rsidRPr="008A1551">
        <w:rPr>
          <w:kern w:val="0"/>
          <w:sz w:val="24"/>
        </w:rPr>
        <w:t>类基金份额净值</w:t>
      </w:r>
      <w:r w:rsidRPr="008A1551">
        <w:rPr>
          <w:kern w:val="0"/>
          <w:sz w:val="24"/>
        </w:rPr>
        <w:t>1.0365</w:t>
      </w:r>
      <w:r w:rsidRPr="008A1551">
        <w:rPr>
          <w:kern w:val="0"/>
          <w:sz w:val="24"/>
        </w:rPr>
        <w:t>元，</w:t>
      </w:r>
      <w:r w:rsidRPr="008A1551">
        <w:rPr>
          <w:kern w:val="0"/>
          <w:sz w:val="24"/>
        </w:rPr>
        <w:t>C</w:t>
      </w:r>
      <w:r w:rsidRPr="008A1551">
        <w:rPr>
          <w:kern w:val="0"/>
          <w:sz w:val="24"/>
        </w:rPr>
        <w:t>类基金份额净值</w:t>
      </w:r>
      <w:r w:rsidRPr="008A1551">
        <w:rPr>
          <w:kern w:val="0"/>
          <w:sz w:val="24"/>
        </w:rPr>
        <w:t>1.0338</w:t>
      </w:r>
      <w:r w:rsidRPr="008A1551">
        <w:rPr>
          <w:kern w:val="0"/>
          <w:sz w:val="24"/>
        </w:rPr>
        <w:t>元，基金份额总额</w:t>
      </w:r>
      <w:r w:rsidRPr="008A1551">
        <w:rPr>
          <w:kern w:val="0"/>
          <w:sz w:val="24"/>
        </w:rPr>
        <w:t>452,790,050.92</w:t>
      </w:r>
      <w:r w:rsidRPr="008A1551">
        <w:rPr>
          <w:kern w:val="0"/>
          <w:sz w:val="24"/>
        </w:rPr>
        <w:t>份，其中</w:t>
      </w:r>
      <w:r w:rsidRPr="008A1551">
        <w:rPr>
          <w:kern w:val="0"/>
          <w:sz w:val="24"/>
        </w:rPr>
        <w:t>A/B</w:t>
      </w:r>
      <w:r w:rsidRPr="008A1551">
        <w:rPr>
          <w:kern w:val="0"/>
          <w:sz w:val="24"/>
        </w:rPr>
        <w:t>类基金份额</w:t>
      </w:r>
      <w:r w:rsidRPr="008A1551">
        <w:rPr>
          <w:kern w:val="0"/>
          <w:sz w:val="24"/>
        </w:rPr>
        <w:t>367,833,331.62</w:t>
      </w:r>
      <w:r w:rsidRPr="008A1551">
        <w:rPr>
          <w:kern w:val="0"/>
          <w:sz w:val="24"/>
        </w:rPr>
        <w:t>份，</w:t>
      </w:r>
      <w:r w:rsidRPr="008A1551">
        <w:rPr>
          <w:kern w:val="0"/>
          <w:sz w:val="24"/>
        </w:rPr>
        <w:t>C</w:t>
      </w:r>
      <w:r w:rsidRPr="008A1551">
        <w:rPr>
          <w:kern w:val="0"/>
          <w:sz w:val="24"/>
        </w:rPr>
        <w:t>类基金份额</w:t>
      </w:r>
      <w:r w:rsidRPr="008A1551">
        <w:rPr>
          <w:kern w:val="0"/>
          <w:sz w:val="24"/>
        </w:rPr>
        <w:t>84,956,719.30</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交银施罗德增利债券证券投资基金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F74D21" w:rsidRPr="008A1551" w:rsidTr="00207C2A">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2019</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2019</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207C2A">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17,622,433.39</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12,616,623.83</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11,564,595.53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8,527,372.47</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108,379.11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72,170.16</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11,375,310.63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8,189,773.27</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52,082.50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249,988.65</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28,823.29</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15,440.39</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7,087,854.63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-331,386.19</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7,087,854.63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-331,386.19</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-1,086,157.18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4,369,052.11</w:t>
            </w:r>
          </w:p>
        </w:tc>
      </w:tr>
      <w:tr w:rsidR="00C04CCE" w:rsidRPr="008A1551" w:rsidTr="00207C2A">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56,140.41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51,585.44</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4,150,086.20</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3,561,291.28</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1,503,873.46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994,700.69</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501,291.19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331,566.84</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192,910.63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151,538.54</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13,487.40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13,392.93</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1,788,895.47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1,867,333.22</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1,788,895.47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1,867,333.22</w:t>
            </w:r>
          </w:p>
        </w:tc>
      </w:tr>
      <w:tr w:rsidR="00207C2A" w:rsidRPr="00207C2A"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6.</w:t>
            </w:r>
            <w:r w:rsidRPr="00207C2A">
              <w:rPr>
                <w:rFonts w:eastAsiaTheme="minorEastAsia" w:hint="eastAsia"/>
                <w:color w:val="000000"/>
                <w:sz w:val="24"/>
              </w:rPr>
              <w:t>税金及附加</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36,279.44</w:t>
            </w:r>
          </w:p>
        </w:tc>
        <w:tc>
          <w:tcPr>
            <w:tcW w:w="2251"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27,472.97</w:t>
            </w:r>
          </w:p>
        </w:tc>
      </w:tr>
      <w:tr w:rsidR="00207C2A" w:rsidRPr="006D09B5"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7</w:t>
            </w:r>
            <w:r w:rsidRPr="00207C2A">
              <w:rPr>
                <w:rFonts w:eastAsiaTheme="minorEastAsia"/>
                <w:color w:val="000000"/>
                <w:sz w:val="24"/>
              </w:rPr>
              <w:t>．其他费用</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r w:rsidRPr="00207C2A">
              <w:rPr>
                <w:rFonts w:ascii="Times New Roman" w:eastAsiaTheme="minorEastAsia" w:hAnsi="Times New Roman"/>
                <w:color w:val="000000"/>
              </w:rPr>
              <w:t>6.4.7.20</w:t>
            </w: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113,348.61</w:t>
            </w:r>
          </w:p>
        </w:tc>
        <w:tc>
          <w:tcPr>
            <w:tcW w:w="2251" w:type="dxa"/>
            <w:vAlign w:val="bottom"/>
          </w:tcPr>
          <w:p w:rsidR="00207C2A" w:rsidRPr="006D09B5" w:rsidRDefault="00207C2A" w:rsidP="00B251C4">
            <w:pPr>
              <w:jc w:val="right"/>
              <w:rPr>
                <w:rFonts w:eastAsiaTheme="minorEastAsia"/>
                <w:color w:val="000000"/>
                <w:sz w:val="24"/>
              </w:rPr>
            </w:pPr>
            <w:r w:rsidRPr="00207C2A">
              <w:rPr>
                <w:rFonts w:eastAsiaTheme="minorEastAsia"/>
                <w:color w:val="000000"/>
                <w:sz w:val="24"/>
              </w:rPr>
              <w:t>175,286.09</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13,472,347.19</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9,055,332.55</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13,472,347.19</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9,055,332.55</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交银施罗德增利债券证券投资基金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2019</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2019</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306,092,285.48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6,580,812.61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312,673,098.09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13,472,347.19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13,472,347.19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146,697,765.44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1,935,898.45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148,633,663.89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330,841,138.97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7,639,535.51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338,480,674.48</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-184,143,373.53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-5,703,637.06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-189,847,010.59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-5,688,304.15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-5,688,304.15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452,790,050.92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16,300,754.10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469,090,805.02</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2018</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2018</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355,505,739.46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-12,810,755.35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342,694,984.11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9,055,332.55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9,055,332.55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-22,501,044.56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713,027.39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-21,788,017.17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174,266,093.02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-3,950,419.10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170,315,673.92</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-196,767,137.58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4,663,446.49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-192,103,691.09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333,004,694.90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-3,042,395.41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329,962,299.49</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负责人：谢卫，主管会计工作负责人：夏华龙，会计机构负责人：单江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1D6EDA" w:rsidRDefault="00DD400B">
      <w:pPr>
        <w:spacing w:before="29" w:line="288" w:lineRule="auto"/>
        <w:ind w:firstLineChars="200" w:firstLine="480"/>
        <w:rPr>
          <w:color w:val="000000"/>
          <w:sz w:val="24"/>
        </w:rPr>
      </w:pPr>
      <w:r>
        <w:rPr>
          <w:color w:val="000000"/>
          <w:sz w:val="24"/>
        </w:rPr>
        <w:t>交银施罗德增利债券证券投资基金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证监基金字</w:t>
      </w:r>
      <w:r>
        <w:rPr>
          <w:color w:val="000000"/>
          <w:sz w:val="24"/>
        </w:rPr>
        <w:t>[2008]</w:t>
      </w:r>
      <w:r>
        <w:rPr>
          <w:color w:val="000000"/>
          <w:sz w:val="24"/>
        </w:rPr>
        <w:t>第</w:t>
      </w:r>
      <w:r>
        <w:rPr>
          <w:color w:val="000000"/>
          <w:sz w:val="24"/>
        </w:rPr>
        <w:t>239</w:t>
      </w:r>
      <w:r>
        <w:rPr>
          <w:color w:val="000000"/>
          <w:sz w:val="24"/>
        </w:rPr>
        <w:t>号《关于核准交银施罗德增利债券证券投资基金募集的批复》核准，由交银施罗德基金管理有限公司依照《中华人民共和国证券投资基金法》和《交银施罗德增利债券证券投资基金基金合同》负责公开募集。本基金为契约型开放式，存续期限不定，首次设立募集不包括认购资金利息共募集人民币</w:t>
      </w:r>
      <w:r>
        <w:rPr>
          <w:color w:val="000000"/>
          <w:sz w:val="24"/>
        </w:rPr>
        <w:t>10,315,946,853.63</w:t>
      </w:r>
      <w:r>
        <w:rPr>
          <w:color w:val="000000"/>
          <w:sz w:val="24"/>
        </w:rPr>
        <w:t>元，业经普华永道中天会计师事务所有限公司普华永道中天验字</w:t>
      </w:r>
      <w:r>
        <w:rPr>
          <w:color w:val="000000"/>
          <w:sz w:val="24"/>
        </w:rPr>
        <w:t>(2008)</w:t>
      </w:r>
      <w:r>
        <w:rPr>
          <w:color w:val="000000"/>
          <w:sz w:val="24"/>
        </w:rPr>
        <w:t>第</w:t>
      </w:r>
      <w:r>
        <w:rPr>
          <w:color w:val="000000"/>
          <w:sz w:val="24"/>
        </w:rPr>
        <w:t>029</w:t>
      </w:r>
      <w:r>
        <w:rPr>
          <w:color w:val="000000"/>
          <w:sz w:val="24"/>
        </w:rPr>
        <w:t>号验资报告</w:t>
      </w:r>
      <w:r>
        <w:rPr>
          <w:color w:val="000000"/>
          <w:sz w:val="24"/>
        </w:rPr>
        <w:t>予以验证。经向中国证监会备案，《交银施罗德增利债券证券投资基金基金合同》于</w:t>
      </w:r>
      <w:r>
        <w:rPr>
          <w:color w:val="000000"/>
          <w:sz w:val="24"/>
        </w:rPr>
        <w:t>2008</w:t>
      </w:r>
      <w:r>
        <w:rPr>
          <w:color w:val="000000"/>
          <w:sz w:val="24"/>
        </w:rPr>
        <w:t>年</w:t>
      </w:r>
      <w:r>
        <w:rPr>
          <w:color w:val="000000"/>
          <w:sz w:val="24"/>
        </w:rPr>
        <w:t>3</w:t>
      </w:r>
      <w:r>
        <w:rPr>
          <w:color w:val="000000"/>
          <w:sz w:val="24"/>
        </w:rPr>
        <w:t>月</w:t>
      </w:r>
      <w:r>
        <w:rPr>
          <w:color w:val="000000"/>
          <w:sz w:val="24"/>
        </w:rPr>
        <w:t>31</w:t>
      </w:r>
      <w:r>
        <w:rPr>
          <w:color w:val="000000"/>
          <w:sz w:val="24"/>
        </w:rPr>
        <w:t>日正式生效，基金合同生效日的基金份额总额为</w:t>
      </w:r>
      <w:r>
        <w:rPr>
          <w:color w:val="000000"/>
          <w:sz w:val="24"/>
        </w:rPr>
        <w:t>10,322,807,118.45</w:t>
      </w:r>
      <w:r>
        <w:rPr>
          <w:color w:val="000000"/>
          <w:sz w:val="24"/>
        </w:rPr>
        <w:t>份基金份额，其中认购资金利息折合</w:t>
      </w:r>
      <w:r>
        <w:rPr>
          <w:color w:val="000000"/>
          <w:sz w:val="24"/>
        </w:rPr>
        <w:t>6,860,264.82</w:t>
      </w:r>
      <w:r>
        <w:rPr>
          <w:color w:val="000000"/>
          <w:sz w:val="24"/>
        </w:rPr>
        <w:t>份基金份额。本基金的基金管理人为交银施罗德基金管理有限公司，基金托管人为中国建设银行股份有限公司。</w:t>
      </w:r>
    </w:p>
    <w:p w:rsidR="001D6EDA" w:rsidRDefault="00DD400B">
      <w:pPr>
        <w:spacing w:before="29" w:line="288" w:lineRule="auto"/>
        <w:ind w:firstLineChars="200" w:firstLine="480"/>
        <w:rPr>
          <w:color w:val="000000"/>
          <w:sz w:val="24"/>
        </w:rPr>
      </w:pPr>
      <w:r>
        <w:rPr>
          <w:color w:val="000000"/>
          <w:sz w:val="24"/>
        </w:rPr>
        <w:t>根据《交银施罗德增利债券证券投资基金基金合同》和《交银施罗德增利债券证券投资基金招募说明书》，本基金自募集期起根据费用收取方式的不同，将基金份额分为不同的类别。在投资者申购时收取前端申购费</w:t>
      </w:r>
      <w:r>
        <w:rPr>
          <w:color w:val="000000"/>
          <w:sz w:val="24"/>
        </w:rPr>
        <w:t>用的，称为</w:t>
      </w:r>
      <w:r>
        <w:rPr>
          <w:color w:val="000000"/>
          <w:sz w:val="24"/>
        </w:rPr>
        <w:t>A</w:t>
      </w:r>
      <w:r>
        <w:rPr>
          <w:color w:val="000000"/>
          <w:sz w:val="24"/>
        </w:rPr>
        <w:t>类；在投资者赎回时收取后端申购费用的，称为</w:t>
      </w:r>
      <w:r>
        <w:rPr>
          <w:color w:val="000000"/>
          <w:sz w:val="24"/>
        </w:rPr>
        <w:t>B</w:t>
      </w:r>
      <w:r>
        <w:rPr>
          <w:color w:val="000000"/>
          <w:sz w:val="24"/>
        </w:rPr>
        <w:t>类；不收取申购费用，赎回时收取短期赎回费，并从本类别基金资产中计提销售服务费的，称为</w:t>
      </w:r>
      <w:r>
        <w:rPr>
          <w:color w:val="000000"/>
          <w:sz w:val="24"/>
        </w:rPr>
        <w:t>C</w:t>
      </w:r>
      <w:r>
        <w:rPr>
          <w:color w:val="000000"/>
          <w:sz w:val="24"/>
        </w:rPr>
        <w:t>类。本基金</w:t>
      </w:r>
      <w:r>
        <w:rPr>
          <w:color w:val="000000"/>
          <w:sz w:val="24"/>
        </w:rPr>
        <w:t>A</w:t>
      </w:r>
      <w:r>
        <w:rPr>
          <w:color w:val="000000"/>
          <w:sz w:val="24"/>
        </w:rPr>
        <w:t>类、</w:t>
      </w:r>
      <w:r>
        <w:rPr>
          <w:color w:val="000000"/>
          <w:sz w:val="24"/>
        </w:rPr>
        <w:t>B</w:t>
      </w:r>
      <w:r>
        <w:rPr>
          <w:color w:val="000000"/>
          <w:sz w:val="24"/>
        </w:rPr>
        <w:t>类、</w:t>
      </w:r>
      <w:r>
        <w:rPr>
          <w:color w:val="000000"/>
          <w:sz w:val="24"/>
        </w:rPr>
        <w:t>C</w:t>
      </w:r>
      <w:r>
        <w:rPr>
          <w:color w:val="000000"/>
          <w:sz w:val="24"/>
        </w:rPr>
        <w:t>类三种收费模式并存，各类基金份额分别计算基金份额净值。投资人可自由选择申购某一类别的基金份额，但各类别基金份额之间不能相互转换。</w:t>
      </w: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增利债券证券投资基金基金合同》的有关规定，本基金的投资范围为具有良好流动性的金融工具，包括国内依法发行上市的债券、股票、权证以及法律法规或中国证监会允许基金投资的其他金融工具，其中股票投资仅限于参与新股认购和可转债转股获得的股票，权证投资仅限于参与可分离交易转债申购而获得的权证，即本基金不从二级市场购买股票或权证。本基金的投资组合比例为：固定收益类资产</w:t>
      </w:r>
      <w:r w:rsidRPr="008A1551">
        <w:rPr>
          <w:color w:val="000000"/>
          <w:sz w:val="24"/>
        </w:rPr>
        <w:t>(</w:t>
      </w:r>
      <w:r w:rsidRPr="008A1551">
        <w:rPr>
          <w:color w:val="000000"/>
          <w:sz w:val="24"/>
        </w:rPr>
        <w:t>包括国债、金融债、央行票据、企业债、公司债、短期融资券、资产支持证券、次级债、可转换债券等</w:t>
      </w:r>
      <w:r w:rsidRPr="008A1551">
        <w:rPr>
          <w:color w:val="000000"/>
          <w:sz w:val="24"/>
        </w:rPr>
        <w:t>)</w:t>
      </w:r>
      <w:r w:rsidRPr="008A1551">
        <w:rPr>
          <w:color w:val="000000"/>
          <w:sz w:val="24"/>
        </w:rPr>
        <w:t>占基金资产的比例为</w:t>
      </w:r>
      <w:r w:rsidRPr="008A1551">
        <w:rPr>
          <w:color w:val="000000"/>
          <w:sz w:val="24"/>
        </w:rPr>
        <w:t>80%-100%</w:t>
      </w:r>
      <w:r w:rsidRPr="008A1551">
        <w:rPr>
          <w:color w:val="000000"/>
          <w:sz w:val="24"/>
        </w:rPr>
        <w:t>，其中次级债、资产支持证券</w:t>
      </w:r>
      <w:r w:rsidRPr="008A1551">
        <w:rPr>
          <w:color w:val="000000"/>
          <w:sz w:val="24"/>
        </w:rPr>
        <w:t>(</w:t>
      </w:r>
      <w:r w:rsidRPr="008A1551">
        <w:rPr>
          <w:color w:val="000000"/>
          <w:sz w:val="24"/>
        </w:rPr>
        <w:t>含资产收益计划</w:t>
      </w:r>
      <w:r w:rsidRPr="008A1551">
        <w:rPr>
          <w:color w:val="000000"/>
          <w:sz w:val="24"/>
        </w:rPr>
        <w:t>)</w:t>
      </w:r>
      <w:r w:rsidRPr="008A1551">
        <w:rPr>
          <w:color w:val="000000"/>
          <w:sz w:val="24"/>
        </w:rPr>
        <w:t>和可转换债券占基金资产的比例为</w:t>
      </w:r>
      <w:r w:rsidRPr="008A1551">
        <w:rPr>
          <w:color w:val="000000"/>
          <w:sz w:val="24"/>
        </w:rPr>
        <w:t>0-40%</w:t>
      </w:r>
      <w:r w:rsidRPr="008A1551">
        <w:rPr>
          <w:color w:val="000000"/>
          <w:sz w:val="24"/>
        </w:rPr>
        <w:t>，基金保留的现金以及投资于到期日在一年以内的政府债券的比例合计不低于基金资产净值的</w:t>
      </w:r>
      <w:r w:rsidRPr="008A1551">
        <w:rPr>
          <w:color w:val="000000"/>
          <w:sz w:val="24"/>
        </w:rPr>
        <w:t>5%</w:t>
      </w:r>
      <w:r w:rsidRPr="008A1551">
        <w:rPr>
          <w:color w:val="000000"/>
          <w:sz w:val="24"/>
        </w:rPr>
        <w:t>，其中现金不包括结算备付金、存出保证金和应收申购款等；股票、权证等资产占基金资产的比例为</w:t>
      </w:r>
      <w:r w:rsidRPr="008A1551">
        <w:rPr>
          <w:color w:val="000000"/>
          <w:sz w:val="24"/>
        </w:rPr>
        <w:t>0-20%</w:t>
      </w:r>
      <w:r w:rsidRPr="008A1551">
        <w:rPr>
          <w:color w:val="000000"/>
          <w:sz w:val="24"/>
        </w:rPr>
        <w:t>，其中权证资产占基金资产净值的比例为</w:t>
      </w:r>
      <w:r w:rsidRPr="008A1551">
        <w:rPr>
          <w:color w:val="000000"/>
          <w:sz w:val="24"/>
        </w:rPr>
        <w:t>0-3%</w:t>
      </w:r>
      <w:r w:rsidRPr="008A1551">
        <w:rPr>
          <w:color w:val="000000"/>
          <w:sz w:val="24"/>
        </w:rPr>
        <w:t>。本基金的业绩比较基准为：中债企业债总指数。</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D6EDA" w:rsidRDefault="00DD400B">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颁布的《证券投资基金会计核算业务指引》、《交银施罗德增利债券证券投资基金基金合同》和在财务报表附注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0"/>
        <w:rPr>
          <w:color w:val="000000"/>
          <w:sz w:val="24"/>
        </w:rPr>
      </w:pPr>
      <w:r w:rsidRPr="008A1551">
        <w:rPr>
          <w:color w:val="000000"/>
          <w:sz w:val="24"/>
        </w:rPr>
        <w:t>本财务报表以持续经营为基础编制。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2019</w:t>
      </w:r>
      <w:r w:rsidRPr="008A1551">
        <w:rPr>
          <w:color w:val="000000"/>
          <w:sz w:val="24"/>
        </w:rPr>
        <w:t>上半年度财务报表符合企业会计准则的要求，真实、完整地反映了本基金</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2019</w:t>
      </w:r>
      <w:r w:rsidRPr="008A1551">
        <w:rPr>
          <w:color w:val="000000"/>
          <w:sz w:val="24"/>
        </w:rPr>
        <w:t>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本基金在本报告期间无须说明的会计差错更正。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1D6EDA" w:rsidRDefault="00DD400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w:t>
      </w:r>
      <w:r>
        <w:rPr>
          <w:color w:val="000000"/>
          <w:sz w:val="24"/>
        </w:rPr>
        <w:t>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1D6EDA" w:rsidRDefault="00DD400B">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w:t>
      </w:r>
      <w:r>
        <w:rPr>
          <w:color w:val="000000"/>
          <w:sz w:val="24"/>
        </w:rPr>
        <w:t>中发生的增值税应税行为，未缴纳增值税的，不再缴纳；已缴纳增值税的，已纳税额从资管产品管理人以后月份的增值税应纳税额中抵减。</w:t>
      </w:r>
    </w:p>
    <w:p w:rsidR="001D6EDA" w:rsidRDefault="00DD400B">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w:t>
      </w:r>
      <w:r>
        <w:rPr>
          <w:color w:val="000000"/>
          <w:sz w:val="24"/>
        </w:rPr>
        <w:t>算销售额。</w:t>
      </w:r>
    </w:p>
    <w:p w:rsidR="001D6EDA" w:rsidRDefault="00DD400B">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1D6EDA" w:rsidRDefault="00DD400B">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w:t>
      </w:r>
      <w:r>
        <w:rPr>
          <w:color w:val="000000"/>
          <w:sz w:val="24"/>
        </w:rPr>
        <w:t>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D6EDA" w:rsidRDefault="00DD400B">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8A1551" w:rsidRDefault="001548F9" w:rsidP="009E1EA4">
      <w:pPr>
        <w:spacing w:before="29" w:line="288" w:lineRule="auto"/>
        <w:ind w:firstLineChars="200" w:firstLine="480"/>
        <w:rPr>
          <w:color w:val="000000"/>
          <w:sz w:val="24"/>
        </w:rPr>
      </w:pPr>
      <w:r w:rsidRPr="008A1551">
        <w:rPr>
          <w:color w:val="000000"/>
          <w:sz w:val="24"/>
        </w:rPr>
        <w:t>(5)</w:t>
      </w:r>
      <w:r w:rsidRPr="008A1551">
        <w:rPr>
          <w:color w:val="000000"/>
          <w:sz w:val="24"/>
        </w:rPr>
        <w:t>本基金的城市维护建设税、教育费附加和地方教育费附加等税费按照实际缴纳增值税额的适用比例计算缴纳。</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1D6EDA">
        <w:tc>
          <w:tcPr>
            <w:tcW w:w="5219" w:type="dxa"/>
            <w:vAlign w:val="center"/>
          </w:tcPr>
          <w:p w:rsidR="001D6EDA" w:rsidRDefault="00DD400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1D6EDA" w:rsidRDefault="00DD400B">
            <w:pPr>
              <w:jc w:val="left"/>
            </w:pPr>
            <w:r>
              <w:rPr>
                <w:color w:val="000000"/>
                <w:sz w:val="24"/>
              </w:rPr>
              <w:t>基金管理人、基金销售机构</w:t>
            </w:r>
          </w:p>
        </w:tc>
      </w:tr>
      <w:tr w:rsidR="001D6EDA">
        <w:tc>
          <w:tcPr>
            <w:tcW w:w="5219" w:type="dxa"/>
            <w:vAlign w:val="center"/>
          </w:tcPr>
          <w:p w:rsidR="001D6EDA" w:rsidRDefault="00DD400B">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1D6EDA" w:rsidRDefault="00DD400B">
            <w:pPr>
              <w:jc w:val="left"/>
            </w:pPr>
            <w:r>
              <w:rPr>
                <w:color w:val="000000"/>
                <w:sz w:val="24"/>
              </w:rPr>
              <w:t>基金托管人、基金销售机构</w:t>
            </w:r>
          </w:p>
        </w:tc>
      </w:tr>
      <w:tr w:rsidR="001D6EDA">
        <w:tc>
          <w:tcPr>
            <w:tcW w:w="5219" w:type="dxa"/>
            <w:vAlign w:val="center"/>
          </w:tcPr>
          <w:p w:rsidR="001D6EDA" w:rsidRDefault="00DD400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1D6EDA" w:rsidRDefault="00DD400B">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1,503,873.46</w:t>
            </w:r>
          </w:p>
        </w:tc>
        <w:tc>
          <w:tcPr>
            <w:tcW w:w="2657" w:type="dxa"/>
            <w:vAlign w:val="center"/>
          </w:tcPr>
          <w:p w:rsidR="001548F9" w:rsidRPr="008A1551" w:rsidRDefault="001548F9" w:rsidP="009E1EA4">
            <w:pPr>
              <w:spacing w:before="29" w:line="288" w:lineRule="auto"/>
              <w:jc w:val="right"/>
              <w:rPr>
                <w:sz w:val="24"/>
              </w:rPr>
            </w:pPr>
            <w:r w:rsidRPr="008A1551">
              <w:rPr>
                <w:sz w:val="24"/>
              </w:rPr>
              <w:t>994,700.69</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126,662.05</w:t>
            </w:r>
          </w:p>
        </w:tc>
        <w:tc>
          <w:tcPr>
            <w:tcW w:w="2657" w:type="dxa"/>
            <w:vAlign w:val="center"/>
          </w:tcPr>
          <w:p w:rsidR="001548F9" w:rsidRPr="008A1551" w:rsidRDefault="001548F9" w:rsidP="009E1EA4">
            <w:pPr>
              <w:spacing w:before="29" w:line="288" w:lineRule="auto"/>
              <w:jc w:val="right"/>
              <w:rPr>
                <w:sz w:val="24"/>
              </w:rPr>
            </w:pPr>
            <w:r w:rsidRPr="008A1551">
              <w:rPr>
                <w:sz w:val="24"/>
              </w:rPr>
              <w:t>107,079.97</w:t>
            </w:r>
          </w:p>
        </w:tc>
      </w:tr>
    </w:tbl>
    <w:p w:rsidR="001D6EDA" w:rsidRDefault="00DD400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w:t>
      </w:r>
      <w:r>
        <w:rPr>
          <w:kern w:val="0"/>
          <w:sz w:val="24"/>
        </w:rPr>
        <w:t>的年费率计提，逐日累计至每月月底，按月支付。</w:t>
      </w:r>
      <w:r>
        <w:rPr>
          <w:kern w:val="0"/>
          <w:sz w:val="24"/>
        </w:rPr>
        <w:t xml:space="preserve"> </w:t>
      </w:r>
      <w:r>
        <w:rPr>
          <w:kern w:val="0"/>
          <w:sz w:val="24"/>
        </w:rPr>
        <w:t>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×0.6%÷</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501,291.19</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331,566.84</w:t>
            </w:r>
          </w:p>
        </w:tc>
      </w:tr>
    </w:tbl>
    <w:p w:rsidR="001D6EDA" w:rsidRDefault="00DD400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w:t>
      </w:r>
      <w:r>
        <w:rPr>
          <w:kern w:val="0"/>
          <w:sz w:val="24"/>
        </w:rPr>
        <w:t xml:space="preserve"> </w:t>
      </w:r>
      <w:r>
        <w:rPr>
          <w:kern w:val="0"/>
          <w:sz w:val="24"/>
        </w:rPr>
        <w:t>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×0.2%÷</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交银增利债券</w:t>
            </w:r>
            <w:r w:rsidRPr="008A1551">
              <w:rPr>
                <w:sz w:val="24"/>
              </w:rPr>
              <w:t>A/B</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交银增利债券</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1D6EDA">
        <w:tc>
          <w:tcPr>
            <w:tcW w:w="2000" w:type="dxa"/>
            <w:vAlign w:val="center"/>
          </w:tcPr>
          <w:p w:rsidR="001D6EDA" w:rsidRDefault="00DD400B">
            <w:pPr>
              <w:jc w:val="left"/>
            </w:pPr>
            <w:r>
              <w:rPr>
                <w:sz w:val="24"/>
              </w:rPr>
              <w:t>交通银行</w:t>
            </w:r>
          </w:p>
        </w:tc>
        <w:tc>
          <w:tcPr>
            <w:tcW w:w="1766" w:type="dxa"/>
            <w:vAlign w:val="center"/>
          </w:tcPr>
          <w:p w:rsidR="001D6EDA" w:rsidRDefault="00DD400B">
            <w:pPr>
              <w:jc w:val="right"/>
            </w:pPr>
            <w:r>
              <w:rPr>
                <w:sz w:val="24"/>
              </w:rPr>
              <w:t>-</w:t>
            </w:r>
          </w:p>
        </w:tc>
        <w:tc>
          <w:tcPr>
            <w:tcW w:w="2162" w:type="dxa"/>
            <w:vAlign w:val="center"/>
          </w:tcPr>
          <w:p w:rsidR="001D6EDA" w:rsidRDefault="00DD400B">
            <w:pPr>
              <w:jc w:val="right"/>
            </w:pPr>
            <w:r>
              <w:rPr>
                <w:sz w:val="24"/>
              </w:rPr>
              <w:t>94,286.80</w:t>
            </w:r>
          </w:p>
        </w:tc>
        <w:tc>
          <w:tcPr>
            <w:tcW w:w="3070" w:type="dxa"/>
            <w:vAlign w:val="center"/>
          </w:tcPr>
          <w:p w:rsidR="001D6EDA" w:rsidRDefault="00DD400B">
            <w:pPr>
              <w:jc w:val="right"/>
            </w:pPr>
            <w:r>
              <w:rPr>
                <w:sz w:val="24"/>
              </w:rPr>
              <w:t>94,286.80</w:t>
            </w:r>
          </w:p>
        </w:tc>
      </w:tr>
      <w:tr w:rsidR="001D6EDA">
        <w:tc>
          <w:tcPr>
            <w:tcW w:w="2000" w:type="dxa"/>
            <w:vAlign w:val="center"/>
          </w:tcPr>
          <w:p w:rsidR="001D6EDA" w:rsidRDefault="00DD400B">
            <w:pPr>
              <w:jc w:val="left"/>
            </w:pPr>
            <w:r>
              <w:rPr>
                <w:sz w:val="24"/>
              </w:rPr>
              <w:t>中国建设银行</w:t>
            </w:r>
          </w:p>
        </w:tc>
        <w:tc>
          <w:tcPr>
            <w:tcW w:w="1766" w:type="dxa"/>
            <w:vAlign w:val="center"/>
          </w:tcPr>
          <w:p w:rsidR="001D6EDA" w:rsidRDefault="00DD400B">
            <w:pPr>
              <w:jc w:val="right"/>
            </w:pPr>
            <w:r>
              <w:rPr>
                <w:sz w:val="24"/>
              </w:rPr>
              <w:t>-</w:t>
            </w:r>
          </w:p>
        </w:tc>
        <w:tc>
          <w:tcPr>
            <w:tcW w:w="2162" w:type="dxa"/>
            <w:vAlign w:val="center"/>
          </w:tcPr>
          <w:p w:rsidR="001D6EDA" w:rsidRDefault="00DD400B">
            <w:pPr>
              <w:jc w:val="right"/>
            </w:pPr>
            <w:r>
              <w:rPr>
                <w:sz w:val="24"/>
              </w:rPr>
              <w:t>20,614.03</w:t>
            </w:r>
          </w:p>
        </w:tc>
        <w:tc>
          <w:tcPr>
            <w:tcW w:w="3070" w:type="dxa"/>
            <w:vAlign w:val="center"/>
          </w:tcPr>
          <w:p w:rsidR="001D6EDA" w:rsidRDefault="00DD400B">
            <w:pPr>
              <w:jc w:val="right"/>
            </w:pPr>
            <w:r>
              <w:rPr>
                <w:sz w:val="24"/>
              </w:rPr>
              <w:t>20,614.03</w:t>
            </w:r>
          </w:p>
        </w:tc>
      </w:tr>
      <w:tr w:rsidR="001D6EDA">
        <w:tc>
          <w:tcPr>
            <w:tcW w:w="2000" w:type="dxa"/>
            <w:vAlign w:val="center"/>
          </w:tcPr>
          <w:p w:rsidR="001D6EDA" w:rsidRDefault="00DD400B">
            <w:pPr>
              <w:jc w:val="left"/>
            </w:pPr>
            <w:r>
              <w:rPr>
                <w:sz w:val="24"/>
              </w:rPr>
              <w:t>交银施罗德基金公司</w:t>
            </w:r>
          </w:p>
        </w:tc>
        <w:tc>
          <w:tcPr>
            <w:tcW w:w="1766" w:type="dxa"/>
            <w:vAlign w:val="center"/>
          </w:tcPr>
          <w:p w:rsidR="001D6EDA" w:rsidRDefault="00DD400B">
            <w:pPr>
              <w:jc w:val="right"/>
            </w:pPr>
            <w:r>
              <w:rPr>
                <w:sz w:val="24"/>
              </w:rPr>
              <w:t>-</w:t>
            </w:r>
          </w:p>
        </w:tc>
        <w:tc>
          <w:tcPr>
            <w:tcW w:w="2162" w:type="dxa"/>
            <w:vAlign w:val="center"/>
          </w:tcPr>
          <w:p w:rsidR="001D6EDA" w:rsidRDefault="00DD400B">
            <w:pPr>
              <w:jc w:val="right"/>
            </w:pPr>
            <w:r>
              <w:rPr>
                <w:sz w:val="24"/>
              </w:rPr>
              <w:t>6,506.06</w:t>
            </w:r>
          </w:p>
        </w:tc>
        <w:tc>
          <w:tcPr>
            <w:tcW w:w="3070" w:type="dxa"/>
            <w:vAlign w:val="center"/>
          </w:tcPr>
          <w:p w:rsidR="001D6EDA" w:rsidRDefault="00DD400B">
            <w:pPr>
              <w:jc w:val="right"/>
            </w:pPr>
            <w:r>
              <w:rPr>
                <w:sz w:val="24"/>
              </w:rPr>
              <w:t>6,506.06</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121,406.89</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121,406.89</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交银增利债券</w:t>
            </w:r>
            <w:r w:rsidRPr="008A1551">
              <w:rPr>
                <w:sz w:val="24"/>
              </w:rPr>
              <w:t>A/B</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交银增利债券</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1D6EDA">
        <w:tc>
          <w:tcPr>
            <w:tcW w:w="2000" w:type="dxa"/>
            <w:vAlign w:val="center"/>
          </w:tcPr>
          <w:p w:rsidR="001D6EDA" w:rsidRDefault="00DD400B">
            <w:pPr>
              <w:jc w:val="left"/>
            </w:pPr>
            <w:r>
              <w:rPr>
                <w:sz w:val="24"/>
              </w:rPr>
              <w:t>交通银行</w:t>
            </w:r>
          </w:p>
        </w:tc>
        <w:tc>
          <w:tcPr>
            <w:tcW w:w="1766" w:type="dxa"/>
            <w:vAlign w:val="center"/>
          </w:tcPr>
          <w:p w:rsidR="001D6EDA" w:rsidRDefault="00DD400B">
            <w:pPr>
              <w:jc w:val="right"/>
            </w:pPr>
            <w:r>
              <w:rPr>
                <w:sz w:val="24"/>
              </w:rPr>
              <w:t>-</w:t>
            </w:r>
          </w:p>
        </w:tc>
        <w:tc>
          <w:tcPr>
            <w:tcW w:w="2162" w:type="dxa"/>
            <w:vAlign w:val="center"/>
          </w:tcPr>
          <w:p w:rsidR="001D6EDA" w:rsidRDefault="00DD400B">
            <w:pPr>
              <w:jc w:val="right"/>
            </w:pPr>
            <w:r>
              <w:rPr>
                <w:sz w:val="24"/>
              </w:rPr>
              <w:t>95,961.56</w:t>
            </w:r>
          </w:p>
        </w:tc>
        <w:tc>
          <w:tcPr>
            <w:tcW w:w="3070" w:type="dxa"/>
            <w:vAlign w:val="center"/>
          </w:tcPr>
          <w:p w:rsidR="001D6EDA" w:rsidRDefault="00DD400B">
            <w:pPr>
              <w:jc w:val="right"/>
            </w:pPr>
            <w:r>
              <w:rPr>
                <w:sz w:val="24"/>
              </w:rPr>
              <w:t>95,961.56</w:t>
            </w:r>
          </w:p>
        </w:tc>
      </w:tr>
      <w:tr w:rsidR="001D6EDA">
        <w:tc>
          <w:tcPr>
            <w:tcW w:w="2000" w:type="dxa"/>
            <w:vAlign w:val="center"/>
          </w:tcPr>
          <w:p w:rsidR="001D6EDA" w:rsidRDefault="00DD400B">
            <w:pPr>
              <w:jc w:val="left"/>
            </w:pPr>
            <w:r>
              <w:rPr>
                <w:sz w:val="24"/>
              </w:rPr>
              <w:t>中国建设银行</w:t>
            </w:r>
          </w:p>
        </w:tc>
        <w:tc>
          <w:tcPr>
            <w:tcW w:w="1766" w:type="dxa"/>
            <w:vAlign w:val="center"/>
          </w:tcPr>
          <w:p w:rsidR="001D6EDA" w:rsidRDefault="00DD400B">
            <w:pPr>
              <w:jc w:val="right"/>
            </w:pPr>
            <w:r>
              <w:rPr>
                <w:sz w:val="24"/>
              </w:rPr>
              <w:t>-</w:t>
            </w:r>
          </w:p>
        </w:tc>
        <w:tc>
          <w:tcPr>
            <w:tcW w:w="2162" w:type="dxa"/>
            <w:vAlign w:val="center"/>
          </w:tcPr>
          <w:p w:rsidR="001D6EDA" w:rsidRDefault="00DD400B">
            <w:pPr>
              <w:jc w:val="right"/>
            </w:pPr>
            <w:r>
              <w:rPr>
                <w:sz w:val="24"/>
              </w:rPr>
              <w:t>17,921.37</w:t>
            </w:r>
          </w:p>
        </w:tc>
        <w:tc>
          <w:tcPr>
            <w:tcW w:w="3070" w:type="dxa"/>
            <w:vAlign w:val="center"/>
          </w:tcPr>
          <w:p w:rsidR="001D6EDA" w:rsidRDefault="00DD400B">
            <w:pPr>
              <w:jc w:val="right"/>
            </w:pPr>
            <w:r>
              <w:rPr>
                <w:sz w:val="24"/>
              </w:rPr>
              <w:t>17,921.37</w:t>
            </w:r>
          </w:p>
        </w:tc>
      </w:tr>
      <w:tr w:rsidR="001D6EDA">
        <w:tc>
          <w:tcPr>
            <w:tcW w:w="2000" w:type="dxa"/>
            <w:vAlign w:val="center"/>
          </w:tcPr>
          <w:p w:rsidR="001D6EDA" w:rsidRDefault="00DD400B">
            <w:pPr>
              <w:jc w:val="left"/>
            </w:pPr>
            <w:r>
              <w:rPr>
                <w:sz w:val="24"/>
              </w:rPr>
              <w:t>交银施罗德基金公司</w:t>
            </w:r>
          </w:p>
        </w:tc>
        <w:tc>
          <w:tcPr>
            <w:tcW w:w="1766" w:type="dxa"/>
            <w:vAlign w:val="center"/>
          </w:tcPr>
          <w:p w:rsidR="001D6EDA" w:rsidRDefault="00DD400B">
            <w:pPr>
              <w:jc w:val="right"/>
            </w:pPr>
            <w:r>
              <w:rPr>
                <w:sz w:val="24"/>
              </w:rPr>
              <w:t>-</w:t>
            </w:r>
          </w:p>
        </w:tc>
        <w:tc>
          <w:tcPr>
            <w:tcW w:w="2162" w:type="dxa"/>
            <w:vAlign w:val="center"/>
          </w:tcPr>
          <w:p w:rsidR="001D6EDA" w:rsidRDefault="00DD400B">
            <w:pPr>
              <w:jc w:val="right"/>
            </w:pPr>
            <w:r>
              <w:rPr>
                <w:sz w:val="24"/>
              </w:rPr>
              <w:t>5,245.85</w:t>
            </w:r>
          </w:p>
        </w:tc>
        <w:tc>
          <w:tcPr>
            <w:tcW w:w="3070" w:type="dxa"/>
            <w:vAlign w:val="center"/>
          </w:tcPr>
          <w:p w:rsidR="001D6EDA" w:rsidRDefault="00DD400B">
            <w:pPr>
              <w:jc w:val="right"/>
            </w:pPr>
            <w:r>
              <w:rPr>
                <w:sz w:val="24"/>
              </w:rPr>
              <w:t>5,245.85</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119,128.78</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119,128.78</w:t>
            </w:r>
          </w:p>
        </w:tc>
      </w:tr>
    </w:tbl>
    <w:p w:rsidR="001D6EDA" w:rsidRDefault="00DD400B">
      <w:pPr>
        <w:tabs>
          <w:tab w:val="left" w:pos="426"/>
        </w:tabs>
        <w:spacing w:before="29" w:line="288"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×0.4%÷</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本报告期内及上年度可比期间未发生基金管理人运用固有资金投资本基金的情况。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2019</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1D6EDA">
        <w:tc>
          <w:tcPr>
            <w:tcW w:w="2692" w:type="dxa"/>
            <w:vAlign w:val="center"/>
          </w:tcPr>
          <w:p w:rsidR="001D6EDA" w:rsidRDefault="00DD400B">
            <w:pPr>
              <w:jc w:val="left"/>
            </w:pPr>
            <w:r>
              <w:rPr>
                <w:sz w:val="24"/>
              </w:rPr>
              <w:t>中国建设银行</w:t>
            </w:r>
          </w:p>
        </w:tc>
        <w:tc>
          <w:tcPr>
            <w:tcW w:w="1417" w:type="dxa"/>
            <w:vAlign w:val="center"/>
          </w:tcPr>
          <w:p w:rsidR="001D6EDA" w:rsidRDefault="00DD400B">
            <w:pPr>
              <w:jc w:val="right"/>
            </w:pPr>
            <w:r>
              <w:rPr>
                <w:sz w:val="24"/>
              </w:rPr>
              <w:t>4,276,214.59</w:t>
            </w:r>
          </w:p>
        </w:tc>
        <w:tc>
          <w:tcPr>
            <w:tcW w:w="1736" w:type="dxa"/>
            <w:vAlign w:val="center"/>
          </w:tcPr>
          <w:p w:rsidR="001D6EDA" w:rsidRDefault="00DD400B">
            <w:pPr>
              <w:jc w:val="right"/>
            </w:pPr>
            <w:r>
              <w:rPr>
                <w:sz w:val="24"/>
              </w:rPr>
              <w:t>24,364.77</w:t>
            </w:r>
          </w:p>
        </w:tc>
        <w:tc>
          <w:tcPr>
            <w:tcW w:w="1383" w:type="dxa"/>
            <w:vAlign w:val="center"/>
          </w:tcPr>
          <w:p w:rsidR="001D6EDA" w:rsidRDefault="00DD400B">
            <w:pPr>
              <w:jc w:val="right"/>
            </w:pPr>
            <w:r>
              <w:rPr>
                <w:sz w:val="24"/>
              </w:rPr>
              <w:t>645,948.05</w:t>
            </w:r>
          </w:p>
        </w:tc>
        <w:tc>
          <w:tcPr>
            <w:tcW w:w="1770" w:type="dxa"/>
            <w:vAlign w:val="center"/>
          </w:tcPr>
          <w:p w:rsidR="001D6EDA" w:rsidRDefault="00DD400B">
            <w:pPr>
              <w:jc w:val="right"/>
            </w:pPr>
            <w:r>
              <w:rPr>
                <w:sz w:val="24"/>
              </w:rPr>
              <w:t>15,557.15</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207C2A" w:rsidRPr="00207C2A" w:rsidRDefault="00207C2A" w:rsidP="00A7746B">
      <w:pPr>
        <w:adjustRightInd w:val="0"/>
        <w:snapToGrid w:val="0"/>
        <w:spacing w:beforeLines="100" w:before="312" w:line="360" w:lineRule="auto"/>
        <w:rPr>
          <w:rFonts w:eastAsiaTheme="minorEastAsia"/>
          <w:b/>
          <w:color w:val="000000" w:themeColor="text1"/>
          <w:sz w:val="24"/>
        </w:rPr>
      </w:pPr>
      <w:r w:rsidRPr="00207C2A">
        <w:rPr>
          <w:rFonts w:eastAsiaTheme="minorEastAsia"/>
          <w:b/>
          <w:bCs/>
          <w:color w:val="000000" w:themeColor="text1"/>
          <w:kern w:val="0"/>
          <w:sz w:val="24"/>
        </w:rPr>
        <w:t xml:space="preserve">6.4.8.7 </w:t>
      </w:r>
      <w:bookmarkStart w:id="52" w:name="OLE_LINK189"/>
      <w:bookmarkStart w:id="53" w:name="OLE_LINK7"/>
      <w:bookmarkStart w:id="54" w:name="OLE_LINK6"/>
      <w:r w:rsidRPr="00207C2A">
        <w:rPr>
          <w:rFonts w:eastAsiaTheme="minorEastAsia" w:hint="eastAsia"/>
          <w:b/>
          <w:color w:val="000000" w:themeColor="text1"/>
          <w:sz w:val="24"/>
        </w:rPr>
        <w:t>其他关联交易事项的说明</w:t>
      </w:r>
      <w:bookmarkEnd w:id="52"/>
      <w:bookmarkEnd w:id="53"/>
      <w:bookmarkEnd w:id="54"/>
    </w:p>
    <w:p w:rsidR="00207C2A" w:rsidRDefault="00207C2A" w:rsidP="00207C2A">
      <w:pPr>
        <w:widowControl/>
        <w:spacing w:line="360" w:lineRule="auto"/>
        <w:ind w:firstLineChars="200" w:firstLine="480"/>
        <w:rPr>
          <w:rFonts w:eastAsiaTheme="minorEastAsia"/>
          <w:color w:val="000000" w:themeColor="text1"/>
          <w:kern w:val="0"/>
          <w:sz w:val="24"/>
        </w:rPr>
      </w:pPr>
      <w:r w:rsidRPr="00207C2A">
        <w:rPr>
          <w:rFonts w:eastAsiaTheme="minorEastAsia"/>
          <w:color w:val="000000" w:themeColor="text1"/>
          <w:kern w:val="0"/>
          <w:sz w:val="24"/>
        </w:rPr>
        <w:t>本基金本报告期内及上年度可比期间无其他关联交易事项。</w:t>
      </w:r>
    </w:p>
    <w:p w:rsidR="00207C2A" w:rsidRPr="00207C2A" w:rsidRDefault="00207C2A" w:rsidP="00207C2A">
      <w:pPr>
        <w:widowControl/>
        <w:spacing w:line="360" w:lineRule="auto"/>
        <w:ind w:firstLineChars="200" w:firstLine="480"/>
        <w:rPr>
          <w:rFonts w:eastAsiaTheme="minorEastAsia"/>
          <w:color w:val="000000" w:themeColor="text1"/>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2019</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本基金本报告期末未持有因认购新发</w:t>
      </w:r>
      <w:r w:rsidRPr="008A1551">
        <w:rPr>
          <w:kern w:val="0"/>
          <w:sz w:val="24"/>
        </w:rPr>
        <w:t>/</w:t>
      </w:r>
      <w:r w:rsidRPr="008A1551">
        <w:rPr>
          <w:kern w:val="0"/>
          <w:sz w:val="24"/>
        </w:rPr>
        <w:t>增发证券而流通受限的证券。</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rPr>
          <w:b/>
          <w:bCs/>
          <w:color w:val="000000"/>
          <w:sz w:val="24"/>
        </w:rPr>
      </w:pPr>
      <w:r w:rsidRPr="008A1551">
        <w:rPr>
          <w:b/>
          <w:bCs/>
          <w:color w:val="000000"/>
          <w:kern w:val="0"/>
          <w:sz w:val="24"/>
        </w:rPr>
        <w:t xml:space="preserve">6.4.9.3.1 </w:t>
      </w:r>
      <w:r w:rsidRPr="008A1551">
        <w:rPr>
          <w:b/>
          <w:bCs/>
          <w:color w:val="000000"/>
          <w:sz w:val="24"/>
        </w:rPr>
        <w:t>银行间市场债券正回购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本基金本报告期末无从事银行间市场债券正回购交易形成的卖出回购证券款余额。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6.4.9.3.2 </w:t>
      </w:r>
      <w:r w:rsidRPr="008A1551">
        <w:rPr>
          <w:b/>
          <w:bCs/>
          <w:color w:val="000000"/>
          <w:sz w:val="24"/>
        </w:rPr>
        <w:t>交易所市场债券正回购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截至本报告期末</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日止，本基金从事证券交易所债券正回购交易形成的卖出回购证券款余额</w:t>
      </w:r>
      <w:r w:rsidRPr="008A1551">
        <w:rPr>
          <w:color w:val="000000"/>
          <w:sz w:val="24"/>
        </w:rPr>
        <w:t>150,000,000.00</w:t>
      </w:r>
      <w:r w:rsidRPr="008A1551">
        <w:rPr>
          <w:color w:val="000000"/>
          <w:sz w:val="24"/>
        </w:rPr>
        <w:t>元，于</w:t>
      </w:r>
      <w:r w:rsidRPr="008A1551">
        <w:rPr>
          <w:color w:val="000000"/>
          <w:sz w:val="24"/>
        </w:rPr>
        <w:t>2019</w:t>
      </w:r>
      <w:r w:rsidRPr="008A1551">
        <w:rPr>
          <w:color w:val="000000"/>
          <w:sz w:val="24"/>
        </w:rPr>
        <w:t>年</w:t>
      </w:r>
      <w:r w:rsidRPr="008A1551">
        <w:rPr>
          <w:color w:val="000000"/>
          <w:sz w:val="24"/>
        </w:rPr>
        <w:t>7</w:t>
      </w:r>
      <w:r w:rsidRPr="008A1551">
        <w:rPr>
          <w:color w:val="000000"/>
          <w:sz w:val="24"/>
        </w:rPr>
        <w:t>月</w:t>
      </w:r>
      <w:r w:rsidRPr="008A1551">
        <w:rPr>
          <w:color w:val="000000"/>
          <w:sz w:val="24"/>
        </w:rPr>
        <w:t>1</w:t>
      </w:r>
      <w:r w:rsidRPr="008A1551">
        <w:rPr>
          <w:color w:val="000000"/>
          <w:sz w:val="24"/>
        </w:rPr>
        <w:t>日到期。该类交易要求本基金转入质押库的债券，按证券交易所规定的比例折算为标准券后，不低于债券回购交易的余额。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8A1551">
        <w:rPr>
          <w:b/>
          <w:bCs/>
          <w:szCs w:val="24"/>
          <w:lang w:val="en-US"/>
        </w:rPr>
        <w:t xml:space="preserve">7  </w:t>
      </w:r>
      <w:r w:rsidRPr="008A1551">
        <w:rPr>
          <w:b/>
          <w:bCs/>
          <w:szCs w:val="24"/>
          <w:lang w:val="en-US"/>
        </w:rPr>
        <w:t>投资组合报告</w:t>
      </w:r>
      <w:bookmarkEnd w:id="55"/>
      <w:bookmarkEnd w:id="56"/>
    </w:p>
    <w:p w:rsidR="001548F9" w:rsidRPr="008A1551" w:rsidRDefault="001548F9" w:rsidP="009E1EA4">
      <w:pPr>
        <w:pStyle w:val="20"/>
        <w:spacing w:before="29" w:after="0" w:line="288" w:lineRule="auto"/>
        <w:rPr>
          <w:rFonts w:ascii="Times New Roman" w:hAnsi="Times New Roman"/>
          <w:kern w:val="0"/>
          <w:szCs w:val="24"/>
        </w:rPr>
      </w:pPr>
      <w:bookmarkStart w:id="57" w:name="_Toc331410102"/>
      <w:bookmarkStart w:id="58"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7"/>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597,806,250.39</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96.44</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597,806,250.39</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96.44</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0C405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12,721,849.73</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2.05</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9,323,034.26</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1.50</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619,851,134.38</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9" w:name="_Toc331410103"/>
      <w:bookmarkStart w:id="60"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9"/>
      <w:bookmarkEnd w:id="60"/>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61"/>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p>
    <w:p w:rsidR="001548F9" w:rsidRPr="008A1551" w:rsidRDefault="001548F9" w:rsidP="009E1EA4">
      <w:pPr>
        <w:pStyle w:val="20"/>
        <w:spacing w:before="29" w:after="0" w:line="288" w:lineRule="auto"/>
        <w:rPr>
          <w:rFonts w:ascii="Times New Roman" w:hAnsi="Times New Roman"/>
          <w:kern w:val="0"/>
          <w:szCs w:val="24"/>
        </w:rPr>
      </w:pPr>
      <w:bookmarkStart w:id="62" w:name="_Toc331410105"/>
      <w:r w:rsidRPr="008A1551">
        <w:rPr>
          <w:rFonts w:ascii="Times New Roman" w:hAnsi="Times New Roman"/>
          <w:kern w:val="0"/>
          <w:szCs w:val="24"/>
        </w:rPr>
        <w:t>7.4</w:t>
      </w:r>
      <w:bookmarkStart w:id="63" w:name="_Toc234814103"/>
      <w:r w:rsidRPr="008A1551">
        <w:rPr>
          <w:rFonts w:ascii="Times New Roman" w:hAnsi="Times New Roman"/>
          <w:kern w:val="0"/>
          <w:szCs w:val="24"/>
        </w:rPr>
        <w:t>报告期内股票投资组合的重大变动</w:t>
      </w:r>
      <w:bookmarkEnd w:id="62"/>
      <w:bookmarkEnd w:id="63"/>
    </w:p>
    <w:p w:rsidR="001548F9" w:rsidRPr="008A1551" w:rsidRDefault="001548F9" w:rsidP="009E1EA4">
      <w:pPr>
        <w:tabs>
          <w:tab w:val="left" w:pos="426"/>
        </w:tabs>
        <w:spacing w:before="29" w:line="288" w:lineRule="auto"/>
        <w:jc w:val="left"/>
        <w:rPr>
          <w:kern w:val="0"/>
          <w:sz w:val="24"/>
        </w:rPr>
      </w:pPr>
      <w:bookmarkStart w:id="64" w:name="_GoBack"/>
      <w:bookmarkEnd w:id="64"/>
      <w:r w:rsidRPr="008A1551">
        <w:rPr>
          <w:kern w:val="0"/>
          <w:sz w:val="24"/>
        </w:rPr>
        <w:t>本基金本报告期内未持有股票。</w:t>
      </w:r>
    </w:p>
    <w:p w:rsidR="001548F9" w:rsidRPr="008A1551" w:rsidRDefault="001548F9" w:rsidP="009E1EA4">
      <w:pPr>
        <w:pStyle w:val="20"/>
        <w:spacing w:before="29" w:after="0" w:line="288" w:lineRule="auto"/>
        <w:rPr>
          <w:rFonts w:ascii="Times New Roman" w:hAnsi="Times New Roman"/>
          <w:kern w:val="0"/>
          <w:szCs w:val="24"/>
        </w:rPr>
      </w:pPr>
      <w:bookmarkStart w:id="65" w:name="_Toc331410106"/>
      <w:bookmarkStart w:id="66"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5"/>
      <w:bookmarkEnd w:id="66"/>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25,979,200.00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5.54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19,590,000.00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4.18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19,590,000.00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4.18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182,075,000.00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38.81</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70,272,000.00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14.98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243,001,000.00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51.80</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56,889,050.39</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12.13</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597,806,250.39</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127.44</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7" w:name="_Toc331410107"/>
      <w:r w:rsidRPr="008A1551">
        <w:rPr>
          <w:rFonts w:ascii="Times New Roman" w:hAnsi="Times New Roman"/>
          <w:kern w:val="0"/>
          <w:szCs w:val="24"/>
        </w:rPr>
        <w:t>7.6</w:t>
      </w:r>
      <w:bookmarkStart w:id="68"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7"/>
      <w:bookmarkEnd w:id="6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1D6EDA">
        <w:tc>
          <w:tcPr>
            <w:tcW w:w="1320" w:type="dxa"/>
            <w:vAlign w:val="center"/>
          </w:tcPr>
          <w:p w:rsidR="001D6EDA" w:rsidRDefault="00DD400B">
            <w:pPr>
              <w:jc w:val="center"/>
            </w:pPr>
            <w:r>
              <w:rPr>
                <w:color w:val="000000"/>
                <w:sz w:val="24"/>
              </w:rPr>
              <w:t>1</w:t>
            </w:r>
          </w:p>
        </w:tc>
        <w:tc>
          <w:tcPr>
            <w:tcW w:w="1382" w:type="dxa"/>
            <w:vAlign w:val="center"/>
          </w:tcPr>
          <w:p w:rsidR="001D6EDA" w:rsidRDefault="00DD400B">
            <w:pPr>
              <w:jc w:val="center"/>
            </w:pPr>
            <w:r>
              <w:rPr>
                <w:color w:val="000000"/>
                <w:sz w:val="24"/>
              </w:rPr>
              <w:t>101800820</w:t>
            </w:r>
          </w:p>
        </w:tc>
        <w:tc>
          <w:tcPr>
            <w:tcW w:w="1353" w:type="dxa"/>
            <w:vAlign w:val="center"/>
          </w:tcPr>
          <w:p w:rsidR="001D6EDA" w:rsidRDefault="00DD400B">
            <w:pPr>
              <w:jc w:val="center"/>
            </w:pPr>
            <w:r>
              <w:rPr>
                <w:color w:val="000000"/>
                <w:sz w:val="24"/>
              </w:rPr>
              <w:t>18</w:t>
            </w:r>
            <w:r>
              <w:rPr>
                <w:color w:val="000000"/>
                <w:sz w:val="24"/>
              </w:rPr>
              <w:t>良渚文化</w:t>
            </w:r>
            <w:r>
              <w:rPr>
                <w:color w:val="000000"/>
                <w:sz w:val="24"/>
              </w:rPr>
              <w:t>MTN001</w:t>
            </w:r>
          </w:p>
        </w:tc>
        <w:tc>
          <w:tcPr>
            <w:tcW w:w="1505" w:type="dxa"/>
            <w:vAlign w:val="center"/>
          </w:tcPr>
          <w:p w:rsidR="001D6EDA" w:rsidRDefault="00DD400B">
            <w:pPr>
              <w:jc w:val="right"/>
            </w:pPr>
            <w:r>
              <w:rPr>
                <w:color w:val="000000"/>
                <w:sz w:val="24"/>
              </w:rPr>
              <w:t>300,000</w:t>
            </w:r>
          </w:p>
        </w:tc>
        <w:tc>
          <w:tcPr>
            <w:tcW w:w="1737" w:type="dxa"/>
            <w:vAlign w:val="center"/>
          </w:tcPr>
          <w:p w:rsidR="001D6EDA" w:rsidRDefault="00DD400B">
            <w:pPr>
              <w:jc w:val="right"/>
            </w:pPr>
            <w:r>
              <w:rPr>
                <w:color w:val="000000"/>
                <w:sz w:val="24"/>
              </w:rPr>
              <w:t>30,726,000.00</w:t>
            </w:r>
          </w:p>
        </w:tc>
        <w:tc>
          <w:tcPr>
            <w:tcW w:w="1701" w:type="dxa"/>
            <w:vAlign w:val="center"/>
          </w:tcPr>
          <w:p w:rsidR="001D6EDA" w:rsidRDefault="00DD400B">
            <w:pPr>
              <w:jc w:val="right"/>
            </w:pPr>
            <w:r>
              <w:rPr>
                <w:color w:val="000000"/>
                <w:sz w:val="24"/>
              </w:rPr>
              <w:t>6.55</w:t>
            </w:r>
          </w:p>
        </w:tc>
      </w:tr>
      <w:tr w:rsidR="001D6EDA">
        <w:tc>
          <w:tcPr>
            <w:tcW w:w="1320" w:type="dxa"/>
            <w:vAlign w:val="center"/>
          </w:tcPr>
          <w:p w:rsidR="001D6EDA" w:rsidRDefault="00DD400B">
            <w:pPr>
              <w:jc w:val="center"/>
            </w:pPr>
            <w:r>
              <w:rPr>
                <w:color w:val="000000"/>
                <w:sz w:val="24"/>
              </w:rPr>
              <w:t>2</w:t>
            </w:r>
          </w:p>
        </w:tc>
        <w:tc>
          <w:tcPr>
            <w:tcW w:w="1382" w:type="dxa"/>
            <w:vAlign w:val="center"/>
          </w:tcPr>
          <w:p w:rsidR="001D6EDA" w:rsidRDefault="00DD400B">
            <w:pPr>
              <w:jc w:val="center"/>
            </w:pPr>
            <w:r>
              <w:rPr>
                <w:color w:val="000000"/>
                <w:sz w:val="24"/>
              </w:rPr>
              <w:t>011900006</w:t>
            </w:r>
          </w:p>
        </w:tc>
        <w:tc>
          <w:tcPr>
            <w:tcW w:w="1353" w:type="dxa"/>
            <w:vAlign w:val="center"/>
          </w:tcPr>
          <w:p w:rsidR="001D6EDA" w:rsidRDefault="00DD400B">
            <w:pPr>
              <w:jc w:val="center"/>
            </w:pPr>
            <w:r>
              <w:rPr>
                <w:color w:val="000000"/>
                <w:sz w:val="24"/>
              </w:rPr>
              <w:t>19</w:t>
            </w:r>
            <w:r>
              <w:rPr>
                <w:color w:val="000000"/>
                <w:sz w:val="24"/>
              </w:rPr>
              <w:t>港兴港投</w:t>
            </w:r>
            <w:r>
              <w:rPr>
                <w:color w:val="000000"/>
                <w:sz w:val="24"/>
              </w:rPr>
              <w:t>SCP001</w:t>
            </w:r>
          </w:p>
        </w:tc>
        <w:tc>
          <w:tcPr>
            <w:tcW w:w="1505" w:type="dxa"/>
            <w:vAlign w:val="center"/>
          </w:tcPr>
          <w:p w:rsidR="001D6EDA" w:rsidRDefault="00DD400B">
            <w:pPr>
              <w:jc w:val="right"/>
            </w:pPr>
            <w:r>
              <w:rPr>
                <w:color w:val="000000"/>
                <w:sz w:val="24"/>
              </w:rPr>
              <w:t>300,000</w:t>
            </w:r>
          </w:p>
        </w:tc>
        <w:tc>
          <w:tcPr>
            <w:tcW w:w="1737" w:type="dxa"/>
            <w:vAlign w:val="center"/>
          </w:tcPr>
          <w:p w:rsidR="001D6EDA" w:rsidRDefault="00DD400B">
            <w:pPr>
              <w:jc w:val="right"/>
            </w:pPr>
            <w:r>
              <w:rPr>
                <w:color w:val="000000"/>
                <w:sz w:val="24"/>
              </w:rPr>
              <w:t>30,156,000.00</w:t>
            </w:r>
          </w:p>
        </w:tc>
        <w:tc>
          <w:tcPr>
            <w:tcW w:w="1701" w:type="dxa"/>
            <w:vAlign w:val="center"/>
          </w:tcPr>
          <w:p w:rsidR="001D6EDA" w:rsidRDefault="00DD400B">
            <w:pPr>
              <w:jc w:val="right"/>
            </w:pPr>
            <w:r>
              <w:rPr>
                <w:color w:val="000000"/>
                <w:sz w:val="24"/>
              </w:rPr>
              <w:t>6.43</w:t>
            </w:r>
          </w:p>
        </w:tc>
      </w:tr>
      <w:tr w:rsidR="001D6EDA">
        <w:tc>
          <w:tcPr>
            <w:tcW w:w="1320" w:type="dxa"/>
            <w:vAlign w:val="center"/>
          </w:tcPr>
          <w:p w:rsidR="001D6EDA" w:rsidRDefault="00DD400B">
            <w:pPr>
              <w:jc w:val="center"/>
            </w:pPr>
            <w:r>
              <w:rPr>
                <w:color w:val="000000"/>
                <w:sz w:val="24"/>
              </w:rPr>
              <w:t>3</w:t>
            </w:r>
          </w:p>
        </w:tc>
        <w:tc>
          <w:tcPr>
            <w:tcW w:w="1382" w:type="dxa"/>
            <w:vAlign w:val="center"/>
          </w:tcPr>
          <w:p w:rsidR="001D6EDA" w:rsidRDefault="00DD400B">
            <w:pPr>
              <w:jc w:val="center"/>
            </w:pPr>
            <w:r>
              <w:rPr>
                <w:color w:val="000000"/>
                <w:sz w:val="24"/>
              </w:rPr>
              <w:t>101900082</w:t>
            </w:r>
          </w:p>
        </w:tc>
        <w:tc>
          <w:tcPr>
            <w:tcW w:w="1353" w:type="dxa"/>
            <w:vAlign w:val="center"/>
          </w:tcPr>
          <w:p w:rsidR="001D6EDA" w:rsidRDefault="00DD400B">
            <w:pPr>
              <w:jc w:val="center"/>
            </w:pPr>
            <w:r>
              <w:rPr>
                <w:color w:val="000000"/>
                <w:sz w:val="24"/>
              </w:rPr>
              <w:t>19</w:t>
            </w:r>
            <w:r>
              <w:rPr>
                <w:color w:val="000000"/>
                <w:sz w:val="24"/>
              </w:rPr>
              <w:t>申能集</w:t>
            </w:r>
            <w:r>
              <w:rPr>
                <w:color w:val="000000"/>
                <w:sz w:val="24"/>
              </w:rPr>
              <w:t>MTN001</w:t>
            </w:r>
          </w:p>
        </w:tc>
        <w:tc>
          <w:tcPr>
            <w:tcW w:w="1505" w:type="dxa"/>
            <w:vAlign w:val="center"/>
          </w:tcPr>
          <w:p w:rsidR="001D6EDA" w:rsidRDefault="00DD400B">
            <w:pPr>
              <w:jc w:val="right"/>
            </w:pPr>
            <w:r>
              <w:rPr>
                <w:color w:val="000000"/>
                <w:sz w:val="24"/>
              </w:rPr>
              <w:t>300,000</w:t>
            </w:r>
          </w:p>
        </w:tc>
        <w:tc>
          <w:tcPr>
            <w:tcW w:w="1737" w:type="dxa"/>
            <w:vAlign w:val="center"/>
          </w:tcPr>
          <w:p w:rsidR="001D6EDA" w:rsidRDefault="00DD400B">
            <w:pPr>
              <w:jc w:val="right"/>
            </w:pPr>
            <w:r>
              <w:rPr>
                <w:color w:val="000000"/>
                <w:sz w:val="24"/>
              </w:rPr>
              <w:t>29,943,000.00</w:t>
            </w:r>
          </w:p>
        </w:tc>
        <w:tc>
          <w:tcPr>
            <w:tcW w:w="1701" w:type="dxa"/>
            <w:vAlign w:val="center"/>
          </w:tcPr>
          <w:p w:rsidR="001D6EDA" w:rsidRDefault="00DD400B">
            <w:pPr>
              <w:jc w:val="right"/>
            </w:pPr>
            <w:r>
              <w:rPr>
                <w:color w:val="000000"/>
                <w:sz w:val="24"/>
              </w:rPr>
              <w:t>6.38</w:t>
            </w:r>
          </w:p>
        </w:tc>
      </w:tr>
      <w:tr w:rsidR="001D6EDA">
        <w:tc>
          <w:tcPr>
            <w:tcW w:w="1320" w:type="dxa"/>
            <w:vAlign w:val="center"/>
          </w:tcPr>
          <w:p w:rsidR="001D6EDA" w:rsidRDefault="00DD400B">
            <w:pPr>
              <w:jc w:val="center"/>
            </w:pPr>
            <w:r>
              <w:rPr>
                <w:color w:val="000000"/>
                <w:sz w:val="24"/>
              </w:rPr>
              <w:t>4</w:t>
            </w:r>
          </w:p>
        </w:tc>
        <w:tc>
          <w:tcPr>
            <w:tcW w:w="1382" w:type="dxa"/>
            <w:vAlign w:val="center"/>
          </w:tcPr>
          <w:p w:rsidR="001D6EDA" w:rsidRDefault="00DD400B">
            <w:pPr>
              <w:jc w:val="center"/>
            </w:pPr>
            <w:r>
              <w:rPr>
                <w:color w:val="000000"/>
                <w:sz w:val="24"/>
              </w:rPr>
              <w:t>019611</w:t>
            </w:r>
          </w:p>
        </w:tc>
        <w:tc>
          <w:tcPr>
            <w:tcW w:w="1353" w:type="dxa"/>
            <w:vAlign w:val="center"/>
          </w:tcPr>
          <w:p w:rsidR="001D6EDA" w:rsidRDefault="00DD400B">
            <w:pPr>
              <w:jc w:val="center"/>
            </w:pPr>
            <w:r>
              <w:rPr>
                <w:color w:val="000000"/>
                <w:sz w:val="24"/>
              </w:rPr>
              <w:t>19</w:t>
            </w:r>
            <w:r>
              <w:rPr>
                <w:color w:val="000000"/>
                <w:sz w:val="24"/>
              </w:rPr>
              <w:t>国债</w:t>
            </w:r>
            <w:r>
              <w:rPr>
                <w:color w:val="000000"/>
                <w:sz w:val="24"/>
              </w:rPr>
              <w:t>01</w:t>
            </w:r>
          </w:p>
        </w:tc>
        <w:tc>
          <w:tcPr>
            <w:tcW w:w="1505" w:type="dxa"/>
            <w:vAlign w:val="center"/>
          </w:tcPr>
          <w:p w:rsidR="001D6EDA" w:rsidRDefault="00DD400B">
            <w:pPr>
              <w:jc w:val="right"/>
            </w:pPr>
            <w:r>
              <w:rPr>
                <w:color w:val="000000"/>
                <w:sz w:val="24"/>
              </w:rPr>
              <w:t>260,000</w:t>
            </w:r>
          </w:p>
        </w:tc>
        <w:tc>
          <w:tcPr>
            <w:tcW w:w="1737" w:type="dxa"/>
            <w:vAlign w:val="center"/>
          </w:tcPr>
          <w:p w:rsidR="001D6EDA" w:rsidRDefault="00DD400B">
            <w:pPr>
              <w:jc w:val="right"/>
            </w:pPr>
            <w:r>
              <w:rPr>
                <w:color w:val="000000"/>
                <w:sz w:val="24"/>
              </w:rPr>
              <w:t>25,979,200.00</w:t>
            </w:r>
          </w:p>
        </w:tc>
        <w:tc>
          <w:tcPr>
            <w:tcW w:w="1701" w:type="dxa"/>
            <w:vAlign w:val="center"/>
          </w:tcPr>
          <w:p w:rsidR="001D6EDA" w:rsidRDefault="00DD400B">
            <w:pPr>
              <w:jc w:val="right"/>
            </w:pPr>
            <w:r>
              <w:rPr>
                <w:color w:val="000000"/>
                <w:sz w:val="24"/>
              </w:rPr>
              <w:t>5.54</w:t>
            </w:r>
          </w:p>
        </w:tc>
      </w:tr>
      <w:tr w:rsidR="001D6EDA">
        <w:tc>
          <w:tcPr>
            <w:tcW w:w="1320" w:type="dxa"/>
            <w:vAlign w:val="center"/>
          </w:tcPr>
          <w:p w:rsidR="001D6EDA" w:rsidRDefault="00DD400B">
            <w:pPr>
              <w:jc w:val="center"/>
            </w:pPr>
            <w:r>
              <w:rPr>
                <w:color w:val="000000"/>
                <w:sz w:val="24"/>
              </w:rPr>
              <w:t>5</w:t>
            </w:r>
          </w:p>
        </w:tc>
        <w:tc>
          <w:tcPr>
            <w:tcW w:w="1382" w:type="dxa"/>
            <w:vAlign w:val="center"/>
          </w:tcPr>
          <w:p w:rsidR="001D6EDA" w:rsidRDefault="00DD400B">
            <w:pPr>
              <w:jc w:val="center"/>
            </w:pPr>
            <w:r>
              <w:rPr>
                <w:color w:val="000000"/>
                <w:sz w:val="24"/>
              </w:rPr>
              <w:t>143496</w:t>
            </w:r>
          </w:p>
        </w:tc>
        <w:tc>
          <w:tcPr>
            <w:tcW w:w="1353" w:type="dxa"/>
            <w:vAlign w:val="center"/>
          </w:tcPr>
          <w:p w:rsidR="001D6EDA" w:rsidRDefault="00DD400B">
            <w:pPr>
              <w:jc w:val="center"/>
            </w:pPr>
            <w:r>
              <w:rPr>
                <w:color w:val="000000"/>
                <w:sz w:val="24"/>
              </w:rPr>
              <w:t>18</w:t>
            </w:r>
            <w:r>
              <w:rPr>
                <w:color w:val="000000"/>
                <w:sz w:val="24"/>
              </w:rPr>
              <w:t>沪资</w:t>
            </w:r>
            <w:r>
              <w:rPr>
                <w:color w:val="000000"/>
                <w:sz w:val="24"/>
              </w:rPr>
              <w:t>01</w:t>
            </w:r>
          </w:p>
        </w:tc>
        <w:tc>
          <w:tcPr>
            <w:tcW w:w="1505" w:type="dxa"/>
            <w:vAlign w:val="center"/>
          </w:tcPr>
          <w:p w:rsidR="001D6EDA" w:rsidRDefault="00DD400B">
            <w:pPr>
              <w:jc w:val="right"/>
            </w:pPr>
            <w:r>
              <w:rPr>
                <w:color w:val="000000"/>
                <w:sz w:val="24"/>
              </w:rPr>
              <w:t>200,000</w:t>
            </w:r>
          </w:p>
        </w:tc>
        <w:tc>
          <w:tcPr>
            <w:tcW w:w="1737" w:type="dxa"/>
            <w:vAlign w:val="center"/>
          </w:tcPr>
          <w:p w:rsidR="001D6EDA" w:rsidRDefault="00DD400B">
            <w:pPr>
              <w:jc w:val="right"/>
            </w:pPr>
            <w:r>
              <w:rPr>
                <w:color w:val="000000"/>
                <w:sz w:val="24"/>
              </w:rPr>
              <w:t>20,670,000.00</w:t>
            </w:r>
          </w:p>
        </w:tc>
        <w:tc>
          <w:tcPr>
            <w:tcW w:w="1701" w:type="dxa"/>
            <w:vAlign w:val="center"/>
          </w:tcPr>
          <w:p w:rsidR="001D6EDA" w:rsidRDefault="00DD400B">
            <w:pPr>
              <w:jc w:val="right"/>
            </w:pPr>
            <w:r>
              <w:rPr>
                <w:color w:val="000000"/>
                <w:sz w:val="24"/>
              </w:rPr>
              <w:t>4.41</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9"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9"/>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70"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70"/>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71"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71"/>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72"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72"/>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33,716.60</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9,278,785.96</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10,531.70</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9,323,034.26</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1828"/>
        <w:gridCol w:w="1752"/>
        <w:gridCol w:w="1794"/>
        <w:gridCol w:w="1713"/>
      </w:tblGrid>
      <w:tr w:rsidR="001548F9" w:rsidRPr="008A1551" w:rsidTr="00132337">
        <w:tc>
          <w:tcPr>
            <w:tcW w:w="180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729"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65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69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21" w:type="dxa"/>
            <w:vAlign w:val="center"/>
          </w:tcPr>
          <w:p w:rsidR="001548F9" w:rsidRPr="008A1551" w:rsidRDefault="001548F9" w:rsidP="007C0927">
            <w:pPr>
              <w:spacing w:before="29" w:line="288" w:lineRule="auto"/>
              <w:ind w:left="17"/>
              <w:jc w:val="center"/>
              <w:rPr>
                <w:color w:val="000000"/>
                <w:sz w:val="24"/>
              </w:rPr>
            </w:pPr>
            <w:r w:rsidRPr="008A1551">
              <w:rPr>
                <w:color w:val="000000"/>
                <w:sz w:val="24"/>
              </w:rPr>
              <w:t>占基金资产净值比例</w:t>
            </w:r>
            <w:r w:rsidR="0078555B" w:rsidRPr="008A1551">
              <w:rPr>
                <w:color w:val="000000"/>
                <w:sz w:val="24"/>
              </w:rPr>
              <w:t>（％）</w:t>
            </w:r>
          </w:p>
        </w:tc>
      </w:tr>
      <w:tr w:rsidR="001D6EDA">
        <w:tc>
          <w:tcPr>
            <w:tcW w:w="1911" w:type="dxa"/>
            <w:vAlign w:val="center"/>
          </w:tcPr>
          <w:p w:rsidR="001D6EDA" w:rsidRDefault="00DD400B">
            <w:pPr>
              <w:jc w:val="center"/>
            </w:pPr>
            <w:r>
              <w:rPr>
                <w:color w:val="000000"/>
                <w:sz w:val="24"/>
              </w:rPr>
              <w:t>1</w:t>
            </w:r>
          </w:p>
        </w:tc>
        <w:tc>
          <w:tcPr>
            <w:tcW w:w="1828" w:type="dxa"/>
            <w:vAlign w:val="center"/>
          </w:tcPr>
          <w:p w:rsidR="001D6EDA" w:rsidRDefault="00DD400B">
            <w:pPr>
              <w:jc w:val="center"/>
            </w:pPr>
            <w:r>
              <w:rPr>
                <w:color w:val="000000"/>
                <w:sz w:val="24"/>
              </w:rPr>
              <w:t>110041</w:t>
            </w:r>
          </w:p>
        </w:tc>
        <w:tc>
          <w:tcPr>
            <w:tcW w:w="1752" w:type="dxa"/>
            <w:vAlign w:val="center"/>
          </w:tcPr>
          <w:p w:rsidR="001D6EDA" w:rsidRDefault="00DD400B">
            <w:pPr>
              <w:jc w:val="center"/>
            </w:pPr>
            <w:r>
              <w:rPr>
                <w:color w:val="000000"/>
                <w:sz w:val="24"/>
              </w:rPr>
              <w:t>蒙电转债</w:t>
            </w:r>
          </w:p>
        </w:tc>
        <w:tc>
          <w:tcPr>
            <w:tcW w:w="1794" w:type="dxa"/>
            <w:vAlign w:val="center"/>
          </w:tcPr>
          <w:p w:rsidR="001D6EDA" w:rsidRDefault="00DD400B">
            <w:pPr>
              <w:jc w:val="right"/>
            </w:pPr>
            <w:r>
              <w:rPr>
                <w:color w:val="000000"/>
                <w:sz w:val="24"/>
              </w:rPr>
              <w:t>7,013,430.00</w:t>
            </w:r>
          </w:p>
        </w:tc>
        <w:tc>
          <w:tcPr>
            <w:tcW w:w="1713" w:type="dxa"/>
            <w:vAlign w:val="center"/>
          </w:tcPr>
          <w:p w:rsidR="001D6EDA" w:rsidRDefault="00DD400B">
            <w:pPr>
              <w:jc w:val="right"/>
            </w:pPr>
            <w:r>
              <w:rPr>
                <w:color w:val="000000"/>
                <w:sz w:val="24"/>
              </w:rPr>
              <w:t>1.50</w:t>
            </w:r>
          </w:p>
        </w:tc>
      </w:tr>
      <w:tr w:rsidR="001D6EDA">
        <w:tc>
          <w:tcPr>
            <w:tcW w:w="1911" w:type="dxa"/>
            <w:vAlign w:val="center"/>
          </w:tcPr>
          <w:p w:rsidR="001D6EDA" w:rsidRDefault="00DD400B">
            <w:pPr>
              <w:jc w:val="center"/>
            </w:pPr>
            <w:r>
              <w:rPr>
                <w:color w:val="000000"/>
                <w:sz w:val="24"/>
              </w:rPr>
              <w:t>2</w:t>
            </w:r>
          </w:p>
        </w:tc>
        <w:tc>
          <w:tcPr>
            <w:tcW w:w="1828" w:type="dxa"/>
            <w:vAlign w:val="center"/>
          </w:tcPr>
          <w:p w:rsidR="001D6EDA" w:rsidRDefault="00DD400B">
            <w:pPr>
              <w:jc w:val="center"/>
            </w:pPr>
            <w:r>
              <w:rPr>
                <w:color w:val="000000"/>
                <w:sz w:val="24"/>
              </w:rPr>
              <w:t>113011</w:t>
            </w:r>
          </w:p>
        </w:tc>
        <w:tc>
          <w:tcPr>
            <w:tcW w:w="1752" w:type="dxa"/>
            <w:vAlign w:val="center"/>
          </w:tcPr>
          <w:p w:rsidR="001D6EDA" w:rsidRDefault="00DD400B">
            <w:pPr>
              <w:jc w:val="center"/>
            </w:pPr>
            <w:r>
              <w:rPr>
                <w:color w:val="000000"/>
                <w:sz w:val="24"/>
              </w:rPr>
              <w:t>光大转债</w:t>
            </w:r>
          </w:p>
        </w:tc>
        <w:tc>
          <w:tcPr>
            <w:tcW w:w="1794" w:type="dxa"/>
            <w:vAlign w:val="center"/>
          </w:tcPr>
          <w:p w:rsidR="001D6EDA" w:rsidRDefault="00DD400B">
            <w:pPr>
              <w:jc w:val="right"/>
            </w:pPr>
            <w:r>
              <w:rPr>
                <w:color w:val="000000"/>
                <w:sz w:val="24"/>
              </w:rPr>
              <w:t>5,025,424.00</w:t>
            </w:r>
          </w:p>
        </w:tc>
        <w:tc>
          <w:tcPr>
            <w:tcW w:w="1713" w:type="dxa"/>
            <w:vAlign w:val="center"/>
          </w:tcPr>
          <w:p w:rsidR="001D6EDA" w:rsidRDefault="00DD400B">
            <w:pPr>
              <w:jc w:val="right"/>
            </w:pPr>
            <w:r>
              <w:rPr>
                <w:color w:val="000000"/>
                <w:sz w:val="24"/>
              </w:rPr>
              <w:t>1.07</w:t>
            </w:r>
          </w:p>
        </w:tc>
      </w:tr>
      <w:tr w:rsidR="001D6EDA">
        <w:tc>
          <w:tcPr>
            <w:tcW w:w="1911" w:type="dxa"/>
            <w:vAlign w:val="center"/>
          </w:tcPr>
          <w:p w:rsidR="001D6EDA" w:rsidRDefault="00DD400B">
            <w:pPr>
              <w:jc w:val="center"/>
            </w:pPr>
            <w:r>
              <w:rPr>
                <w:color w:val="000000"/>
                <w:sz w:val="24"/>
              </w:rPr>
              <w:t>3</w:t>
            </w:r>
          </w:p>
        </w:tc>
        <w:tc>
          <w:tcPr>
            <w:tcW w:w="1828" w:type="dxa"/>
            <w:vAlign w:val="center"/>
          </w:tcPr>
          <w:p w:rsidR="001D6EDA" w:rsidRDefault="00DD400B">
            <w:pPr>
              <w:jc w:val="center"/>
            </w:pPr>
            <w:r>
              <w:rPr>
                <w:color w:val="000000"/>
                <w:sz w:val="24"/>
              </w:rPr>
              <w:t>128045</w:t>
            </w:r>
          </w:p>
        </w:tc>
        <w:tc>
          <w:tcPr>
            <w:tcW w:w="1752" w:type="dxa"/>
            <w:vAlign w:val="center"/>
          </w:tcPr>
          <w:p w:rsidR="001D6EDA" w:rsidRDefault="00DD400B">
            <w:pPr>
              <w:jc w:val="center"/>
            </w:pPr>
            <w:r>
              <w:rPr>
                <w:color w:val="000000"/>
                <w:sz w:val="24"/>
              </w:rPr>
              <w:t>机电转债</w:t>
            </w:r>
          </w:p>
        </w:tc>
        <w:tc>
          <w:tcPr>
            <w:tcW w:w="1794" w:type="dxa"/>
            <w:vAlign w:val="center"/>
          </w:tcPr>
          <w:p w:rsidR="001D6EDA" w:rsidRDefault="00DD400B">
            <w:pPr>
              <w:jc w:val="right"/>
            </w:pPr>
            <w:r>
              <w:rPr>
                <w:color w:val="000000"/>
                <w:sz w:val="24"/>
              </w:rPr>
              <w:t>3,392,023.04</w:t>
            </w:r>
          </w:p>
        </w:tc>
        <w:tc>
          <w:tcPr>
            <w:tcW w:w="1713" w:type="dxa"/>
            <w:vAlign w:val="center"/>
          </w:tcPr>
          <w:p w:rsidR="001D6EDA" w:rsidRDefault="00DD400B">
            <w:pPr>
              <w:jc w:val="right"/>
            </w:pPr>
            <w:r>
              <w:rPr>
                <w:color w:val="000000"/>
                <w:sz w:val="24"/>
              </w:rPr>
              <w:t>0.72</w:t>
            </w:r>
          </w:p>
        </w:tc>
      </w:tr>
      <w:tr w:rsidR="001D6EDA">
        <w:tc>
          <w:tcPr>
            <w:tcW w:w="1911" w:type="dxa"/>
            <w:vAlign w:val="center"/>
          </w:tcPr>
          <w:p w:rsidR="001D6EDA" w:rsidRDefault="00DD400B">
            <w:pPr>
              <w:jc w:val="center"/>
            </w:pPr>
            <w:r>
              <w:rPr>
                <w:color w:val="000000"/>
                <w:sz w:val="24"/>
              </w:rPr>
              <w:t>4</w:t>
            </w:r>
          </w:p>
        </w:tc>
        <w:tc>
          <w:tcPr>
            <w:tcW w:w="1828" w:type="dxa"/>
            <w:vAlign w:val="center"/>
          </w:tcPr>
          <w:p w:rsidR="001D6EDA" w:rsidRDefault="00DD400B">
            <w:pPr>
              <w:jc w:val="center"/>
            </w:pPr>
            <w:r>
              <w:rPr>
                <w:color w:val="000000"/>
                <w:sz w:val="24"/>
              </w:rPr>
              <w:t>110047</w:t>
            </w:r>
          </w:p>
        </w:tc>
        <w:tc>
          <w:tcPr>
            <w:tcW w:w="1752" w:type="dxa"/>
            <w:vAlign w:val="center"/>
          </w:tcPr>
          <w:p w:rsidR="001D6EDA" w:rsidRDefault="00DD400B">
            <w:pPr>
              <w:jc w:val="center"/>
            </w:pPr>
            <w:r>
              <w:rPr>
                <w:color w:val="000000"/>
                <w:sz w:val="24"/>
              </w:rPr>
              <w:t>山鹰转债</w:t>
            </w:r>
          </w:p>
        </w:tc>
        <w:tc>
          <w:tcPr>
            <w:tcW w:w="1794" w:type="dxa"/>
            <w:vAlign w:val="center"/>
          </w:tcPr>
          <w:p w:rsidR="001D6EDA" w:rsidRDefault="00DD400B">
            <w:pPr>
              <w:jc w:val="right"/>
            </w:pPr>
            <w:r>
              <w:rPr>
                <w:color w:val="000000"/>
                <w:sz w:val="24"/>
              </w:rPr>
              <w:t>2,555,593.30</w:t>
            </w:r>
          </w:p>
        </w:tc>
        <w:tc>
          <w:tcPr>
            <w:tcW w:w="1713" w:type="dxa"/>
            <w:vAlign w:val="center"/>
          </w:tcPr>
          <w:p w:rsidR="001D6EDA" w:rsidRDefault="00DD400B">
            <w:pPr>
              <w:jc w:val="right"/>
            </w:pPr>
            <w:r>
              <w:rPr>
                <w:color w:val="000000"/>
                <w:sz w:val="24"/>
              </w:rPr>
              <w:t>0.54</w:t>
            </w:r>
          </w:p>
        </w:tc>
      </w:tr>
      <w:tr w:rsidR="001D6EDA">
        <w:tc>
          <w:tcPr>
            <w:tcW w:w="1911" w:type="dxa"/>
            <w:vAlign w:val="center"/>
          </w:tcPr>
          <w:p w:rsidR="001D6EDA" w:rsidRDefault="00DD400B">
            <w:pPr>
              <w:jc w:val="center"/>
            </w:pPr>
            <w:r>
              <w:rPr>
                <w:color w:val="000000"/>
                <w:sz w:val="24"/>
              </w:rPr>
              <w:t>5</w:t>
            </w:r>
          </w:p>
        </w:tc>
        <w:tc>
          <w:tcPr>
            <w:tcW w:w="1828" w:type="dxa"/>
            <w:vAlign w:val="center"/>
          </w:tcPr>
          <w:p w:rsidR="001D6EDA" w:rsidRDefault="00DD400B">
            <w:pPr>
              <w:jc w:val="center"/>
            </w:pPr>
            <w:r>
              <w:rPr>
                <w:color w:val="000000"/>
                <w:sz w:val="24"/>
              </w:rPr>
              <w:t>110043</w:t>
            </w:r>
          </w:p>
        </w:tc>
        <w:tc>
          <w:tcPr>
            <w:tcW w:w="1752" w:type="dxa"/>
            <w:vAlign w:val="center"/>
          </w:tcPr>
          <w:p w:rsidR="001D6EDA" w:rsidRDefault="00DD400B">
            <w:pPr>
              <w:jc w:val="center"/>
            </w:pPr>
            <w:r>
              <w:rPr>
                <w:color w:val="000000"/>
                <w:sz w:val="24"/>
              </w:rPr>
              <w:t>无锡转债</w:t>
            </w:r>
          </w:p>
        </w:tc>
        <w:tc>
          <w:tcPr>
            <w:tcW w:w="1794" w:type="dxa"/>
            <w:vAlign w:val="center"/>
          </w:tcPr>
          <w:p w:rsidR="001D6EDA" w:rsidRDefault="00DD400B">
            <w:pPr>
              <w:jc w:val="right"/>
            </w:pPr>
            <w:r>
              <w:rPr>
                <w:color w:val="000000"/>
                <w:sz w:val="24"/>
              </w:rPr>
              <w:t>2,507,613.50</w:t>
            </w:r>
          </w:p>
        </w:tc>
        <w:tc>
          <w:tcPr>
            <w:tcW w:w="1713" w:type="dxa"/>
            <w:vAlign w:val="center"/>
          </w:tcPr>
          <w:p w:rsidR="001D6EDA" w:rsidRDefault="00DD400B">
            <w:pPr>
              <w:jc w:val="right"/>
            </w:pPr>
            <w:r>
              <w:rPr>
                <w:color w:val="000000"/>
                <w:sz w:val="24"/>
              </w:rPr>
              <w:t>0.53</w:t>
            </w:r>
          </w:p>
        </w:tc>
      </w:tr>
      <w:tr w:rsidR="001D6EDA">
        <w:tc>
          <w:tcPr>
            <w:tcW w:w="1911" w:type="dxa"/>
            <w:vAlign w:val="center"/>
          </w:tcPr>
          <w:p w:rsidR="001D6EDA" w:rsidRDefault="00DD400B">
            <w:pPr>
              <w:jc w:val="center"/>
            </w:pPr>
            <w:r>
              <w:rPr>
                <w:color w:val="000000"/>
                <w:sz w:val="24"/>
              </w:rPr>
              <w:t>6</w:t>
            </w:r>
          </w:p>
        </w:tc>
        <w:tc>
          <w:tcPr>
            <w:tcW w:w="1828" w:type="dxa"/>
            <w:vAlign w:val="center"/>
          </w:tcPr>
          <w:p w:rsidR="001D6EDA" w:rsidRDefault="00DD400B">
            <w:pPr>
              <w:jc w:val="center"/>
            </w:pPr>
            <w:r>
              <w:rPr>
                <w:color w:val="000000"/>
                <w:sz w:val="24"/>
              </w:rPr>
              <w:t>110048</w:t>
            </w:r>
          </w:p>
        </w:tc>
        <w:tc>
          <w:tcPr>
            <w:tcW w:w="1752" w:type="dxa"/>
            <w:vAlign w:val="center"/>
          </w:tcPr>
          <w:p w:rsidR="001D6EDA" w:rsidRDefault="00DD400B">
            <w:pPr>
              <w:jc w:val="center"/>
            </w:pPr>
            <w:r>
              <w:rPr>
                <w:color w:val="000000"/>
                <w:sz w:val="24"/>
              </w:rPr>
              <w:t>福能转债</w:t>
            </w:r>
          </w:p>
        </w:tc>
        <w:tc>
          <w:tcPr>
            <w:tcW w:w="1794" w:type="dxa"/>
            <w:vAlign w:val="center"/>
          </w:tcPr>
          <w:p w:rsidR="001D6EDA" w:rsidRDefault="00DD400B">
            <w:pPr>
              <w:jc w:val="right"/>
            </w:pPr>
            <w:r>
              <w:rPr>
                <w:color w:val="000000"/>
                <w:sz w:val="24"/>
              </w:rPr>
              <w:t>2,436,994.40</w:t>
            </w:r>
          </w:p>
        </w:tc>
        <w:tc>
          <w:tcPr>
            <w:tcW w:w="1713" w:type="dxa"/>
            <w:vAlign w:val="center"/>
          </w:tcPr>
          <w:p w:rsidR="001D6EDA" w:rsidRDefault="00DD400B">
            <w:pPr>
              <w:jc w:val="right"/>
            </w:pPr>
            <w:r>
              <w:rPr>
                <w:color w:val="000000"/>
                <w:sz w:val="24"/>
              </w:rPr>
              <w:t>0.52</w:t>
            </w:r>
          </w:p>
        </w:tc>
      </w:tr>
      <w:tr w:rsidR="001D6EDA">
        <w:tc>
          <w:tcPr>
            <w:tcW w:w="1911" w:type="dxa"/>
            <w:vAlign w:val="center"/>
          </w:tcPr>
          <w:p w:rsidR="001D6EDA" w:rsidRDefault="00DD400B">
            <w:pPr>
              <w:jc w:val="center"/>
            </w:pPr>
            <w:r>
              <w:rPr>
                <w:color w:val="000000"/>
                <w:sz w:val="24"/>
              </w:rPr>
              <w:t>7</w:t>
            </w:r>
          </w:p>
        </w:tc>
        <w:tc>
          <w:tcPr>
            <w:tcW w:w="1828" w:type="dxa"/>
            <w:vAlign w:val="center"/>
          </w:tcPr>
          <w:p w:rsidR="001D6EDA" w:rsidRDefault="00DD400B">
            <w:pPr>
              <w:jc w:val="center"/>
            </w:pPr>
            <w:r>
              <w:rPr>
                <w:color w:val="000000"/>
                <w:sz w:val="24"/>
              </w:rPr>
              <w:t>113517</w:t>
            </w:r>
          </w:p>
        </w:tc>
        <w:tc>
          <w:tcPr>
            <w:tcW w:w="1752" w:type="dxa"/>
            <w:vAlign w:val="center"/>
          </w:tcPr>
          <w:p w:rsidR="001D6EDA" w:rsidRDefault="00DD400B">
            <w:pPr>
              <w:jc w:val="center"/>
            </w:pPr>
            <w:r>
              <w:rPr>
                <w:color w:val="000000"/>
                <w:sz w:val="24"/>
              </w:rPr>
              <w:t>曙光转债</w:t>
            </w:r>
          </w:p>
        </w:tc>
        <w:tc>
          <w:tcPr>
            <w:tcW w:w="1794" w:type="dxa"/>
            <w:vAlign w:val="center"/>
          </w:tcPr>
          <w:p w:rsidR="001D6EDA" w:rsidRDefault="00DD400B">
            <w:pPr>
              <w:jc w:val="right"/>
            </w:pPr>
            <w:r>
              <w:rPr>
                <w:color w:val="000000"/>
                <w:sz w:val="24"/>
              </w:rPr>
              <w:t>2,434,624.50</w:t>
            </w:r>
          </w:p>
        </w:tc>
        <w:tc>
          <w:tcPr>
            <w:tcW w:w="1713" w:type="dxa"/>
            <w:vAlign w:val="center"/>
          </w:tcPr>
          <w:p w:rsidR="001D6EDA" w:rsidRDefault="00DD400B">
            <w:pPr>
              <w:jc w:val="right"/>
            </w:pPr>
            <w:r>
              <w:rPr>
                <w:color w:val="000000"/>
                <w:sz w:val="24"/>
              </w:rPr>
              <w:t>0.52</w:t>
            </w:r>
          </w:p>
        </w:tc>
      </w:tr>
      <w:tr w:rsidR="001D6EDA">
        <w:tc>
          <w:tcPr>
            <w:tcW w:w="1911" w:type="dxa"/>
            <w:vAlign w:val="center"/>
          </w:tcPr>
          <w:p w:rsidR="001D6EDA" w:rsidRDefault="00DD400B">
            <w:pPr>
              <w:jc w:val="center"/>
            </w:pPr>
            <w:r>
              <w:rPr>
                <w:color w:val="000000"/>
                <w:sz w:val="24"/>
              </w:rPr>
              <w:t>8</w:t>
            </w:r>
          </w:p>
        </w:tc>
        <w:tc>
          <w:tcPr>
            <w:tcW w:w="1828" w:type="dxa"/>
            <w:vAlign w:val="center"/>
          </w:tcPr>
          <w:p w:rsidR="001D6EDA" w:rsidRDefault="00DD400B">
            <w:pPr>
              <w:jc w:val="center"/>
            </w:pPr>
            <w:r>
              <w:rPr>
                <w:color w:val="000000"/>
                <w:sz w:val="24"/>
              </w:rPr>
              <w:t>128044</w:t>
            </w:r>
          </w:p>
        </w:tc>
        <w:tc>
          <w:tcPr>
            <w:tcW w:w="1752" w:type="dxa"/>
            <w:vAlign w:val="center"/>
          </w:tcPr>
          <w:p w:rsidR="001D6EDA" w:rsidRDefault="00DD400B">
            <w:pPr>
              <w:jc w:val="center"/>
            </w:pPr>
            <w:r>
              <w:rPr>
                <w:color w:val="000000"/>
                <w:sz w:val="24"/>
              </w:rPr>
              <w:t>岭南转债</w:t>
            </w:r>
          </w:p>
        </w:tc>
        <w:tc>
          <w:tcPr>
            <w:tcW w:w="1794" w:type="dxa"/>
            <w:vAlign w:val="center"/>
          </w:tcPr>
          <w:p w:rsidR="001D6EDA" w:rsidRDefault="00DD400B">
            <w:pPr>
              <w:jc w:val="right"/>
            </w:pPr>
            <w:r>
              <w:rPr>
                <w:color w:val="000000"/>
                <w:sz w:val="24"/>
              </w:rPr>
              <w:t>1,600,955.00</w:t>
            </w:r>
          </w:p>
        </w:tc>
        <w:tc>
          <w:tcPr>
            <w:tcW w:w="1713" w:type="dxa"/>
            <w:vAlign w:val="center"/>
          </w:tcPr>
          <w:p w:rsidR="001D6EDA" w:rsidRDefault="00DD400B">
            <w:pPr>
              <w:jc w:val="right"/>
            </w:pPr>
            <w:r>
              <w:rPr>
                <w:color w:val="000000"/>
                <w:sz w:val="24"/>
              </w:rPr>
              <w:t>0.34</w:t>
            </w:r>
          </w:p>
        </w:tc>
      </w:tr>
      <w:tr w:rsidR="001D6EDA">
        <w:tc>
          <w:tcPr>
            <w:tcW w:w="1911" w:type="dxa"/>
            <w:vAlign w:val="center"/>
          </w:tcPr>
          <w:p w:rsidR="001D6EDA" w:rsidRDefault="00DD400B">
            <w:pPr>
              <w:jc w:val="center"/>
            </w:pPr>
            <w:r>
              <w:rPr>
                <w:color w:val="000000"/>
                <w:sz w:val="24"/>
              </w:rPr>
              <w:t>9</w:t>
            </w:r>
          </w:p>
        </w:tc>
        <w:tc>
          <w:tcPr>
            <w:tcW w:w="1828" w:type="dxa"/>
            <w:vAlign w:val="center"/>
          </w:tcPr>
          <w:p w:rsidR="001D6EDA" w:rsidRDefault="00DD400B">
            <w:pPr>
              <w:jc w:val="center"/>
            </w:pPr>
            <w:r>
              <w:rPr>
                <w:color w:val="000000"/>
                <w:sz w:val="24"/>
              </w:rPr>
              <w:t>113019</w:t>
            </w:r>
          </w:p>
        </w:tc>
        <w:tc>
          <w:tcPr>
            <w:tcW w:w="1752" w:type="dxa"/>
            <w:vAlign w:val="center"/>
          </w:tcPr>
          <w:p w:rsidR="001D6EDA" w:rsidRDefault="00DD400B">
            <w:pPr>
              <w:jc w:val="center"/>
            </w:pPr>
            <w:r>
              <w:rPr>
                <w:color w:val="000000"/>
                <w:sz w:val="24"/>
              </w:rPr>
              <w:t>玲珑转债</w:t>
            </w:r>
          </w:p>
        </w:tc>
        <w:tc>
          <w:tcPr>
            <w:tcW w:w="1794" w:type="dxa"/>
            <w:vAlign w:val="center"/>
          </w:tcPr>
          <w:p w:rsidR="001D6EDA" w:rsidRDefault="00DD400B">
            <w:pPr>
              <w:jc w:val="right"/>
            </w:pPr>
            <w:r>
              <w:rPr>
                <w:color w:val="000000"/>
                <w:sz w:val="24"/>
              </w:rPr>
              <w:t>1,085,547.40</w:t>
            </w:r>
          </w:p>
        </w:tc>
        <w:tc>
          <w:tcPr>
            <w:tcW w:w="1713" w:type="dxa"/>
            <w:vAlign w:val="center"/>
          </w:tcPr>
          <w:p w:rsidR="001D6EDA" w:rsidRDefault="00DD400B">
            <w:pPr>
              <w:jc w:val="right"/>
            </w:pPr>
            <w:r>
              <w:rPr>
                <w:color w:val="000000"/>
                <w:sz w:val="24"/>
              </w:rPr>
              <w:t>0.23</w:t>
            </w:r>
          </w:p>
        </w:tc>
      </w:tr>
      <w:tr w:rsidR="001D6EDA">
        <w:tc>
          <w:tcPr>
            <w:tcW w:w="1911" w:type="dxa"/>
            <w:vAlign w:val="center"/>
          </w:tcPr>
          <w:p w:rsidR="001D6EDA" w:rsidRDefault="00DD400B">
            <w:pPr>
              <w:jc w:val="center"/>
            </w:pPr>
            <w:r>
              <w:rPr>
                <w:color w:val="000000"/>
                <w:sz w:val="24"/>
              </w:rPr>
              <w:t>10</w:t>
            </w:r>
          </w:p>
        </w:tc>
        <w:tc>
          <w:tcPr>
            <w:tcW w:w="1828" w:type="dxa"/>
            <w:vAlign w:val="center"/>
          </w:tcPr>
          <w:p w:rsidR="001D6EDA" w:rsidRDefault="00DD400B">
            <w:pPr>
              <w:jc w:val="center"/>
            </w:pPr>
            <w:r>
              <w:rPr>
                <w:color w:val="000000"/>
                <w:sz w:val="24"/>
              </w:rPr>
              <w:t>123011</w:t>
            </w:r>
          </w:p>
        </w:tc>
        <w:tc>
          <w:tcPr>
            <w:tcW w:w="1752" w:type="dxa"/>
            <w:vAlign w:val="center"/>
          </w:tcPr>
          <w:p w:rsidR="001D6EDA" w:rsidRDefault="00DD400B">
            <w:pPr>
              <w:jc w:val="center"/>
            </w:pPr>
            <w:r>
              <w:rPr>
                <w:color w:val="000000"/>
                <w:sz w:val="24"/>
              </w:rPr>
              <w:t>德尔转债</w:t>
            </w:r>
          </w:p>
        </w:tc>
        <w:tc>
          <w:tcPr>
            <w:tcW w:w="1794" w:type="dxa"/>
            <w:vAlign w:val="center"/>
          </w:tcPr>
          <w:p w:rsidR="001D6EDA" w:rsidRDefault="00DD400B">
            <w:pPr>
              <w:jc w:val="right"/>
            </w:pPr>
            <w:r>
              <w:rPr>
                <w:color w:val="000000"/>
                <w:sz w:val="24"/>
              </w:rPr>
              <w:t>996,456.60</w:t>
            </w:r>
          </w:p>
        </w:tc>
        <w:tc>
          <w:tcPr>
            <w:tcW w:w="1713" w:type="dxa"/>
            <w:vAlign w:val="center"/>
          </w:tcPr>
          <w:p w:rsidR="001D6EDA" w:rsidRDefault="00DD400B">
            <w:pPr>
              <w:jc w:val="right"/>
            </w:pPr>
            <w:r>
              <w:rPr>
                <w:color w:val="000000"/>
                <w:sz w:val="24"/>
              </w:rPr>
              <w:t>0.21</w:t>
            </w:r>
          </w:p>
        </w:tc>
      </w:tr>
      <w:tr w:rsidR="001D6EDA">
        <w:tc>
          <w:tcPr>
            <w:tcW w:w="1911" w:type="dxa"/>
            <w:vAlign w:val="center"/>
          </w:tcPr>
          <w:p w:rsidR="001D6EDA" w:rsidRDefault="00DD400B">
            <w:pPr>
              <w:jc w:val="center"/>
            </w:pPr>
            <w:r>
              <w:rPr>
                <w:color w:val="000000"/>
                <w:sz w:val="24"/>
              </w:rPr>
              <w:t>11</w:t>
            </w:r>
          </w:p>
        </w:tc>
        <w:tc>
          <w:tcPr>
            <w:tcW w:w="1828" w:type="dxa"/>
            <w:vAlign w:val="center"/>
          </w:tcPr>
          <w:p w:rsidR="001D6EDA" w:rsidRDefault="00DD400B">
            <w:pPr>
              <w:jc w:val="center"/>
            </w:pPr>
            <w:r>
              <w:rPr>
                <w:color w:val="000000"/>
                <w:sz w:val="24"/>
              </w:rPr>
              <w:t>113525</w:t>
            </w:r>
          </w:p>
        </w:tc>
        <w:tc>
          <w:tcPr>
            <w:tcW w:w="1752" w:type="dxa"/>
            <w:vAlign w:val="center"/>
          </w:tcPr>
          <w:p w:rsidR="001D6EDA" w:rsidRDefault="00DD400B">
            <w:pPr>
              <w:jc w:val="center"/>
            </w:pPr>
            <w:r>
              <w:rPr>
                <w:color w:val="000000"/>
                <w:sz w:val="24"/>
              </w:rPr>
              <w:t>台华转债</w:t>
            </w:r>
          </w:p>
        </w:tc>
        <w:tc>
          <w:tcPr>
            <w:tcW w:w="1794" w:type="dxa"/>
            <w:vAlign w:val="center"/>
          </w:tcPr>
          <w:p w:rsidR="001D6EDA" w:rsidRDefault="00DD400B">
            <w:pPr>
              <w:jc w:val="right"/>
            </w:pPr>
            <w:r>
              <w:rPr>
                <w:color w:val="000000"/>
                <w:sz w:val="24"/>
              </w:rPr>
              <w:t>743,579.40</w:t>
            </w:r>
          </w:p>
        </w:tc>
        <w:tc>
          <w:tcPr>
            <w:tcW w:w="1713" w:type="dxa"/>
            <w:vAlign w:val="center"/>
          </w:tcPr>
          <w:p w:rsidR="001D6EDA" w:rsidRDefault="00DD400B">
            <w:pPr>
              <w:jc w:val="right"/>
            </w:pPr>
            <w:r>
              <w:rPr>
                <w:color w:val="000000"/>
                <w:sz w:val="24"/>
              </w:rPr>
              <w:t>0.16</w:t>
            </w:r>
          </w:p>
        </w:tc>
      </w:tr>
      <w:tr w:rsidR="001D6EDA">
        <w:tc>
          <w:tcPr>
            <w:tcW w:w="1911" w:type="dxa"/>
            <w:vAlign w:val="center"/>
          </w:tcPr>
          <w:p w:rsidR="001D6EDA" w:rsidRDefault="00DD400B">
            <w:pPr>
              <w:jc w:val="center"/>
            </w:pPr>
            <w:r>
              <w:rPr>
                <w:color w:val="000000"/>
                <w:sz w:val="24"/>
              </w:rPr>
              <w:t>12</w:t>
            </w:r>
          </w:p>
        </w:tc>
        <w:tc>
          <w:tcPr>
            <w:tcW w:w="1828" w:type="dxa"/>
            <w:vAlign w:val="center"/>
          </w:tcPr>
          <w:p w:rsidR="001D6EDA" w:rsidRDefault="00DD400B">
            <w:pPr>
              <w:jc w:val="center"/>
            </w:pPr>
            <w:r>
              <w:rPr>
                <w:color w:val="000000"/>
                <w:sz w:val="24"/>
              </w:rPr>
              <w:t>113505</w:t>
            </w:r>
          </w:p>
        </w:tc>
        <w:tc>
          <w:tcPr>
            <w:tcW w:w="1752" w:type="dxa"/>
            <w:vAlign w:val="center"/>
          </w:tcPr>
          <w:p w:rsidR="001D6EDA" w:rsidRDefault="00DD400B">
            <w:pPr>
              <w:jc w:val="center"/>
            </w:pPr>
            <w:r>
              <w:rPr>
                <w:color w:val="000000"/>
                <w:sz w:val="24"/>
              </w:rPr>
              <w:t>杭电转债</w:t>
            </w:r>
          </w:p>
        </w:tc>
        <w:tc>
          <w:tcPr>
            <w:tcW w:w="1794" w:type="dxa"/>
            <w:vAlign w:val="center"/>
          </w:tcPr>
          <w:p w:rsidR="001D6EDA" w:rsidRDefault="00DD400B">
            <w:pPr>
              <w:jc w:val="right"/>
            </w:pPr>
            <w:r>
              <w:rPr>
                <w:color w:val="000000"/>
                <w:sz w:val="24"/>
              </w:rPr>
              <w:t>373,957.50</w:t>
            </w:r>
          </w:p>
        </w:tc>
        <w:tc>
          <w:tcPr>
            <w:tcW w:w="1713" w:type="dxa"/>
            <w:vAlign w:val="center"/>
          </w:tcPr>
          <w:p w:rsidR="001D6EDA" w:rsidRDefault="00DD400B">
            <w:pPr>
              <w:jc w:val="right"/>
            </w:pPr>
            <w:r>
              <w:rPr>
                <w:color w:val="000000"/>
                <w:sz w:val="24"/>
              </w:rPr>
              <w:t>0.08</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8A1551">
        <w:rPr>
          <w:b/>
          <w:bCs/>
          <w:szCs w:val="24"/>
          <w:lang w:val="en-US"/>
        </w:rPr>
        <w:t xml:space="preserve">8  </w:t>
      </w:r>
      <w:r w:rsidRPr="008A1551">
        <w:rPr>
          <w:b/>
          <w:bCs/>
          <w:szCs w:val="24"/>
          <w:lang w:val="en-US"/>
        </w:rPr>
        <w:t>基金份额持有人信息</w:t>
      </w:r>
      <w:bookmarkEnd w:id="73"/>
      <w:bookmarkEnd w:id="74"/>
    </w:p>
    <w:p w:rsidR="001548F9" w:rsidRPr="008A1551" w:rsidRDefault="001548F9" w:rsidP="009E1EA4">
      <w:pPr>
        <w:pStyle w:val="20"/>
        <w:spacing w:before="29" w:after="0" w:line="288" w:lineRule="auto"/>
        <w:rPr>
          <w:rFonts w:ascii="Times New Roman" w:hAnsi="Times New Roman"/>
          <w:kern w:val="0"/>
          <w:szCs w:val="24"/>
        </w:rPr>
      </w:pPr>
      <w:bookmarkStart w:id="75" w:name="_Toc331410112"/>
      <w:bookmarkStart w:id="76"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5"/>
      <w:bookmarkEnd w:id="76"/>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交银增利债券</w:t>
            </w:r>
            <w:r w:rsidRPr="008A1551">
              <w:rPr>
                <w:bCs/>
                <w:sz w:val="24"/>
              </w:rPr>
              <w:t>A/B</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6,399</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57,482.94</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197,217,312.77</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53.62%</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170,616,018.85</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46.38%</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交银增利债券</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2,828</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30,041.27</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2,901,867.50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3.42%</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82,054,851.80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96.58%</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9,227</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49,072.29</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200,119,180.27</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44.20%</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252,670,870.65</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55.80%</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7"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7"/>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交银增利债券</w:t>
            </w:r>
            <w:r w:rsidRPr="008A1551">
              <w:rPr>
                <w:sz w:val="24"/>
              </w:rPr>
              <w:t>A/B</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100,648.93</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0.03%</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交银增利债券</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464.17</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101,113.10</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0.02%</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交银增利债券</w:t>
            </w:r>
            <w:r w:rsidRPr="008A1551">
              <w:rPr>
                <w:color w:val="000000"/>
                <w:kern w:val="0"/>
                <w:sz w:val="24"/>
              </w:rPr>
              <w:t>A/B</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交银增利债券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交银增利债券</w:t>
            </w:r>
            <w:r w:rsidRPr="008A1551">
              <w:rPr>
                <w:color w:val="000000"/>
                <w:kern w:val="0"/>
                <w:sz w:val="24"/>
              </w:rPr>
              <w:t>A/B</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交银增利债券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8" w:name="_Toc331410115"/>
      <w:bookmarkStart w:id="79" w:name="_Toc225500053"/>
      <w:r w:rsidRPr="008A1551">
        <w:rPr>
          <w:b/>
          <w:bCs/>
          <w:szCs w:val="24"/>
          <w:lang w:val="en-US"/>
        </w:rPr>
        <w:t>9</w:t>
      </w:r>
      <w:r w:rsidRPr="008A1551">
        <w:rPr>
          <w:b/>
          <w:bCs/>
          <w:szCs w:val="24"/>
          <w:lang w:val="en-US"/>
        </w:rPr>
        <w:t>开放式基金份额变动</w:t>
      </w:r>
      <w:bookmarkEnd w:id="78"/>
      <w:bookmarkEnd w:id="79"/>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交银增利债券</w:t>
            </w:r>
            <w:r w:rsidRPr="008A1551">
              <w:rPr>
                <w:sz w:val="24"/>
              </w:rPr>
              <w:t>A/B</w:t>
            </w:r>
          </w:p>
        </w:tc>
        <w:tc>
          <w:tcPr>
            <w:tcW w:w="1615" w:type="pct"/>
            <w:vAlign w:val="center"/>
          </w:tcPr>
          <w:p w:rsidR="00343AD4" w:rsidRPr="008A1551" w:rsidRDefault="00343AD4" w:rsidP="009E1EA4">
            <w:pPr>
              <w:spacing w:before="29" w:line="288" w:lineRule="auto"/>
              <w:jc w:val="center"/>
              <w:rPr>
                <w:sz w:val="24"/>
              </w:rPr>
            </w:pPr>
            <w:r w:rsidRPr="008A1551">
              <w:rPr>
                <w:sz w:val="24"/>
              </w:rPr>
              <w:t>交银增利债券</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2008</w:t>
            </w:r>
            <w:r w:rsidRPr="008A1551">
              <w:rPr>
                <w:sz w:val="24"/>
              </w:rPr>
              <w:t>年</w:t>
            </w:r>
            <w:r w:rsidRPr="008A1551">
              <w:rPr>
                <w:sz w:val="24"/>
              </w:rPr>
              <w:t>3</w:t>
            </w:r>
            <w:r w:rsidRPr="008A1551">
              <w:rPr>
                <w:sz w:val="24"/>
              </w:rPr>
              <w:t>月</w:t>
            </w:r>
            <w:r w:rsidRPr="008A1551">
              <w:rPr>
                <w:sz w:val="24"/>
              </w:rPr>
              <w:t>31</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7,419,837,721.23</w:t>
            </w:r>
          </w:p>
        </w:tc>
        <w:tc>
          <w:tcPr>
            <w:tcW w:w="1615" w:type="pct"/>
            <w:vAlign w:val="center"/>
          </w:tcPr>
          <w:p w:rsidR="001548F9" w:rsidRPr="008A1551" w:rsidRDefault="001548F9" w:rsidP="009E1EA4">
            <w:pPr>
              <w:spacing w:before="29" w:line="288" w:lineRule="auto"/>
              <w:jc w:val="right"/>
              <w:rPr>
                <w:sz w:val="24"/>
              </w:rPr>
            </w:pPr>
            <w:r w:rsidRPr="008A1551">
              <w:rPr>
                <w:sz w:val="24"/>
              </w:rPr>
              <w:t>2,902,969,397.22</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230,722,135.76</w:t>
            </w:r>
          </w:p>
        </w:tc>
        <w:tc>
          <w:tcPr>
            <w:tcW w:w="1615" w:type="pct"/>
            <w:vAlign w:val="center"/>
          </w:tcPr>
          <w:p w:rsidR="001548F9" w:rsidRPr="008A1551" w:rsidRDefault="001548F9" w:rsidP="009E1EA4">
            <w:pPr>
              <w:spacing w:before="29" w:line="288" w:lineRule="auto"/>
              <w:jc w:val="right"/>
              <w:rPr>
                <w:sz w:val="24"/>
              </w:rPr>
            </w:pPr>
            <w:r w:rsidRPr="008A1551">
              <w:rPr>
                <w:sz w:val="24"/>
              </w:rPr>
              <w:t>75,370,149.72</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243,917,466.72</w:t>
            </w:r>
          </w:p>
        </w:tc>
        <w:tc>
          <w:tcPr>
            <w:tcW w:w="1615" w:type="pct"/>
            <w:vAlign w:val="center"/>
          </w:tcPr>
          <w:p w:rsidR="001548F9" w:rsidRPr="008A1551" w:rsidRDefault="001548F9" w:rsidP="009E1EA4">
            <w:pPr>
              <w:spacing w:before="29" w:line="288" w:lineRule="auto"/>
              <w:jc w:val="right"/>
              <w:rPr>
                <w:sz w:val="24"/>
              </w:rPr>
            </w:pPr>
            <w:r w:rsidRPr="008A1551">
              <w:rPr>
                <w:sz w:val="24"/>
              </w:rPr>
              <w:t>86,923,672.25</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106,806,270.86</w:t>
            </w:r>
          </w:p>
        </w:tc>
        <w:tc>
          <w:tcPr>
            <w:tcW w:w="1615" w:type="pct"/>
            <w:vAlign w:val="center"/>
          </w:tcPr>
          <w:p w:rsidR="001548F9" w:rsidRPr="008A1551" w:rsidRDefault="001548F9" w:rsidP="009E1EA4">
            <w:pPr>
              <w:spacing w:before="29" w:line="288" w:lineRule="auto"/>
              <w:jc w:val="right"/>
              <w:rPr>
                <w:sz w:val="24"/>
              </w:rPr>
            </w:pPr>
            <w:r w:rsidRPr="008A1551">
              <w:rPr>
                <w:sz w:val="24"/>
              </w:rPr>
              <w:t>77,337,102.67</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367,833,331.62</w:t>
            </w:r>
          </w:p>
        </w:tc>
        <w:tc>
          <w:tcPr>
            <w:tcW w:w="1615" w:type="pct"/>
            <w:vAlign w:val="center"/>
          </w:tcPr>
          <w:p w:rsidR="001548F9" w:rsidRPr="008A1551" w:rsidRDefault="001548F9" w:rsidP="009E1EA4">
            <w:pPr>
              <w:spacing w:before="29" w:line="288" w:lineRule="auto"/>
              <w:jc w:val="right"/>
              <w:rPr>
                <w:sz w:val="24"/>
              </w:rPr>
            </w:pPr>
            <w:r w:rsidRPr="008A1551">
              <w:rPr>
                <w:sz w:val="24"/>
              </w:rPr>
              <w:t>84,956,719.30</w:t>
            </w:r>
          </w:p>
        </w:tc>
      </w:tr>
    </w:tbl>
    <w:p w:rsidR="001D6EDA" w:rsidRDefault="00DD400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8A1551">
        <w:rPr>
          <w:b/>
          <w:bCs/>
          <w:szCs w:val="24"/>
          <w:lang w:val="en-US"/>
        </w:rPr>
        <w:t xml:space="preserve">10  </w:t>
      </w:r>
      <w:r w:rsidRPr="008A1551">
        <w:rPr>
          <w:b/>
          <w:bCs/>
          <w:szCs w:val="24"/>
          <w:lang w:val="en-US"/>
        </w:rPr>
        <w:t>重大事件揭示</w:t>
      </w:r>
      <w:bookmarkEnd w:id="80"/>
      <w:bookmarkEnd w:id="81"/>
    </w:p>
    <w:p w:rsidR="00990177" w:rsidRPr="00690ED2" w:rsidRDefault="00990177" w:rsidP="00990177">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2"/>
      <w:bookmarkEnd w:id="83"/>
    </w:p>
    <w:p w:rsidR="00990177" w:rsidRDefault="00990177" w:rsidP="00990177">
      <w:pPr>
        <w:tabs>
          <w:tab w:val="left" w:pos="426"/>
        </w:tabs>
        <w:spacing w:before="29" w:line="288" w:lineRule="auto"/>
        <w:jc w:val="left"/>
        <w:rPr>
          <w:kern w:val="0"/>
          <w:sz w:val="24"/>
        </w:rPr>
      </w:pPr>
      <w:r w:rsidRPr="00690ED2">
        <w:rPr>
          <w:kern w:val="0"/>
          <w:sz w:val="24"/>
        </w:rPr>
        <w:t>本基金本报告期内未召开基金份额持有人大会。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5" w:name="_Toc374438162"/>
      <w:bookmarkStart w:id="106"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5"/>
      <w:bookmarkEnd w:id="106"/>
    </w:p>
    <w:p w:rsidR="001D6EDA" w:rsidRDefault="00DD400B">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90177" w:rsidRDefault="00990177" w:rsidP="00990177">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、基金托管人的基金托管部门的重大人事变动：本基金托管人中国建设银行股份有限公司于</w:t>
      </w:r>
      <w:r w:rsidRPr="00690ED2">
        <w:rPr>
          <w:kern w:val="0"/>
          <w:sz w:val="24"/>
        </w:rPr>
        <w:t>2019</w:t>
      </w:r>
      <w:r w:rsidRPr="00690ED2">
        <w:rPr>
          <w:kern w:val="0"/>
          <w:sz w:val="24"/>
        </w:rPr>
        <w:t>年</w:t>
      </w:r>
      <w:r w:rsidRPr="00690ED2">
        <w:rPr>
          <w:kern w:val="0"/>
          <w:sz w:val="24"/>
        </w:rPr>
        <w:t>6</w:t>
      </w:r>
      <w:r w:rsidRPr="00690ED2">
        <w:rPr>
          <w:kern w:val="0"/>
          <w:sz w:val="24"/>
        </w:rPr>
        <w:t>月</w:t>
      </w:r>
      <w:r w:rsidRPr="00690ED2">
        <w:rPr>
          <w:kern w:val="0"/>
          <w:sz w:val="24"/>
        </w:rPr>
        <w:t>4</w:t>
      </w:r>
      <w:r w:rsidRPr="00690ED2">
        <w:rPr>
          <w:kern w:val="0"/>
          <w:sz w:val="24"/>
        </w:rPr>
        <w:t>日发布公告，聘任蔡亚蓉为资产托管业务部总经理。</w:t>
      </w:r>
      <w:r w:rsidRPr="00690ED2">
        <w:rPr>
          <w:kern w:val="0"/>
          <w:sz w:val="24"/>
        </w:rPr>
        <w:t xml:space="preserve"> </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7" w:name="_Toc374438163"/>
      <w:bookmarkStart w:id="108"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7"/>
      <w:bookmarkEnd w:id="108"/>
    </w:p>
    <w:p w:rsidR="00990177" w:rsidRDefault="00990177" w:rsidP="00990177">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9" w:name="_Toc374438164"/>
      <w:bookmarkStart w:id="110"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9"/>
      <w:bookmarkEnd w:id="110"/>
    </w:p>
    <w:p w:rsidR="00990177" w:rsidRDefault="00990177" w:rsidP="00990177">
      <w:pPr>
        <w:tabs>
          <w:tab w:val="left" w:pos="426"/>
        </w:tabs>
        <w:spacing w:before="29" w:line="288" w:lineRule="auto"/>
        <w:jc w:val="left"/>
        <w:rPr>
          <w:kern w:val="0"/>
          <w:sz w:val="24"/>
        </w:rPr>
      </w:pPr>
      <w:r w:rsidRPr="00690ED2">
        <w:rPr>
          <w:kern w:val="0"/>
          <w:sz w:val="24"/>
        </w:rPr>
        <w:t>本基金本报告期内投资策略未发生改变。</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90177" w:rsidRDefault="00990177" w:rsidP="00990177">
      <w:pPr>
        <w:tabs>
          <w:tab w:val="left" w:pos="426"/>
        </w:tabs>
        <w:spacing w:before="29" w:line="288" w:lineRule="auto"/>
        <w:jc w:val="left"/>
        <w:rPr>
          <w:kern w:val="0"/>
          <w:sz w:val="24"/>
        </w:rPr>
      </w:pPr>
      <w:r w:rsidRPr="00690ED2">
        <w:rPr>
          <w:kern w:val="0"/>
          <w:sz w:val="24"/>
        </w:rPr>
        <w:t>无。</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90177" w:rsidRDefault="00990177" w:rsidP="00990177">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1D6EDA" w:rsidRDefault="00DD400B">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1D6EDA" w:rsidRDefault="00DD400B">
      <w:pPr>
        <w:tabs>
          <w:tab w:val="left" w:pos="426"/>
        </w:tabs>
        <w:spacing w:before="29" w:line="288" w:lineRule="auto"/>
        <w:jc w:val="left"/>
        <w:rPr>
          <w:kern w:val="0"/>
          <w:sz w:val="24"/>
        </w:rPr>
      </w:pPr>
      <w:r>
        <w:rPr>
          <w:kern w:val="0"/>
          <w:sz w:val="24"/>
        </w:rPr>
        <w:t>基金管理人及其高级管理人员本报告期内未受监管部门稽查或处罚。</w:t>
      </w:r>
    </w:p>
    <w:p w:rsidR="001D6EDA" w:rsidRDefault="00DD400B">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90177" w:rsidRDefault="00990177" w:rsidP="00990177">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90177" w:rsidRPr="00690ED2" w:rsidRDefault="00990177" w:rsidP="00990177">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121"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1D6EDA">
        <w:tc>
          <w:tcPr>
            <w:tcW w:w="1559" w:type="dxa"/>
            <w:vAlign w:val="center"/>
          </w:tcPr>
          <w:p w:rsidR="001D6EDA" w:rsidRDefault="00DD400B">
            <w:pPr>
              <w:jc w:val="center"/>
            </w:pPr>
            <w:r>
              <w:rPr>
                <w:color w:val="000000"/>
                <w:sz w:val="24"/>
              </w:rPr>
              <w:t>东吴证券股份有限公司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海通证券股份有限公司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西藏东方财富证券股份有限公司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中信建投证券股份有限公司</w:t>
            </w:r>
          </w:p>
        </w:tc>
        <w:tc>
          <w:tcPr>
            <w:tcW w:w="779" w:type="dxa"/>
            <w:vAlign w:val="center"/>
          </w:tcPr>
          <w:p w:rsidR="001D6EDA" w:rsidRDefault="00DD400B">
            <w:pPr>
              <w:jc w:val="center"/>
            </w:pPr>
            <w:r>
              <w:rPr>
                <w:color w:val="000000"/>
                <w:sz w:val="24"/>
              </w:rPr>
              <w:t>2</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中信证券股份有限公司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中国国际金融股份有限公司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华泰证券股份有限公司</w:t>
            </w:r>
          </w:p>
        </w:tc>
        <w:tc>
          <w:tcPr>
            <w:tcW w:w="779" w:type="dxa"/>
            <w:vAlign w:val="center"/>
          </w:tcPr>
          <w:p w:rsidR="001D6EDA" w:rsidRDefault="00DD400B">
            <w:pPr>
              <w:jc w:val="center"/>
            </w:pPr>
            <w:r>
              <w:rPr>
                <w:color w:val="000000"/>
                <w:sz w:val="24"/>
              </w:rPr>
              <w:t>2</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西部证券股份有限公司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国盛证券有限责任公司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长江证券股份有限公司</w:t>
            </w:r>
          </w:p>
        </w:tc>
        <w:tc>
          <w:tcPr>
            <w:tcW w:w="779" w:type="dxa"/>
            <w:vAlign w:val="center"/>
          </w:tcPr>
          <w:p w:rsidR="001D6EDA" w:rsidRDefault="00DD400B">
            <w:pPr>
              <w:jc w:val="center"/>
            </w:pPr>
            <w:r>
              <w:rPr>
                <w:color w:val="000000"/>
                <w:sz w:val="24"/>
              </w:rPr>
              <w:t>2</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方正证券股份有限公司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东方证券股份有限公司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申万宏源证券有限公司</w:t>
            </w:r>
          </w:p>
        </w:tc>
        <w:tc>
          <w:tcPr>
            <w:tcW w:w="779" w:type="dxa"/>
            <w:vAlign w:val="center"/>
          </w:tcPr>
          <w:p w:rsidR="001D6EDA" w:rsidRDefault="00DD400B">
            <w:pPr>
              <w:jc w:val="center"/>
            </w:pPr>
            <w:r>
              <w:rPr>
                <w:color w:val="000000"/>
                <w:sz w:val="24"/>
              </w:rPr>
              <w:t>2</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北京高华证券有限责任公司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华安证券股份有限公司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安信证券股份有限公司</w:t>
            </w:r>
          </w:p>
        </w:tc>
        <w:tc>
          <w:tcPr>
            <w:tcW w:w="779" w:type="dxa"/>
            <w:vAlign w:val="center"/>
          </w:tcPr>
          <w:p w:rsidR="001D6EDA" w:rsidRDefault="00DD400B">
            <w:pPr>
              <w:jc w:val="center"/>
            </w:pPr>
            <w:r>
              <w:rPr>
                <w:color w:val="000000"/>
                <w:sz w:val="24"/>
              </w:rPr>
              <w:t>2</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德邦证券股份有限公司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东兴证券股份有限公司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中银国际证券股份有限公司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中国中投证券有限责任公司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中泰证券股份有限公司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中国银河证券股份有限公司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信达证券股份有限公司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r w:rsidR="001D6EDA">
        <w:tc>
          <w:tcPr>
            <w:tcW w:w="1559" w:type="dxa"/>
            <w:vAlign w:val="center"/>
          </w:tcPr>
          <w:p w:rsidR="001D6EDA" w:rsidRDefault="00DD400B">
            <w:pPr>
              <w:jc w:val="center"/>
            </w:pPr>
            <w:r>
              <w:rPr>
                <w:color w:val="000000"/>
                <w:sz w:val="24"/>
              </w:rPr>
              <w:t>平安证券股份有限公司</w:t>
            </w:r>
          </w:p>
        </w:tc>
        <w:tc>
          <w:tcPr>
            <w:tcW w:w="779" w:type="dxa"/>
            <w:vAlign w:val="center"/>
          </w:tcPr>
          <w:p w:rsidR="001D6EDA" w:rsidRDefault="00DD400B">
            <w:pPr>
              <w:jc w:val="center"/>
            </w:pPr>
            <w:r>
              <w:rPr>
                <w:color w:val="000000"/>
                <w:sz w:val="24"/>
              </w:rPr>
              <w:t>1</w:t>
            </w:r>
          </w:p>
        </w:tc>
        <w:tc>
          <w:tcPr>
            <w:tcW w:w="180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620" w:type="dxa"/>
            <w:vAlign w:val="center"/>
          </w:tcPr>
          <w:p w:rsidR="001D6EDA" w:rsidRDefault="00DD400B">
            <w:pPr>
              <w:jc w:val="right"/>
            </w:pPr>
            <w:r>
              <w:rPr>
                <w:color w:val="000000"/>
                <w:sz w:val="24"/>
              </w:rPr>
              <w:t>-</w:t>
            </w:r>
          </w:p>
        </w:tc>
        <w:tc>
          <w:tcPr>
            <w:tcW w:w="1080" w:type="dxa"/>
            <w:vAlign w:val="center"/>
          </w:tcPr>
          <w:p w:rsidR="001D6EDA" w:rsidRDefault="00DD400B">
            <w:pPr>
              <w:jc w:val="right"/>
            </w:pPr>
            <w:r>
              <w:rPr>
                <w:color w:val="000000"/>
                <w:sz w:val="24"/>
              </w:rPr>
              <w:t>-</w:t>
            </w:r>
          </w:p>
        </w:tc>
        <w:tc>
          <w:tcPr>
            <w:tcW w:w="1080" w:type="dxa"/>
            <w:vAlign w:val="center"/>
          </w:tcPr>
          <w:p w:rsidR="001D6EDA" w:rsidRDefault="00DD400B">
            <w:pPr>
              <w:jc w:val="left"/>
            </w:pPr>
            <w:r>
              <w:rPr>
                <w:color w:val="000000"/>
                <w:sz w:val="24"/>
              </w:rPr>
              <w:t>-</w:t>
            </w:r>
          </w:p>
        </w:tc>
      </w:tr>
    </w:tbl>
    <w:p w:rsidR="001548F9" w:rsidRPr="008A1551" w:rsidRDefault="001548F9" w:rsidP="009E1EA4">
      <w:pPr>
        <w:spacing w:before="29" w:line="288" w:lineRule="auto"/>
        <w:rPr>
          <w:color w:val="000000"/>
          <w:sz w:val="24"/>
        </w:rPr>
      </w:pPr>
    </w:p>
    <w:p w:rsidR="00990177" w:rsidRPr="00690ED2" w:rsidRDefault="00990177" w:rsidP="00990177">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8A1551" w:rsidRDefault="001548F9" w:rsidP="009E1EA4">
      <w:pPr>
        <w:spacing w:before="29" w:line="288" w:lineRule="auto"/>
        <w:ind w:firstLine="420"/>
        <w:jc w:val="right"/>
        <w:rPr>
          <w:color w:val="000000"/>
          <w:sz w:val="24"/>
        </w:rPr>
      </w:pPr>
      <w:r w:rsidRPr="008A1551">
        <w:rPr>
          <w:sz w:val="24"/>
        </w:rPr>
        <w:t>金额单位</w:t>
      </w:r>
      <w:r w:rsidRPr="008A1551">
        <w:rPr>
          <w:color w:val="000000"/>
          <w:kern w:val="0"/>
          <w:sz w:val="24"/>
        </w:rPr>
        <w:t>：</w:t>
      </w:r>
      <w:r w:rsidRPr="008A1551">
        <w:rPr>
          <w:color w:val="000000"/>
          <w:kern w:val="0"/>
          <w:sz w:val="24"/>
          <w:lang w:val="zh-CN"/>
        </w:rPr>
        <w:t>人民币元</w:t>
      </w:r>
      <w:bookmarkEnd w:id="1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占当期权证成交总额的比例</w:t>
            </w:r>
          </w:p>
        </w:tc>
      </w:tr>
      <w:tr w:rsidR="001D6EDA">
        <w:tc>
          <w:tcPr>
            <w:tcW w:w="2437" w:type="dxa"/>
            <w:vAlign w:val="center"/>
          </w:tcPr>
          <w:p w:rsidR="001D6EDA" w:rsidRDefault="00DD400B">
            <w:r>
              <w:rPr>
                <w:sz w:val="24"/>
              </w:rPr>
              <w:t>东吴证券股份有限公司</w:t>
            </w:r>
          </w:p>
        </w:tc>
        <w:tc>
          <w:tcPr>
            <w:tcW w:w="1092" w:type="dxa"/>
            <w:vAlign w:val="center"/>
          </w:tcPr>
          <w:p w:rsidR="001D6EDA" w:rsidRDefault="00DD400B">
            <w:pPr>
              <w:jc w:val="right"/>
            </w:pPr>
            <w:r>
              <w:rPr>
                <w:sz w:val="24"/>
              </w:rPr>
              <w:t>98,448,951.03</w:t>
            </w:r>
          </w:p>
        </w:tc>
        <w:tc>
          <w:tcPr>
            <w:tcW w:w="1093" w:type="dxa"/>
            <w:vAlign w:val="center"/>
          </w:tcPr>
          <w:p w:rsidR="001D6EDA" w:rsidRDefault="00DD400B">
            <w:pPr>
              <w:jc w:val="right"/>
            </w:pPr>
            <w:r>
              <w:rPr>
                <w:sz w:val="24"/>
              </w:rPr>
              <w:t>15.17%</w:t>
            </w:r>
          </w:p>
        </w:tc>
        <w:tc>
          <w:tcPr>
            <w:tcW w:w="1093" w:type="dxa"/>
            <w:vAlign w:val="center"/>
          </w:tcPr>
          <w:p w:rsidR="001D6EDA" w:rsidRDefault="00DD400B">
            <w:pPr>
              <w:jc w:val="right"/>
            </w:pPr>
            <w:r>
              <w:rPr>
                <w:sz w:val="24"/>
              </w:rPr>
              <w:t>3,647,200,000.00</w:t>
            </w:r>
          </w:p>
        </w:tc>
        <w:tc>
          <w:tcPr>
            <w:tcW w:w="1093" w:type="dxa"/>
            <w:vAlign w:val="center"/>
          </w:tcPr>
          <w:p w:rsidR="001D6EDA" w:rsidRDefault="00DD400B">
            <w:pPr>
              <w:jc w:val="right"/>
            </w:pPr>
            <w:r>
              <w:rPr>
                <w:sz w:val="24"/>
              </w:rPr>
              <w:t>34.38%</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海通证券股份有限公司</w:t>
            </w:r>
          </w:p>
        </w:tc>
        <w:tc>
          <w:tcPr>
            <w:tcW w:w="1092" w:type="dxa"/>
            <w:vAlign w:val="center"/>
          </w:tcPr>
          <w:p w:rsidR="001D6EDA" w:rsidRDefault="00DD400B">
            <w:pPr>
              <w:jc w:val="right"/>
            </w:pPr>
            <w:r>
              <w:rPr>
                <w:sz w:val="24"/>
              </w:rPr>
              <w:t>93,149,540.49</w:t>
            </w:r>
          </w:p>
        </w:tc>
        <w:tc>
          <w:tcPr>
            <w:tcW w:w="1093" w:type="dxa"/>
            <w:vAlign w:val="center"/>
          </w:tcPr>
          <w:p w:rsidR="001D6EDA" w:rsidRDefault="00DD400B">
            <w:pPr>
              <w:jc w:val="right"/>
            </w:pPr>
            <w:r>
              <w:rPr>
                <w:sz w:val="24"/>
              </w:rPr>
              <w:t>14.35%</w:t>
            </w:r>
          </w:p>
        </w:tc>
        <w:tc>
          <w:tcPr>
            <w:tcW w:w="1093" w:type="dxa"/>
            <w:vAlign w:val="center"/>
          </w:tcPr>
          <w:p w:rsidR="001D6EDA" w:rsidRDefault="00DD400B">
            <w:pPr>
              <w:jc w:val="right"/>
            </w:pPr>
            <w:r>
              <w:rPr>
                <w:sz w:val="24"/>
              </w:rPr>
              <w:t>1,575,300,000.00</w:t>
            </w:r>
          </w:p>
        </w:tc>
        <w:tc>
          <w:tcPr>
            <w:tcW w:w="1093" w:type="dxa"/>
            <w:vAlign w:val="center"/>
          </w:tcPr>
          <w:p w:rsidR="001D6EDA" w:rsidRDefault="00DD400B">
            <w:pPr>
              <w:jc w:val="right"/>
            </w:pPr>
            <w:r>
              <w:rPr>
                <w:sz w:val="24"/>
              </w:rPr>
              <w:t>14.85%</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西藏东方财富证券股份有限公司</w:t>
            </w:r>
          </w:p>
        </w:tc>
        <w:tc>
          <w:tcPr>
            <w:tcW w:w="1092" w:type="dxa"/>
            <w:vAlign w:val="center"/>
          </w:tcPr>
          <w:p w:rsidR="001D6EDA" w:rsidRDefault="00DD400B">
            <w:pPr>
              <w:jc w:val="right"/>
            </w:pPr>
            <w:r>
              <w:rPr>
                <w:sz w:val="24"/>
              </w:rPr>
              <w:t>7,454,625.02</w:t>
            </w:r>
          </w:p>
        </w:tc>
        <w:tc>
          <w:tcPr>
            <w:tcW w:w="1093" w:type="dxa"/>
            <w:vAlign w:val="center"/>
          </w:tcPr>
          <w:p w:rsidR="001D6EDA" w:rsidRDefault="00DD400B">
            <w:pPr>
              <w:jc w:val="right"/>
            </w:pPr>
            <w:r>
              <w:rPr>
                <w:sz w:val="24"/>
              </w:rPr>
              <w:t>1.15%</w:t>
            </w:r>
          </w:p>
        </w:tc>
        <w:tc>
          <w:tcPr>
            <w:tcW w:w="1093" w:type="dxa"/>
            <w:vAlign w:val="center"/>
          </w:tcPr>
          <w:p w:rsidR="001D6EDA" w:rsidRDefault="00DD400B">
            <w:pPr>
              <w:jc w:val="right"/>
            </w:pPr>
            <w:r>
              <w:rPr>
                <w:sz w:val="24"/>
              </w:rPr>
              <w:t>13,000,000.00</w:t>
            </w:r>
          </w:p>
        </w:tc>
        <w:tc>
          <w:tcPr>
            <w:tcW w:w="1093" w:type="dxa"/>
            <w:vAlign w:val="center"/>
          </w:tcPr>
          <w:p w:rsidR="001D6EDA" w:rsidRDefault="00DD400B">
            <w:pPr>
              <w:jc w:val="right"/>
            </w:pPr>
            <w:r>
              <w:rPr>
                <w:sz w:val="24"/>
              </w:rPr>
              <w:t>0.12%</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中信建投证券股份有限公司</w:t>
            </w:r>
          </w:p>
        </w:tc>
        <w:tc>
          <w:tcPr>
            <w:tcW w:w="1092" w:type="dxa"/>
            <w:vAlign w:val="center"/>
          </w:tcPr>
          <w:p w:rsidR="001D6EDA" w:rsidRDefault="00DD400B">
            <w:pPr>
              <w:jc w:val="right"/>
            </w:pPr>
            <w:r>
              <w:rPr>
                <w:sz w:val="24"/>
              </w:rPr>
              <w:t>47,911,937.56</w:t>
            </w:r>
          </w:p>
        </w:tc>
        <w:tc>
          <w:tcPr>
            <w:tcW w:w="1093" w:type="dxa"/>
            <w:vAlign w:val="center"/>
          </w:tcPr>
          <w:p w:rsidR="001D6EDA" w:rsidRDefault="00DD400B">
            <w:pPr>
              <w:jc w:val="right"/>
            </w:pPr>
            <w:r>
              <w:rPr>
                <w:sz w:val="24"/>
              </w:rPr>
              <w:t>7.38%</w:t>
            </w:r>
          </w:p>
        </w:tc>
        <w:tc>
          <w:tcPr>
            <w:tcW w:w="1093" w:type="dxa"/>
            <w:vAlign w:val="center"/>
          </w:tcPr>
          <w:p w:rsidR="001D6EDA" w:rsidRDefault="00DD400B">
            <w:pPr>
              <w:jc w:val="right"/>
            </w:pPr>
            <w:r>
              <w:rPr>
                <w:sz w:val="24"/>
              </w:rPr>
              <w:t>22,000,000.00</w:t>
            </w:r>
          </w:p>
        </w:tc>
        <w:tc>
          <w:tcPr>
            <w:tcW w:w="1093" w:type="dxa"/>
            <w:vAlign w:val="center"/>
          </w:tcPr>
          <w:p w:rsidR="001D6EDA" w:rsidRDefault="00DD400B">
            <w:pPr>
              <w:jc w:val="right"/>
            </w:pPr>
            <w:r>
              <w:rPr>
                <w:sz w:val="24"/>
              </w:rPr>
              <w:t>0.21%</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中信证券股份有限公司</w:t>
            </w:r>
          </w:p>
        </w:tc>
        <w:tc>
          <w:tcPr>
            <w:tcW w:w="1092" w:type="dxa"/>
            <w:vAlign w:val="center"/>
          </w:tcPr>
          <w:p w:rsidR="001D6EDA" w:rsidRDefault="00DD400B">
            <w:pPr>
              <w:jc w:val="right"/>
            </w:pPr>
            <w:r>
              <w:rPr>
                <w:sz w:val="24"/>
              </w:rPr>
              <w:t>40,325,986.30</w:t>
            </w:r>
          </w:p>
        </w:tc>
        <w:tc>
          <w:tcPr>
            <w:tcW w:w="1093" w:type="dxa"/>
            <w:vAlign w:val="center"/>
          </w:tcPr>
          <w:p w:rsidR="001D6EDA" w:rsidRDefault="00DD400B">
            <w:pPr>
              <w:jc w:val="right"/>
            </w:pPr>
            <w:r>
              <w:rPr>
                <w:sz w:val="24"/>
              </w:rPr>
              <w:t>6.21%</w:t>
            </w:r>
          </w:p>
        </w:tc>
        <w:tc>
          <w:tcPr>
            <w:tcW w:w="1093" w:type="dxa"/>
            <w:vAlign w:val="center"/>
          </w:tcPr>
          <w:p w:rsidR="001D6EDA" w:rsidRDefault="00DD400B">
            <w:pPr>
              <w:jc w:val="right"/>
            </w:pPr>
            <w:r>
              <w:rPr>
                <w:sz w:val="24"/>
              </w:rPr>
              <w:t>-</w:t>
            </w:r>
          </w:p>
        </w:tc>
        <w:tc>
          <w:tcPr>
            <w:tcW w:w="1093" w:type="dxa"/>
            <w:vAlign w:val="center"/>
          </w:tcPr>
          <w:p w:rsidR="001D6EDA" w:rsidRDefault="00DD400B">
            <w:pPr>
              <w:jc w:val="right"/>
            </w:pPr>
            <w:r>
              <w:rPr>
                <w:sz w:val="24"/>
              </w:rPr>
              <w:t>-</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中国国际金融股份有限公司</w:t>
            </w:r>
          </w:p>
        </w:tc>
        <w:tc>
          <w:tcPr>
            <w:tcW w:w="1092" w:type="dxa"/>
            <w:vAlign w:val="center"/>
          </w:tcPr>
          <w:p w:rsidR="001D6EDA" w:rsidRDefault="00DD400B">
            <w:pPr>
              <w:jc w:val="right"/>
            </w:pPr>
            <w:r>
              <w:rPr>
                <w:sz w:val="24"/>
              </w:rPr>
              <w:t>3,936,446.40</w:t>
            </w:r>
          </w:p>
        </w:tc>
        <w:tc>
          <w:tcPr>
            <w:tcW w:w="1093" w:type="dxa"/>
            <w:vAlign w:val="center"/>
          </w:tcPr>
          <w:p w:rsidR="001D6EDA" w:rsidRDefault="00DD400B">
            <w:pPr>
              <w:jc w:val="right"/>
            </w:pPr>
            <w:r>
              <w:rPr>
                <w:sz w:val="24"/>
              </w:rPr>
              <w:t>0.61%</w:t>
            </w:r>
          </w:p>
        </w:tc>
        <w:tc>
          <w:tcPr>
            <w:tcW w:w="1093" w:type="dxa"/>
            <w:vAlign w:val="center"/>
          </w:tcPr>
          <w:p w:rsidR="001D6EDA" w:rsidRDefault="00DD400B">
            <w:pPr>
              <w:jc w:val="right"/>
            </w:pPr>
            <w:r>
              <w:rPr>
                <w:sz w:val="24"/>
              </w:rPr>
              <w:t>-</w:t>
            </w:r>
          </w:p>
        </w:tc>
        <w:tc>
          <w:tcPr>
            <w:tcW w:w="1093" w:type="dxa"/>
            <w:vAlign w:val="center"/>
          </w:tcPr>
          <w:p w:rsidR="001D6EDA" w:rsidRDefault="00DD400B">
            <w:pPr>
              <w:jc w:val="right"/>
            </w:pPr>
            <w:r>
              <w:rPr>
                <w:sz w:val="24"/>
              </w:rPr>
              <w:t>-</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华泰证券股份有限公司</w:t>
            </w:r>
          </w:p>
        </w:tc>
        <w:tc>
          <w:tcPr>
            <w:tcW w:w="1092" w:type="dxa"/>
            <w:vAlign w:val="center"/>
          </w:tcPr>
          <w:p w:rsidR="001D6EDA" w:rsidRDefault="00DD400B">
            <w:pPr>
              <w:jc w:val="right"/>
            </w:pPr>
            <w:r>
              <w:rPr>
                <w:sz w:val="24"/>
              </w:rPr>
              <w:t>29,604,297.50</w:t>
            </w:r>
          </w:p>
        </w:tc>
        <w:tc>
          <w:tcPr>
            <w:tcW w:w="1093" w:type="dxa"/>
            <w:vAlign w:val="center"/>
          </w:tcPr>
          <w:p w:rsidR="001D6EDA" w:rsidRDefault="00DD400B">
            <w:pPr>
              <w:jc w:val="right"/>
            </w:pPr>
            <w:r>
              <w:rPr>
                <w:sz w:val="24"/>
              </w:rPr>
              <w:t>4.56%</w:t>
            </w:r>
          </w:p>
        </w:tc>
        <w:tc>
          <w:tcPr>
            <w:tcW w:w="1093" w:type="dxa"/>
            <w:vAlign w:val="center"/>
          </w:tcPr>
          <w:p w:rsidR="001D6EDA" w:rsidRDefault="00DD400B">
            <w:pPr>
              <w:jc w:val="right"/>
            </w:pPr>
            <w:r>
              <w:rPr>
                <w:sz w:val="24"/>
              </w:rPr>
              <w:t>442,300,000.00</w:t>
            </w:r>
          </w:p>
        </w:tc>
        <w:tc>
          <w:tcPr>
            <w:tcW w:w="1093" w:type="dxa"/>
            <w:vAlign w:val="center"/>
          </w:tcPr>
          <w:p w:rsidR="001D6EDA" w:rsidRDefault="00DD400B">
            <w:pPr>
              <w:jc w:val="right"/>
            </w:pPr>
            <w:r>
              <w:rPr>
                <w:sz w:val="24"/>
              </w:rPr>
              <w:t>4.17%</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西部证券股份有限公司</w:t>
            </w:r>
          </w:p>
        </w:tc>
        <w:tc>
          <w:tcPr>
            <w:tcW w:w="1092" w:type="dxa"/>
            <w:vAlign w:val="center"/>
          </w:tcPr>
          <w:p w:rsidR="001D6EDA" w:rsidRDefault="00DD400B">
            <w:pPr>
              <w:jc w:val="right"/>
            </w:pPr>
            <w:r>
              <w:rPr>
                <w:sz w:val="24"/>
              </w:rPr>
              <w:t>24,094,387.60</w:t>
            </w:r>
          </w:p>
        </w:tc>
        <w:tc>
          <w:tcPr>
            <w:tcW w:w="1093" w:type="dxa"/>
            <w:vAlign w:val="center"/>
          </w:tcPr>
          <w:p w:rsidR="001D6EDA" w:rsidRDefault="00DD400B">
            <w:pPr>
              <w:jc w:val="right"/>
            </w:pPr>
            <w:r>
              <w:rPr>
                <w:sz w:val="24"/>
              </w:rPr>
              <w:t>3.71%</w:t>
            </w:r>
          </w:p>
        </w:tc>
        <w:tc>
          <w:tcPr>
            <w:tcW w:w="1093" w:type="dxa"/>
            <w:vAlign w:val="center"/>
          </w:tcPr>
          <w:p w:rsidR="001D6EDA" w:rsidRDefault="00DD400B">
            <w:pPr>
              <w:jc w:val="right"/>
            </w:pPr>
            <w:r>
              <w:rPr>
                <w:sz w:val="24"/>
              </w:rPr>
              <w:t>655,700,000.00</w:t>
            </w:r>
          </w:p>
        </w:tc>
        <w:tc>
          <w:tcPr>
            <w:tcW w:w="1093" w:type="dxa"/>
            <w:vAlign w:val="center"/>
          </w:tcPr>
          <w:p w:rsidR="001D6EDA" w:rsidRDefault="00DD400B">
            <w:pPr>
              <w:jc w:val="right"/>
            </w:pPr>
            <w:r>
              <w:rPr>
                <w:sz w:val="24"/>
              </w:rPr>
              <w:t>6.18%</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国盛证券有限责任公司</w:t>
            </w:r>
          </w:p>
        </w:tc>
        <w:tc>
          <w:tcPr>
            <w:tcW w:w="1092" w:type="dxa"/>
            <w:vAlign w:val="center"/>
          </w:tcPr>
          <w:p w:rsidR="001D6EDA" w:rsidRDefault="00DD400B">
            <w:pPr>
              <w:jc w:val="right"/>
            </w:pPr>
            <w:r>
              <w:rPr>
                <w:sz w:val="24"/>
              </w:rPr>
              <w:t>21,232,159.80</w:t>
            </w:r>
          </w:p>
        </w:tc>
        <w:tc>
          <w:tcPr>
            <w:tcW w:w="1093" w:type="dxa"/>
            <w:vAlign w:val="center"/>
          </w:tcPr>
          <w:p w:rsidR="001D6EDA" w:rsidRDefault="00DD400B">
            <w:pPr>
              <w:jc w:val="right"/>
            </w:pPr>
            <w:r>
              <w:rPr>
                <w:sz w:val="24"/>
              </w:rPr>
              <w:t>3.27%</w:t>
            </w:r>
          </w:p>
        </w:tc>
        <w:tc>
          <w:tcPr>
            <w:tcW w:w="1093" w:type="dxa"/>
            <w:vAlign w:val="center"/>
          </w:tcPr>
          <w:p w:rsidR="001D6EDA" w:rsidRDefault="00DD400B">
            <w:pPr>
              <w:jc w:val="right"/>
            </w:pPr>
            <w:r>
              <w:rPr>
                <w:sz w:val="24"/>
              </w:rPr>
              <w:t>1,294,500,000.00</w:t>
            </w:r>
          </w:p>
        </w:tc>
        <w:tc>
          <w:tcPr>
            <w:tcW w:w="1093" w:type="dxa"/>
            <w:vAlign w:val="center"/>
          </w:tcPr>
          <w:p w:rsidR="001D6EDA" w:rsidRDefault="00DD400B">
            <w:pPr>
              <w:jc w:val="right"/>
            </w:pPr>
            <w:r>
              <w:rPr>
                <w:sz w:val="24"/>
              </w:rPr>
              <w:t>12.20%</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长江证券股份有限公司</w:t>
            </w:r>
          </w:p>
        </w:tc>
        <w:tc>
          <w:tcPr>
            <w:tcW w:w="1092" w:type="dxa"/>
            <w:vAlign w:val="center"/>
          </w:tcPr>
          <w:p w:rsidR="001D6EDA" w:rsidRDefault="00DD400B">
            <w:pPr>
              <w:jc w:val="right"/>
            </w:pPr>
            <w:r>
              <w:rPr>
                <w:sz w:val="24"/>
              </w:rPr>
              <w:t>157,170,159.00</w:t>
            </w:r>
          </w:p>
        </w:tc>
        <w:tc>
          <w:tcPr>
            <w:tcW w:w="1093" w:type="dxa"/>
            <w:vAlign w:val="center"/>
          </w:tcPr>
          <w:p w:rsidR="001D6EDA" w:rsidRDefault="00DD400B">
            <w:pPr>
              <w:jc w:val="right"/>
            </w:pPr>
            <w:r>
              <w:rPr>
                <w:sz w:val="24"/>
              </w:rPr>
              <w:t>24.21%</w:t>
            </w:r>
          </w:p>
        </w:tc>
        <w:tc>
          <w:tcPr>
            <w:tcW w:w="1093" w:type="dxa"/>
            <w:vAlign w:val="center"/>
          </w:tcPr>
          <w:p w:rsidR="001D6EDA" w:rsidRDefault="00DD400B">
            <w:pPr>
              <w:jc w:val="right"/>
            </w:pPr>
            <w:r>
              <w:rPr>
                <w:sz w:val="24"/>
              </w:rPr>
              <w:t>79,000,000.00</w:t>
            </w:r>
          </w:p>
        </w:tc>
        <w:tc>
          <w:tcPr>
            <w:tcW w:w="1093" w:type="dxa"/>
            <w:vAlign w:val="center"/>
          </w:tcPr>
          <w:p w:rsidR="001D6EDA" w:rsidRDefault="00DD400B">
            <w:pPr>
              <w:jc w:val="right"/>
            </w:pPr>
            <w:r>
              <w:rPr>
                <w:sz w:val="24"/>
              </w:rPr>
              <w:t>0.74%</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方正证券股份有限公司</w:t>
            </w:r>
          </w:p>
        </w:tc>
        <w:tc>
          <w:tcPr>
            <w:tcW w:w="1092" w:type="dxa"/>
            <w:vAlign w:val="center"/>
          </w:tcPr>
          <w:p w:rsidR="001D6EDA" w:rsidRDefault="00DD400B">
            <w:pPr>
              <w:jc w:val="right"/>
            </w:pPr>
            <w:r>
              <w:rPr>
                <w:sz w:val="24"/>
              </w:rPr>
              <w:t>12,109,773.83</w:t>
            </w:r>
          </w:p>
        </w:tc>
        <w:tc>
          <w:tcPr>
            <w:tcW w:w="1093" w:type="dxa"/>
            <w:vAlign w:val="center"/>
          </w:tcPr>
          <w:p w:rsidR="001D6EDA" w:rsidRDefault="00DD400B">
            <w:pPr>
              <w:jc w:val="right"/>
            </w:pPr>
            <w:r>
              <w:rPr>
                <w:sz w:val="24"/>
              </w:rPr>
              <w:t>1.87%</w:t>
            </w:r>
          </w:p>
        </w:tc>
        <w:tc>
          <w:tcPr>
            <w:tcW w:w="1093" w:type="dxa"/>
            <w:vAlign w:val="center"/>
          </w:tcPr>
          <w:p w:rsidR="001D6EDA" w:rsidRDefault="00DD400B">
            <w:pPr>
              <w:jc w:val="right"/>
            </w:pPr>
            <w:r>
              <w:rPr>
                <w:sz w:val="24"/>
              </w:rPr>
              <w:t>7,000,000.00</w:t>
            </w:r>
          </w:p>
        </w:tc>
        <w:tc>
          <w:tcPr>
            <w:tcW w:w="1093" w:type="dxa"/>
            <w:vAlign w:val="center"/>
          </w:tcPr>
          <w:p w:rsidR="001D6EDA" w:rsidRDefault="00DD400B">
            <w:pPr>
              <w:jc w:val="right"/>
            </w:pPr>
            <w:r>
              <w:rPr>
                <w:sz w:val="24"/>
              </w:rPr>
              <w:t>0.07%</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r w:rsidR="001D6EDA">
        <w:tc>
          <w:tcPr>
            <w:tcW w:w="2437" w:type="dxa"/>
            <w:vAlign w:val="center"/>
          </w:tcPr>
          <w:p w:rsidR="001D6EDA" w:rsidRDefault="00DD400B">
            <w:r>
              <w:rPr>
                <w:sz w:val="24"/>
              </w:rPr>
              <w:t>东方证券股份有限公司</w:t>
            </w:r>
          </w:p>
        </w:tc>
        <w:tc>
          <w:tcPr>
            <w:tcW w:w="1092" w:type="dxa"/>
            <w:vAlign w:val="center"/>
          </w:tcPr>
          <w:p w:rsidR="001D6EDA" w:rsidRDefault="00DD400B">
            <w:pPr>
              <w:jc w:val="right"/>
            </w:pPr>
            <w:r>
              <w:rPr>
                <w:sz w:val="24"/>
              </w:rPr>
              <w:t>113,651,974.41</w:t>
            </w:r>
          </w:p>
        </w:tc>
        <w:tc>
          <w:tcPr>
            <w:tcW w:w="1093" w:type="dxa"/>
            <w:vAlign w:val="center"/>
          </w:tcPr>
          <w:p w:rsidR="001D6EDA" w:rsidRDefault="00DD400B">
            <w:pPr>
              <w:jc w:val="right"/>
            </w:pPr>
            <w:r>
              <w:rPr>
                <w:sz w:val="24"/>
              </w:rPr>
              <w:t>17.51%</w:t>
            </w:r>
          </w:p>
        </w:tc>
        <w:tc>
          <w:tcPr>
            <w:tcW w:w="1093" w:type="dxa"/>
            <w:vAlign w:val="center"/>
          </w:tcPr>
          <w:p w:rsidR="001D6EDA" w:rsidRDefault="00DD400B">
            <w:pPr>
              <w:jc w:val="right"/>
            </w:pPr>
            <w:r>
              <w:rPr>
                <w:sz w:val="24"/>
              </w:rPr>
              <w:t>2,873,100,000.00</w:t>
            </w:r>
          </w:p>
        </w:tc>
        <w:tc>
          <w:tcPr>
            <w:tcW w:w="1093" w:type="dxa"/>
            <w:vAlign w:val="center"/>
          </w:tcPr>
          <w:p w:rsidR="001D6EDA" w:rsidRDefault="00DD400B">
            <w:pPr>
              <w:jc w:val="right"/>
            </w:pPr>
            <w:r>
              <w:rPr>
                <w:sz w:val="24"/>
              </w:rPr>
              <w:t>27.08%</w:t>
            </w:r>
          </w:p>
        </w:tc>
        <w:tc>
          <w:tcPr>
            <w:tcW w:w="1093" w:type="dxa"/>
            <w:vAlign w:val="center"/>
          </w:tcPr>
          <w:p w:rsidR="001D6EDA" w:rsidRDefault="00DD400B">
            <w:pPr>
              <w:jc w:val="right"/>
            </w:pPr>
            <w:r>
              <w:rPr>
                <w:sz w:val="24"/>
              </w:rPr>
              <w:t>-</w:t>
            </w:r>
          </w:p>
        </w:tc>
        <w:tc>
          <w:tcPr>
            <w:tcW w:w="1097" w:type="dxa"/>
            <w:vAlign w:val="center"/>
          </w:tcPr>
          <w:p w:rsidR="001D6EDA" w:rsidRDefault="00DD400B">
            <w:pPr>
              <w:jc w:val="right"/>
            </w:pPr>
            <w:r>
              <w:rPr>
                <w:sz w:val="24"/>
              </w:rPr>
              <w:t>-</w:t>
            </w:r>
          </w:p>
        </w:tc>
      </w:tr>
    </w:tbl>
    <w:p w:rsidR="001D6EDA" w:rsidRDefault="00DD400B">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、报告期内，本基金新增加交易单元为国盛证券有限责任公司，其它交易单元未发生变化；</w:t>
      </w:r>
    </w:p>
    <w:p w:rsidR="001D6EDA" w:rsidRDefault="00DD400B">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45565B" w:rsidRDefault="00DA3AB8" w:rsidP="00A7746B">
      <w:pPr>
        <w:pStyle w:val="1"/>
        <w:keepNext/>
        <w:keepLines/>
        <w:widowControl w:val="0"/>
        <w:spacing w:beforeLines="100" w:before="312" w:afterLines="100" w:after="312" w:line="360" w:lineRule="auto"/>
        <w:jc w:val="center"/>
        <w:rPr>
          <w:rFonts w:eastAsiaTheme="minorEastAsia"/>
          <w:b/>
          <w:bCs/>
          <w:sz w:val="21"/>
          <w:szCs w:val="21"/>
          <w:lang w:val="en-US"/>
        </w:rPr>
      </w:pPr>
      <w:bookmarkStart w:id="136"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6"/>
    </w:p>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4F0662" w:rsidTr="002F6177">
        <w:tc>
          <w:tcPr>
            <w:tcW w:w="993" w:type="dxa"/>
            <w:vMerge w:val="restart"/>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DA3AB8" w:rsidRPr="004F0662" w:rsidTr="002F6177">
        <w:tc>
          <w:tcPr>
            <w:tcW w:w="993" w:type="dxa"/>
            <w:vMerge/>
            <w:vAlign w:val="center"/>
          </w:tcPr>
          <w:p w:rsidR="00DA3AB8" w:rsidRPr="004F0662" w:rsidRDefault="00DA3AB8" w:rsidP="002F6177">
            <w:pPr>
              <w:autoSpaceDE w:val="0"/>
              <w:autoSpaceDN w:val="0"/>
              <w:adjustRightInd w:val="0"/>
              <w:jc w:val="center"/>
              <w:rPr>
                <w:rFonts w:ascii="宋体" w:hAnsi="宋体"/>
                <w:b/>
                <w:bCs/>
                <w:color w:val="000000"/>
                <w:kern w:val="0"/>
                <w:szCs w:val="21"/>
              </w:rPr>
            </w:pPr>
          </w:p>
        </w:tc>
        <w:tc>
          <w:tcPr>
            <w:tcW w:w="992"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1D6EDA">
        <w:tc>
          <w:tcPr>
            <w:tcW w:w="993" w:type="dxa"/>
            <w:vMerge w:val="restart"/>
          </w:tcPr>
          <w:p w:rsidR="001D6EDA" w:rsidRDefault="001D6EDA"/>
          <w:p w:rsidR="001D6EDA" w:rsidRDefault="00DD400B">
            <w:r>
              <w:rPr>
                <w:rFonts w:ascii="宋体" w:hAnsi="宋体" w:hint="eastAsia"/>
                <w:bCs/>
                <w:color w:val="000000"/>
                <w:kern w:val="0"/>
                <w:szCs w:val="21"/>
              </w:rPr>
              <w:t>机构</w:t>
            </w:r>
          </w:p>
        </w:tc>
        <w:tc>
          <w:tcPr>
            <w:tcW w:w="992" w:type="dxa"/>
            <w:vAlign w:val="center"/>
          </w:tcPr>
          <w:p w:rsidR="001D6EDA" w:rsidRDefault="00DD400B">
            <w:pPr>
              <w:jc w:val="center"/>
            </w:pPr>
            <w:r>
              <w:rPr>
                <w:rFonts w:ascii="宋体" w:hAnsi="宋体"/>
                <w:color w:val="000000"/>
                <w:kern w:val="0"/>
                <w:szCs w:val="21"/>
              </w:rPr>
              <w:t>1</w:t>
            </w:r>
          </w:p>
        </w:tc>
        <w:tc>
          <w:tcPr>
            <w:tcW w:w="1843" w:type="dxa"/>
            <w:vAlign w:val="center"/>
          </w:tcPr>
          <w:p w:rsidR="001D6EDA" w:rsidRDefault="00DD400B">
            <w:pPr>
              <w:jc w:val="center"/>
            </w:pPr>
            <w:r>
              <w:rPr>
                <w:rFonts w:ascii="宋体" w:hAnsi="宋体"/>
                <w:color w:val="000000"/>
                <w:kern w:val="0"/>
                <w:szCs w:val="21"/>
              </w:rPr>
              <w:t>2019/1/1-2019/6/30</w:t>
            </w:r>
          </w:p>
        </w:tc>
        <w:tc>
          <w:tcPr>
            <w:tcW w:w="851" w:type="dxa"/>
            <w:vAlign w:val="center"/>
          </w:tcPr>
          <w:p w:rsidR="001D6EDA" w:rsidRDefault="00DD400B">
            <w:pPr>
              <w:jc w:val="center"/>
            </w:pPr>
            <w:r>
              <w:rPr>
                <w:rFonts w:ascii="宋体" w:hAnsi="宋体"/>
                <w:color w:val="000000"/>
                <w:kern w:val="0"/>
                <w:szCs w:val="21"/>
              </w:rPr>
              <w:t>-</w:t>
            </w:r>
          </w:p>
        </w:tc>
        <w:tc>
          <w:tcPr>
            <w:tcW w:w="850" w:type="dxa"/>
            <w:vAlign w:val="center"/>
          </w:tcPr>
          <w:p w:rsidR="001D6EDA" w:rsidRDefault="00DD400B">
            <w:pPr>
              <w:jc w:val="center"/>
            </w:pPr>
            <w:r>
              <w:rPr>
                <w:rFonts w:ascii="宋体" w:hAnsi="宋体"/>
                <w:color w:val="000000"/>
                <w:kern w:val="0"/>
                <w:szCs w:val="21"/>
              </w:rPr>
              <w:t>98,257,804.30</w:t>
            </w:r>
          </w:p>
        </w:tc>
        <w:tc>
          <w:tcPr>
            <w:tcW w:w="1134" w:type="dxa"/>
            <w:vAlign w:val="center"/>
          </w:tcPr>
          <w:p w:rsidR="001D6EDA" w:rsidRDefault="00DD400B">
            <w:pPr>
              <w:jc w:val="center"/>
            </w:pPr>
            <w:r>
              <w:rPr>
                <w:rFonts w:ascii="宋体" w:hAnsi="宋体"/>
                <w:color w:val="000000"/>
                <w:kern w:val="0"/>
                <w:szCs w:val="21"/>
              </w:rPr>
              <w:t>49,131,325.20</w:t>
            </w:r>
          </w:p>
        </w:tc>
        <w:tc>
          <w:tcPr>
            <w:tcW w:w="1419" w:type="dxa"/>
            <w:vAlign w:val="center"/>
          </w:tcPr>
          <w:p w:rsidR="001D6EDA" w:rsidRDefault="00DD400B">
            <w:pPr>
              <w:jc w:val="center"/>
            </w:pPr>
            <w:r>
              <w:rPr>
                <w:rFonts w:ascii="宋体" w:hAnsi="宋体"/>
                <w:color w:val="000000"/>
                <w:kern w:val="0"/>
                <w:szCs w:val="21"/>
              </w:rPr>
              <w:t>49,126,479.10</w:t>
            </w:r>
          </w:p>
        </w:tc>
        <w:tc>
          <w:tcPr>
            <w:tcW w:w="1130" w:type="dxa"/>
            <w:vAlign w:val="center"/>
          </w:tcPr>
          <w:p w:rsidR="001D6EDA" w:rsidRDefault="00DD400B">
            <w:pPr>
              <w:jc w:val="center"/>
            </w:pPr>
            <w:r>
              <w:rPr>
                <w:rFonts w:ascii="宋体" w:hAnsi="宋体"/>
                <w:color w:val="000000"/>
                <w:kern w:val="0"/>
                <w:szCs w:val="21"/>
              </w:rPr>
              <w:t>10.85%</w:t>
            </w:r>
          </w:p>
        </w:tc>
      </w:tr>
      <w:tr w:rsidR="001D6EDA">
        <w:tc>
          <w:tcPr>
            <w:tcW w:w="993" w:type="dxa"/>
            <w:vMerge/>
          </w:tcPr>
          <w:p w:rsidR="001D6EDA" w:rsidRDefault="001D6EDA"/>
        </w:tc>
        <w:tc>
          <w:tcPr>
            <w:tcW w:w="992" w:type="dxa"/>
            <w:vAlign w:val="center"/>
          </w:tcPr>
          <w:p w:rsidR="001D6EDA" w:rsidRDefault="00DD400B">
            <w:pPr>
              <w:jc w:val="center"/>
            </w:pPr>
            <w:r>
              <w:rPr>
                <w:rFonts w:ascii="宋体" w:hAnsi="宋体"/>
                <w:color w:val="000000"/>
                <w:kern w:val="0"/>
                <w:szCs w:val="21"/>
              </w:rPr>
              <w:t>2</w:t>
            </w:r>
          </w:p>
        </w:tc>
        <w:tc>
          <w:tcPr>
            <w:tcW w:w="1843" w:type="dxa"/>
            <w:vAlign w:val="center"/>
          </w:tcPr>
          <w:p w:rsidR="001D6EDA" w:rsidRDefault="00DD400B">
            <w:pPr>
              <w:jc w:val="center"/>
            </w:pPr>
            <w:r>
              <w:rPr>
                <w:rFonts w:ascii="宋体" w:hAnsi="宋体"/>
                <w:color w:val="000000"/>
                <w:kern w:val="0"/>
                <w:szCs w:val="21"/>
              </w:rPr>
              <w:t>2019/1/1-2019/6/30</w:t>
            </w:r>
          </w:p>
        </w:tc>
        <w:tc>
          <w:tcPr>
            <w:tcW w:w="851" w:type="dxa"/>
            <w:vAlign w:val="center"/>
          </w:tcPr>
          <w:p w:rsidR="001D6EDA" w:rsidRDefault="00DD400B">
            <w:pPr>
              <w:jc w:val="center"/>
            </w:pPr>
            <w:r>
              <w:rPr>
                <w:rFonts w:ascii="宋体" w:hAnsi="宋体"/>
                <w:color w:val="000000"/>
                <w:kern w:val="0"/>
                <w:szCs w:val="21"/>
              </w:rPr>
              <w:t>66,245,817.42</w:t>
            </w:r>
          </w:p>
        </w:tc>
        <w:tc>
          <w:tcPr>
            <w:tcW w:w="850" w:type="dxa"/>
            <w:vAlign w:val="center"/>
          </w:tcPr>
          <w:p w:rsidR="001D6EDA" w:rsidRDefault="00DD400B">
            <w:pPr>
              <w:jc w:val="center"/>
            </w:pPr>
            <w:r>
              <w:rPr>
                <w:rFonts w:ascii="宋体" w:hAnsi="宋体"/>
                <w:color w:val="000000"/>
                <w:kern w:val="0"/>
                <w:szCs w:val="21"/>
              </w:rPr>
              <w:t>-</w:t>
            </w:r>
          </w:p>
        </w:tc>
        <w:tc>
          <w:tcPr>
            <w:tcW w:w="1134" w:type="dxa"/>
            <w:vAlign w:val="center"/>
          </w:tcPr>
          <w:p w:rsidR="001D6EDA" w:rsidRDefault="00DD400B">
            <w:pPr>
              <w:jc w:val="center"/>
            </w:pPr>
            <w:r>
              <w:rPr>
                <w:rFonts w:ascii="宋体" w:hAnsi="宋体"/>
                <w:color w:val="000000"/>
                <w:kern w:val="0"/>
                <w:szCs w:val="21"/>
              </w:rPr>
              <w:t>-</w:t>
            </w:r>
          </w:p>
        </w:tc>
        <w:tc>
          <w:tcPr>
            <w:tcW w:w="1419" w:type="dxa"/>
            <w:vAlign w:val="center"/>
          </w:tcPr>
          <w:p w:rsidR="001D6EDA" w:rsidRDefault="00DD400B">
            <w:pPr>
              <w:jc w:val="center"/>
            </w:pPr>
            <w:r>
              <w:rPr>
                <w:rFonts w:ascii="宋体" w:hAnsi="宋体"/>
                <w:color w:val="000000"/>
                <w:kern w:val="0"/>
                <w:szCs w:val="21"/>
              </w:rPr>
              <w:t>66,245,817.42</w:t>
            </w:r>
          </w:p>
        </w:tc>
        <w:tc>
          <w:tcPr>
            <w:tcW w:w="1130" w:type="dxa"/>
            <w:vAlign w:val="center"/>
          </w:tcPr>
          <w:p w:rsidR="001D6EDA" w:rsidRDefault="00DD400B">
            <w:pPr>
              <w:jc w:val="center"/>
            </w:pPr>
            <w:r>
              <w:rPr>
                <w:rFonts w:ascii="宋体" w:hAnsi="宋体"/>
                <w:color w:val="000000"/>
                <w:kern w:val="0"/>
                <w:szCs w:val="21"/>
              </w:rPr>
              <w:t>14.63%</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000000" w:rsidRDefault="00DD400B"/>
    <w:sectPr w:rsidR="00000000"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08" w:rsidRDefault="00356B08">
      <w:r>
        <w:separator/>
      </w:r>
    </w:p>
  </w:endnote>
  <w:endnote w:type="continuationSeparator" w:id="0">
    <w:p w:rsidR="00356B08" w:rsidRDefault="003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881E36"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881E36">
      <w:rPr>
        <w:kern w:val="0"/>
        <w:szCs w:val="21"/>
      </w:rPr>
      <w:fldChar w:fldCharType="begin"/>
    </w:r>
    <w:r>
      <w:rPr>
        <w:kern w:val="0"/>
        <w:szCs w:val="21"/>
      </w:rPr>
      <w:instrText xml:space="preserve"> PAGE </w:instrText>
    </w:r>
    <w:r w:rsidR="00881E36">
      <w:rPr>
        <w:kern w:val="0"/>
        <w:szCs w:val="21"/>
      </w:rPr>
      <w:fldChar w:fldCharType="separate"/>
    </w:r>
    <w:r w:rsidR="00DD400B">
      <w:rPr>
        <w:noProof/>
        <w:kern w:val="0"/>
        <w:szCs w:val="21"/>
      </w:rPr>
      <w:t>23</w:t>
    </w:r>
    <w:r w:rsidR="00881E36">
      <w:rPr>
        <w:kern w:val="0"/>
        <w:szCs w:val="21"/>
      </w:rPr>
      <w:fldChar w:fldCharType="end"/>
    </w:r>
    <w:r>
      <w:rPr>
        <w:rFonts w:hint="eastAsia"/>
        <w:kern w:val="0"/>
        <w:szCs w:val="21"/>
      </w:rPr>
      <w:t>页共</w:t>
    </w:r>
    <w:r w:rsidR="00881E36">
      <w:rPr>
        <w:kern w:val="0"/>
        <w:szCs w:val="21"/>
      </w:rPr>
      <w:fldChar w:fldCharType="begin"/>
    </w:r>
    <w:r>
      <w:rPr>
        <w:kern w:val="0"/>
        <w:szCs w:val="21"/>
      </w:rPr>
      <w:instrText xml:space="preserve"> NUMPAGES </w:instrText>
    </w:r>
    <w:r w:rsidR="00881E36">
      <w:rPr>
        <w:kern w:val="0"/>
        <w:szCs w:val="21"/>
      </w:rPr>
      <w:fldChar w:fldCharType="separate"/>
    </w:r>
    <w:r w:rsidR="00DD400B">
      <w:rPr>
        <w:noProof/>
        <w:kern w:val="0"/>
        <w:szCs w:val="21"/>
      </w:rPr>
      <w:t>31</w:t>
    </w:r>
    <w:r w:rsidR="00881E3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08" w:rsidRDefault="00356B08">
      <w:r>
        <w:separator/>
      </w:r>
    </w:p>
  </w:footnote>
  <w:footnote w:type="continuationSeparator" w:id="0">
    <w:p w:rsidR="00356B08" w:rsidRDefault="0035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t>交银施罗德增利债券证券投资基金</w:t>
    </w:r>
    <w:r w:rsidRPr="003B6CAA">
      <w:t>2019</w:t>
    </w:r>
    <w:r w:rsidRPr="003B6CAA">
      <w:t>年半年度报告</w:t>
    </w:r>
    <w:r w:rsidRPr="003B6CAA">
      <w:rPr>
        <w:rFonts w:hint="eastAsia"/>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EF0"/>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4C44"/>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22E1"/>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35E"/>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6EDA"/>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07C2A"/>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A83"/>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6E1"/>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64C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6B08"/>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3FE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715"/>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36C"/>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1E36"/>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3FCB"/>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2F0"/>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0177"/>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46B"/>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5FE"/>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400B"/>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0EF9C7EB-AEB8-4A10-A1A1-607C776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31</Pages>
  <Words>3353</Words>
  <Characters>19114</Characters>
  <Application>Microsoft Office Word</Application>
  <DocSecurity>0</DocSecurity>
  <Lines>159</Lines>
  <Paragraphs>44</Paragraphs>
  <ScaleCrop>false</ScaleCrop>
  <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杨书月</cp:lastModifiedBy>
  <cp:revision>663</cp:revision>
  <cp:lastPrinted>2007-07-19T00:46:00Z</cp:lastPrinted>
  <dcterms:created xsi:type="dcterms:W3CDTF">2013-08-19T07:43:00Z</dcterms:created>
  <dcterms:modified xsi:type="dcterms:W3CDTF">2019-08-23T08:19:00Z</dcterms:modified>
</cp:coreProperties>
</file>