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交银施罗德先锋混合型证券投资基金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中国农业银行股份有限公司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交银先锋混合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519698</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2695"/>
            <w:vAlign w:val="center"/>
          </w:tcPr>
          <w:p w:rsidP="00AC6DDA" w:rsidR="005914A2" w:rsidRDefault="005914A2" w:rsidRPr="005C672D">
            <w:pPr>
              <w:spacing w:before="29" w:line="288" w:lineRule="auto"/>
              <w:jc w:val="center"/>
              <w:rPr>
                <w:sz w:val="24"/>
              </w:rPr>
            </w:pPr>
            <w:r w:rsidRPr="005C672D">
              <w:rPr>
                <w:sz w:val="24"/>
              </w:rPr>
              <w:t xml:space="preserve"> 519698(</w:t>
            </w:r>
            <w:r w:rsidRPr="005C672D">
              <w:rPr>
                <w:sz w:val="24"/>
              </w:rPr>
              <w:t>前端</w:t>
            </w:r>
            <w:r w:rsidRPr="005C672D">
              <w:rPr>
                <w:sz w:val="24"/>
              </w:rPr>
              <w:t>)</w:t>
            </w:r>
          </w:p>
        </w:tc>
        <w:tc>
          <w:tcPr>
            <w:tcW w:type="dxa" w:w="2696"/>
            <w:gridSpan w:val="2"/>
            <w:vAlign w:val="center"/>
          </w:tcPr>
          <w:p w:rsidP="00AC6DDA" w:rsidR="005914A2" w:rsidRDefault="005914A2" w:rsidRPr="005C672D">
            <w:pPr>
              <w:spacing w:before="29" w:line="288" w:lineRule="auto"/>
              <w:jc w:val="center"/>
              <w:rPr>
                <w:sz w:val="24"/>
              </w:rPr>
            </w:pPr>
            <w:r w:rsidRPr="005C672D">
              <w:rPr>
                <w:sz w:val="24"/>
              </w:rPr>
              <w:t xml:space="preserve"> 519699(</w:t>
            </w:r>
            <w:r w:rsidRPr="005C672D">
              <w:rPr>
                <w:sz w:val="24"/>
              </w:rPr>
              <w:t>后端</w:t>
            </w:r>
            <w:r w:rsidRPr="005C672D">
              <w:rPr>
                <w:sz w:val="24"/>
              </w:rPr>
              <w:t>)</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2009年4月10日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中国农业银行股份有限公司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890,386,115.80</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75%×中证700指数+25%×中证综合债券指数</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140,455,513.41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292,321,642.16</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0.3150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27.36%</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0.3025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1,159,704,269.42</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1.3025</w:t>
            </w:r>
          </w:p>
        </w:tc>
      </w:tr>
    </w:tbl>
    <w:bookmarkEnd w:id="14"/>
    <w:bookmarkEnd w:id="15"/>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2.72%</w:t>
            </w:r>
          </w:p>
        </w:tc>
        <w:tc>
          <w:tcPr>
            <w:vAlign w:val="center"/>
          </w:tcPr>
          <w:p>
            <w:pPr>
              <w:jc w:val="center"/>
            </w:pPr>
            <w:r>
              <w:rPr>
                <w:color w:val="000000"/>
                <w:sz w:val="24"/>
              </w:rPr>
              <w:t>1.44%</w:t>
            </w:r>
          </w:p>
        </w:tc>
        <w:tc>
          <w:tcPr>
            <w:vAlign w:val="center"/>
          </w:tcPr>
          <w:p>
            <w:pPr>
              <w:jc w:val="center"/>
            </w:pPr>
            <w:r>
              <w:rPr>
                <w:color w:val="000000"/>
                <w:sz w:val="24"/>
              </w:rPr>
              <w:t>1.47%</w:t>
            </w:r>
          </w:p>
        </w:tc>
        <w:tc>
          <w:tcPr>
            <w:vAlign w:val="center"/>
          </w:tcPr>
          <w:p>
            <w:pPr>
              <w:jc w:val="center"/>
            </w:pPr>
            <w:r>
              <w:rPr>
                <w:color w:val="000000"/>
                <w:sz w:val="24"/>
              </w:rPr>
              <w:t>0.96%</w:t>
            </w:r>
          </w:p>
        </w:tc>
        <w:tc>
          <w:tcPr>
            <w:vAlign w:val="center"/>
          </w:tcPr>
          <w:p>
            <w:pPr>
              <w:jc w:val="center"/>
            </w:pPr>
            <w:r>
              <w:rPr>
                <w:color w:val="000000"/>
                <w:sz w:val="24"/>
              </w:rPr>
              <w:t>1.25%</w:t>
            </w:r>
          </w:p>
        </w:tc>
        <w:tc>
          <w:tcPr>
            <w:vAlign w:val="center"/>
          </w:tcPr>
          <w:p>
            <w:pPr>
              <w:jc w:val="center"/>
            </w:pPr>
            <w:r>
              <w:rPr>
                <w:color w:val="000000"/>
                <w:sz w:val="24"/>
              </w:rPr>
              <w:t>0.48%</w:t>
            </w:r>
          </w:p>
        </w:tc>
      </w:tr>
      <w:tr>
        <w:tc>
          <w:tcPr>
            <w:vAlign w:val="center"/>
          </w:tcPr>
          <w:p>
            <w:pPr>
              <w:jc w:val="left"/>
            </w:pPr>
            <w:r>
              <w:rPr>
                <w:color w:val="000000"/>
                <w:sz w:val="24"/>
              </w:rPr>
              <w:t>过去三个月</w:t>
            </w:r>
          </w:p>
        </w:tc>
        <w:tc>
          <w:tcPr>
            <w:vAlign w:val="center"/>
          </w:tcPr>
          <w:p>
            <w:pPr>
              <w:jc w:val="center"/>
            </w:pPr>
            <w:r>
              <w:rPr>
                <w:color w:val="000000"/>
                <w:sz w:val="24"/>
              </w:rPr>
              <w:t>-7.62%</w:t>
            </w:r>
          </w:p>
        </w:tc>
        <w:tc>
          <w:tcPr>
            <w:vAlign w:val="center"/>
          </w:tcPr>
          <w:p>
            <w:pPr>
              <w:jc w:val="center"/>
            </w:pPr>
            <w:r>
              <w:rPr>
                <w:color w:val="000000"/>
                <w:sz w:val="24"/>
              </w:rPr>
              <w:t>1.77%</w:t>
            </w:r>
          </w:p>
        </w:tc>
        <w:tc>
          <w:tcPr>
            <w:vAlign w:val="center"/>
          </w:tcPr>
          <w:p>
            <w:pPr>
              <w:jc w:val="center"/>
            </w:pPr>
            <w:r>
              <w:rPr>
                <w:color w:val="000000"/>
                <w:sz w:val="24"/>
              </w:rPr>
              <w:t>-6.71%</w:t>
            </w:r>
          </w:p>
        </w:tc>
        <w:tc>
          <w:tcPr>
            <w:vAlign w:val="center"/>
          </w:tcPr>
          <w:p>
            <w:pPr>
              <w:jc w:val="center"/>
            </w:pPr>
            <w:r>
              <w:rPr>
                <w:color w:val="000000"/>
                <w:sz w:val="24"/>
              </w:rPr>
              <w:t>1.30%</w:t>
            </w:r>
          </w:p>
        </w:tc>
        <w:tc>
          <w:tcPr>
            <w:vAlign w:val="center"/>
          </w:tcPr>
          <w:p>
            <w:pPr>
              <w:jc w:val="center"/>
            </w:pPr>
            <w:r>
              <w:rPr>
                <w:color w:val="000000"/>
                <w:sz w:val="24"/>
              </w:rPr>
              <w:t>-0.91%</w:t>
            </w:r>
          </w:p>
        </w:tc>
        <w:tc>
          <w:tcPr>
            <w:vAlign w:val="center"/>
          </w:tcPr>
          <w:p>
            <w:pPr>
              <w:jc w:val="center"/>
            </w:pPr>
            <w:r>
              <w:rPr>
                <w:color w:val="000000"/>
                <w:sz w:val="24"/>
              </w:rPr>
              <w:t>0.47%</w:t>
            </w:r>
          </w:p>
        </w:tc>
      </w:tr>
      <w:tr>
        <w:tc>
          <w:tcPr>
            <w:vAlign w:val="center"/>
          </w:tcPr>
          <w:p>
            <w:pPr>
              <w:jc w:val="left"/>
            </w:pPr>
            <w:r>
              <w:rPr>
                <w:color w:val="000000"/>
                <w:sz w:val="24"/>
              </w:rPr>
              <w:t>过去六个月</w:t>
            </w:r>
          </w:p>
        </w:tc>
        <w:tc>
          <w:tcPr>
            <w:vAlign w:val="center"/>
          </w:tcPr>
          <w:p>
            <w:pPr>
              <w:jc w:val="center"/>
            </w:pPr>
            <w:r>
              <w:rPr>
                <w:color w:val="000000"/>
                <w:sz w:val="24"/>
              </w:rPr>
              <w:t>27.36%</w:t>
            </w:r>
          </w:p>
        </w:tc>
        <w:tc>
          <w:tcPr>
            <w:vAlign w:val="center"/>
          </w:tcPr>
          <w:p>
            <w:pPr>
              <w:jc w:val="center"/>
            </w:pPr>
            <w:r>
              <w:rPr>
                <w:color w:val="000000"/>
                <w:sz w:val="24"/>
              </w:rPr>
              <w:t>1.88%</w:t>
            </w:r>
          </w:p>
        </w:tc>
        <w:tc>
          <w:tcPr>
            <w:vAlign w:val="center"/>
          </w:tcPr>
          <w:p>
            <w:pPr>
              <w:jc w:val="center"/>
            </w:pPr>
            <w:r>
              <w:rPr>
                <w:color w:val="000000"/>
                <w:sz w:val="24"/>
              </w:rPr>
              <w:t>16.30%</w:t>
            </w:r>
          </w:p>
        </w:tc>
        <w:tc>
          <w:tcPr>
            <w:vAlign w:val="center"/>
          </w:tcPr>
          <w:p>
            <w:pPr>
              <w:jc w:val="center"/>
            </w:pPr>
            <w:r>
              <w:rPr>
                <w:color w:val="000000"/>
                <w:sz w:val="24"/>
              </w:rPr>
              <w:t>1.30%</w:t>
            </w:r>
          </w:p>
        </w:tc>
        <w:tc>
          <w:tcPr>
            <w:vAlign w:val="center"/>
          </w:tcPr>
          <w:p>
            <w:pPr>
              <w:jc w:val="center"/>
            </w:pPr>
            <w:r>
              <w:rPr>
                <w:color w:val="000000"/>
                <w:sz w:val="24"/>
              </w:rPr>
              <w:t>11.06%</w:t>
            </w:r>
          </w:p>
        </w:tc>
        <w:tc>
          <w:tcPr>
            <w:vAlign w:val="center"/>
          </w:tcPr>
          <w:p>
            <w:pPr>
              <w:jc w:val="center"/>
            </w:pPr>
            <w:r>
              <w:rPr>
                <w:color w:val="000000"/>
                <w:sz w:val="24"/>
              </w:rPr>
              <w:t>0.58%</w:t>
            </w:r>
          </w:p>
        </w:tc>
      </w:tr>
      <w:tr>
        <w:tc>
          <w:tcPr>
            <w:vAlign w:val="center"/>
          </w:tcPr>
          <w:p>
            <w:pPr>
              <w:jc w:val="left"/>
            </w:pPr>
            <w:r>
              <w:rPr>
                <w:color w:val="000000"/>
                <w:sz w:val="24"/>
              </w:rPr>
              <w:t>过去一年</w:t>
            </w:r>
          </w:p>
        </w:tc>
        <w:tc>
          <w:tcPr>
            <w:vAlign w:val="center"/>
          </w:tcPr>
          <w:p>
            <w:pPr>
              <w:jc w:val="center"/>
            </w:pPr>
            <w:r>
              <w:rPr>
                <w:color w:val="000000"/>
                <w:sz w:val="24"/>
              </w:rPr>
              <w:t>7.50%</w:t>
            </w:r>
          </w:p>
        </w:tc>
        <w:tc>
          <w:tcPr>
            <w:vAlign w:val="center"/>
          </w:tcPr>
          <w:p>
            <w:pPr>
              <w:jc w:val="center"/>
            </w:pPr>
            <w:r>
              <w:rPr>
                <w:color w:val="000000"/>
                <w:sz w:val="24"/>
              </w:rPr>
              <w:t>1.90%</w:t>
            </w:r>
          </w:p>
        </w:tc>
        <w:tc>
          <w:tcPr>
            <w:vAlign w:val="center"/>
          </w:tcPr>
          <w:p>
            <w:pPr>
              <w:jc w:val="center"/>
            </w:pPr>
            <w:r>
              <w:rPr>
                <w:color w:val="000000"/>
                <w:sz w:val="24"/>
              </w:rPr>
              <w:t>-0.30%</w:t>
            </w:r>
          </w:p>
        </w:tc>
        <w:tc>
          <w:tcPr>
            <w:vAlign w:val="center"/>
          </w:tcPr>
          <w:p>
            <w:pPr>
              <w:jc w:val="center"/>
            </w:pPr>
            <w:r>
              <w:rPr>
                <w:color w:val="000000"/>
                <w:sz w:val="24"/>
              </w:rPr>
              <w:t>1.24%</w:t>
            </w:r>
          </w:p>
        </w:tc>
        <w:tc>
          <w:tcPr>
            <w:vAlign w:val="center"/>
          </w:tcPr>
          <w:p>
            <w:pPr>
              <w:jc w:val="center"/>
            </w:pPr>
            <w:r>
              <w:rPr>
                <w:color w:val="000000"/>
                <w:sz w:val="24"/>
              </w:rPr>
              <w:t>7.80%</w:t>
            </w:r>
          </w:p>
        </w:tc>
        <w:tc>
          <w:tcPr>
            <w:vAlign w:val="center"/>
          </w:tcPr>
          <w:p>
            <w:pPr>
              <w:jc w:val="center"/>
            </w:pPr>
            <w:r>
              <w:rPr>
                <w:color w:val="000000"/>
                <w:sz w:val="24"/>
              </w:rPr>
              <w:t>0.66%</w:t>
            </w:r>
          </w:p>
        </w:tc>
      </w:tr>
      <w:tr>
        <w:tc>
          <w:tcPr>
            <w:vAlign w:val="center"/>
          </w:tcPr>
          <w:p>
            <w:pPr>
              <w:jc w:val="left"/>
            </w:pPr>
            <w:r>
              <w:rPr>
                <w:color w:val="000000"/>
                <w:sz w:val="24"/>
              </w:rPr>
              <w:t>过去三年</w:t>
            </w:r>
          </w:p>
        </w:tc>
        <w:tc>
          <w:tcPr>
            <w:vAlign w:val="center"/>
          </w:tcPr>
          <w:p>
            <w:pPr>
              <w:jc w:val="center"/>
            </w:pPr>
            <w:r>
              <w:rPr>
                <w:color w:val="000000"/>
                <w:sz w:val="24"/>
              </w:rPr>
              <w:t>-11.30%</w:t>
            </w:r>
          </w:p>
        </w:tc>
        <w:tc>
          <w:tcPr>
            <w:vAlign w:val="center"/>
          </w:tcPr>
          <w:p>
            <w:pPr>
              <w:jc w:val="center"/>
            </w:pPr>
            <w:r>
              <w:rPr>
                <w:color w:val="000000"/>
                <w:sz w:val="24"/>
              </w:rPr>
              <w:t>1.60%</w:t>
            </w:r>
          </w:p>
        </w:tc>
        <w:tc>
          <w:tcPr>
            <w:vAlign w:val="center"/>
          </w:tcPr>
          <w:p>
            <w:pPr>
              <w:jc w:val="center"/>
            </w:pPr>
            <w:r>
              <w:rPr>
                <w:color w:val="000000"/>
                <w:sz w:val="24"/>
              </w:rPr>
              <w:t>-6.95%</w:t>
            </w:r>
          </w:p>
        </w:tc>
        <w:tc>
          <w:tcPr>
            <w:vAlign w:val="center"/>
          </w:tcPr>
          <w:p>
            <w:pPr>
              <w:jc w:val="center"/>
            </w:pPr>
            <w:r>
              <w:rPr>
                <w:color w:val="000000"/>
                <w:sz w:val="24"/>
              </w:rPr>
              <w:t>0.94%</w:t>
            </w:r>
          </w:p>
        </w:tc>
        <w:tc>
          <w:tcPr>
            <w:vAlign w:val="center"/>
          </w:tcPr>
          <w:p>
            <w:pPr>
              <w:jc w:val="center"/>
            </w:pPr>
            <w:r>
              <w:rPr>
                <w:color w:val="000000"/>
                <w:sz w:val="24"/>
              </w:rPr>
              <w:t>-4.35%</w:t>
            </w:r>
          </w:p>
        </w:tc>
        <w:tc>
          <w:tcPr>
            <w:vAlign w:val="center"/>
          </w:tcPr>
          <w:p>
            <w:pPr>
              <w:jc w:val="center"/>
            </w:pPr>
            <w:r>
              <w:rPr>
                <w:color w:val="000000"/>
                <w:sz w:val="24"/>
              </w:rPr>
              <w:t>0.66%</w:t>
            </w:r>
          </w:p>
        </w:tc>
      </w:tr>
      <w:tr>
        <w:tc>
          <w:tcPr>
            <w:vAlign w:val="center"/>
          </w:tcPr>
          <w:p>
            <w:pPr>
              <w:jc w:val="left"/>
            </w:pPr>
            <w:r>
              <w:rPr>
                <w:color w:val="000000"/>
                <w:sz w:val="24"/>
              </w:rPr>
              <w:t>自基金合同生效起至今</w:t>
            </w:r>
          </w:p>
        </w:tc>
        <w:tc>
          <w:tcPr>
            <w:vAlign w:val="center"/>
          </w:tcPr>
          <w:p>
            <w:pPr>
              <w:jc w:val="center"/>
            </w:pPr>
            <w:r>
              <w:rPr>
                <w:color w:val="000000"/>
                <w:sz w:val="24"/>
              </w:rPr>
              <w:t>74.11%</w:t>
            </w:r>
          </w:p>
        </w:tc>
        <w:tc>
          <w:tcPr>
            <w:vAlign w:val="center"/>
          </w:tcPr>
          <w:p>
            <w:pPr>
              <w:jc w:val="center"/>
            </w:pPr>
            <w:r>
              <w:rPr>
                <w:color w:val="000000"/>
                <w:sz w:val="24"/>
              </w:rPr>
              <w:t>1.84%</w:t>
            </w:r>
          </w:p>
        </w:tc>
        <w:tc>
          <w:tcPr>
            <w:vAlign w:val="center"/>
          </w:tcPr>
          <w:p>
            <w:pPr>
              <w:jc w:val="center"/>
            </w:pPr>
            <w:r>
              <w:rPr>
                <w:color w:val="000000"/>
                <w:sz w:val="24"/>
              </w:rPr>
              <w:t>59.92%</w:t>
            </w:r>
          </w:p>
        </w:tc>
        <w:tc>
          <w:tcPr>
            <w:vAlign w:val="center"/>
          </w:tcPr>
          <w:p>
            <w:pPr>
              <w:jc w:val="center"/>
            </w:pPr>
            <w:r>
              <w:rPr>
                <w:color w:val="000000"/>
                <w:sz w:val="24"/>
              </w:rPr>
              <w:t>1.28%</w:t>
            </w:r>
          </w:p>
        </w:tc>
        <w:tc>
          <w:tcPr>
            <w:vAlign w:val="center"/>
          </w:tcPr>
          <w:p>
            <w:pPr>
              <w:jc w:val="center"/>
            </w:pPr>
            <w:r>
              <w:rPr>
                <w:color w:val="000000"/>
                <w:sz w:val="24"/>
              </w:rPr>
              <w:t>14.19%</w:t>
            </w:r>
          </w:p>
        </w:tc>
        <w:tc>
          <w:tcPr>
            <w:vAlign w:val="center"/>
          </w:tcPr>
          <w:p>
            <w:pPr>
              <w:jc w:val="center"/>
            </w:pPr>
            <w:r>
              <w:rPr>
                <w:color w:val="000000"/>
                <w:sz w:val="24"/>
              </w:rPr>
              <w:t>0.56%</w:t>
            </w:r>
          </w:p>
        </w:tc>
      </w:tr>
    </w:tbl>
    <w:p>
      <w:pPr>
        <w:tabs>
          <w:tab w:pos="426" w:val="left"/>
        </w:tabs>
        <w:spacing w:before="29" w:line="288" w:lineRule="auto"/>
        <w:jc w:val="left"/>
        <w:rPr>
          <w:kern w:val="0"/>
          <w:sz w:val="24"/>
        </w:rPr>
      </w:pPr>
      <w:r>
        <w:rPr>
          <w:kern w:val="0"/>
          <w:sz w:val="24"/>
        </w:rPr>
        <w:t>注：1、本基金业绩比较基准自2015年10月1日起，由“75%×中证700指数+25%×中信全债指数”变更为“75%×中证700指数+25%×中证综合债券指数”，3.2.2同。详情见本基金管理人于2015年9月28日发布的《交银施罗德基金管理有限公司关于旗下部分基金业绩比较基准变更并修改基金合同相关内容的公告》。</w:t>
      </w:r>
    </w:p>
    <w:p w:rsidP="00AC6DDA" w:rsidR="001548F9" w:rsidRDefault="001548F9" w:rsidRPr="005C672D">
      <w:pPr>
        <w:tabs>
          <w:tab w:pos="426" w:val="left"/>
        </w:tabs>
        <w:spacing w:before="29" w:line="288" w:lineRule="auto"/>
        <w:jc w:val="left"/>
        <w:rPr>
          <w:kern w:val="0"/>
          <w:sz w:val="24"/>
        </w:rPr>
      </w:pPr>
      <w:r w:rsidRPr="005C672D">
        <w:rPr>
          <w:kern w:val="0"/>
          <w:sz w:val="24"/>
        </w:rPr>
        <w:t>2、本基金的业绩比较基准每日进行再平衡过程。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交银施罗德先锋混合型证券投资基金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2009年4月10日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芮晨</w:t>
            </w:r>
          </w:p>
        </w:tc>
        <w:tc>
          <w:tcPr>
            <w:vAlign w:val="center"/>
          </w:tcPr>
          <w:p>
            <w:pPr>
              <w:jc w:val="center"/>
            </w:pPr>
            <w:r>
              <w:rPr>
                <w:color w:val="000000"/>
                <w:sz w:val="24"/>
              </w:rPr>
              <w:t>交银先锋混合、交银科技创新灵活配置混合的基金经理</w:t>
            </w:r>
          </w:p>
        </w:tc>
        <w:tc>
          <w:tcPr>
            <w:vAlign w:val="center"/>
          </w:tcPr>
          <w:p>
            <w:pPr>
              <w:jc w:val="center"/>
            </w:pPr>
            <w:r>
              <w:rPr>
                <w:color w:val="000000"/>
                <w:sz w:val="24"/>
              </w:rPr>
              <w:t>2015-05-18</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rsidP="00AC6DDA" w:rsidR="00C02A8F" w:rsidRDefault="00C02A8F" w:rsidRPr="005C672D">
      <w:pPr>
        <w:spacing w:before="29" w:line="288" w:lineRule="auto"/>
        <w:ind w:firstLine="480" w:firstLineChars="200"/>
        <w:rPr>
          <w:color w:val="000000"/>
          <w:sz w:val="24"/>
        </w:rPr>
      </w:pPr>
      <w:r w:rsidRPr="005C672D">
        <w:rPr>
          <w:color w:val="000000"/>
          <w:sz w:val="24"/>
        </w:rPr>
        <w:t>2019上半年，中美贸易战先扬后抑，出现较大不确定性，六月个别银行出现信用危机被银保监会接管，两个事件均导致整个上半年风险偏好先上升，后下降，同时导致成长股在一季度的上涨后，二季度都有不同程度的调整。本基金上半年跑赢业绩比较基准  。</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虽然市场季度间存在风险偏好的波动，但是我们预计流动性仍会持续相对宽松，中美贸易战对股市的影响或将会边际弱化，市场存在结构性机会，成长类股票机会较大。</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 2019 年 1 月 1 日至 2019年6月30日基金的投资运作，进行了认真、独立的会计核算和必要的投资监督，认真履行了托管人的义务，没有从事任何损害基金份额持有人利益的行为。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交银施罗德先锋混合型证券投资基金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63,046,533.92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16,469,749.26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954,663.84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1,179,672.02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478,875.43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353,071.64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1,069,318,416.88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1,003,879,825.14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1,052,332,016.88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958,351,525.14</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16,986,400.00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45,528,300.00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29,657,493.95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194,593.20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1,156,621.70</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274,520.68</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466,612.73</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1,163,925,097.90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1,023,505,552.49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7,903,377.33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1,665,534.93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461,313.12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1,379,227.94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1,342,319.02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229,871.35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223,719.83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830,649.39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670,208.84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115,544.87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399,555.89</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4,220,828.48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11,000,494.03</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890,386,115.80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990,076,770.97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269,318,153.62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22,428,287.49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1,159,704,269.42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1,012,505,058.46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1,163,925,097.90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1,023,505,552.49</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报告截止日2019年6月30日，基金份额净值1.3025元，基金份额总额890,386,115.80份。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交银施罗德先锋混合型证券投资基金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306,504,238.04</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20,986,512.18</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560,264.02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443,669.59</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268,898.82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188,693.70</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291,365.20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254,975.89</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153,232,033.89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-89,675,587.89</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148,074,465.15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-92,483,863.44</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254,469.50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2,230.00</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4,903,099.24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2,806,045.55</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151,866,128.75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109,256,484.91</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845,811.38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961,945.57</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14,182,595.88</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9,787,928.33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8,675,709.83</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6,090,326.23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1,445,951.65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1,015,054.42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3,938,889.24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2,471,499.62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122,045.16</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211,048.06</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292,321,642.16</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11,198,583.85</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292,321,642.16</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11,198,583.85</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交银施罗德先锋混合型证券投资基金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990,076,770.97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22,428,287.49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1,012,505,058.46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292,321,642.16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292,321,642.16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-99,690,655.17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-45,431,776.03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-145,122,431.20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415,728,982.87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142,448,322.70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558,177,305.57</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-515,419,638.04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-187,880,098.73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-703,299,736.77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890,386,115.80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269,318,153.62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1,159,704,269.42</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794,395,863.85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104,747,920.29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899,143,784.14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11,198,583.85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11,198,583.85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-70,873,154.01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37,164,301.57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-33,708,852.44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492,732,686.56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138,184,147.37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630,916,833.93</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-563,605,840.57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-101,019,845.80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-664,625,686.37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723,522,709.84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153,110,805.71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876,633,515.55</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先锋混合型证券投资基金(原名为交银施罗德先锋股票证券投资基金，以下简称“本基金”)经中国证券监督管理委员会(以下简称“中国证监会”)证监许可[2009]第141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4,468,879,295.84元，业经普华永道中天会计师事务所有限公司普华永道中天验字(2009)第057号验资报告予以验证。经向中国证监会备案，《交银施罗德先锋股票证券投资基金基金合同》于2009年4月10日正式生效，基金合同生效日的基金份额总额为4,470,679,078.59份基金份额，其中认购资金利息折合1,799,782.75份基金份额。本基金的基金管理人为交银施罗德基金管理有限公司，基金托管人为中国农业银行股份有限公司。</w:t>
      </w:r>
    </w:p>
    <w:p>
      <w:pPr>
        <w:spacing w:before="29" w:line="288" w:lineRule="auto"/>
        <w:ind w:firstLine="480" w:firstLineChars="200"/>
        <w:rPr>
          <w:color w:val="000000"/>
          <w:sz w:val="24"/>
        </w:rPr>
      </w:pPr>
      <w:r>
        <w:rPr>
          <w:color w:val="000000"/>
          <w:sz w:val="24"/>
        </w:rPr>
        <w:t>根据2014年中国证监会令第104号《公开募集证券投资基金运作管理办法》及基金管理人于2015年8月5日发布的《交银施罗德基金管理有限公司关于旗下部分基金变更基金类别及修改基金名称并相应修改基金合同和托管协议的公告》，交银施罗德先锋股票证券投资基金自2015年8月8日起更名为交银施罗德先锋混合型证券投资基金。</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60%-95%，债券、货币市场工具、权证、资产支持证券以及法律法规或中国证监会允许基金投资的其他证券品种占基金资产的比例为5%-40%，现金以及投资于到期日在一年以内的政府债券的比例合计不低于基金资产净值的5%，其中现金不包括结算备付金、存出保证金和应收申购款等。自基金合同生效日至2015年9月30日，本基金的业绩比较基准为：75%×中证700指数＋25%×中信标普全债指数。根据本基金的基金管理人于2015年9月28日发布的《交银施罗德基金管理有限公司关于旗下部分基金业绩比较基准变更并修改基金合同相关内容的公告》，自2015年10月1日起，本基金的业绩比较基准变更为：75%×中证700指数+25%×中证综合债券指数。</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先锋混合型证券投资基金基金合同》和在财务报表附注6.4.4所列示的中国证监会、中国基金业协会发布的有关规定及允许的基金行业实务操作编制。</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对证券投资基金管理人运用基金买卖股票、债券的转让收入免征增值税，对国债、地方政府债以及金融同业往来利息收入亦免征增值税 。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中国农业银行股份有限公司(“中国农业银行”)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8,675,709.83</w:t>
            </w:r>
          </w:p>
        </w:tc>
        <w:tc>
          <w:tcPr>
            <w:tcW w:type="dxa" w:w="2657"/>
            <w:vAlign w:val="center"/>
          </w:tcPr>
          <w:p w:rsidP="00AC6DDA" w:rsidR="001548F9" w:rsidRDefault="001548F9" w:rsidRPr="005C672D">
            <w:pPr>
              <w:spacing w:before="29" w:line="288" w:lineRule="auto"/>
              <w:jc w:val="right"/>
              <w:rPr>
                <w:sz w:val="24"/>
              </w:rPr>
            </w:pPr>
            <w:r w:rsidRPr="005C672D">
              <w:rPr>
                <w:sz w:val="24"/>
              </w:rPr>
              <w:t>6,090,326.23</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1,362,057.19</w:t>
            </w:r>
          </w:p>
        </w:tc>
        <w:tc>
          <w:tcPr>
            <w:tcW w:type="dxa" w:w="2657"/>
            <w:vAlign w:val="center"/>
          </w:tcPr>
          <w:p w:rsidP="00AC6DDA" w:rsidR="001548F9" w:rsidRDefault="001548F9" w:rsidRPr="005C672D">
            <w:pPr>
              <w:spacing w:before="29" w:line="288" w:lineRule="auto"/>
              <w:jc w:val="right"/>
              <w:rPr>
                <w:sz w:val="24"/>
              </w:rPr>
            </w:pPr>
            <w:r w:rsidRPr="005C672D">
              <w:rPr>
                <w:sz w:val="24"/>
              </w:rPr>
              <w:t>1,058,898.28</w:t>
            </w:r>
          </w:p>
        </w:tc>
      </w:tr>
    </w:tbl>
    <w:p>
      <w:pPr>
        <w:tabs>
          <w:tab w:pos="426" w:val="left"/>
        </w:tabs>
        <w:spacing w:before="29" w:line="288" w:lineRule="auto"/>
        <w:jc w:val="left"/>
        <w:rPr>
          <w:kern w:val="0"/>
          <w:sz w:val="24"/>
        </w:rPr>
      </w:pPr>
      <w:r>
        <w:rPr>
          <w:kern w:val="0"/>
          <w:sz w:val="24"/>
        </w:rPr>
        <w:t>注：支付基金管理人的管理人报酬按前一日基金资产净值1.5%的年费率计提，逐日累计至每月月底，按月支付。其计算公式为：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 × 1.5% ÷ 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1,445,951.65</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1,015,054.42</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 × 0.25% ÷ 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中国农业银行股份有限公司</w:t>
            </w:r>
          </w:p>
        </w:tc>
        <w:tc>
          <w:tcPr>
            <w:vAlign w:val="center"/>
          </w:tcPr>
          <w:p>
            <w:pPr>
              <w:jc w:val="right"/>
            </w:pPr>
            <w:r>
              <w:rPr>
                <w:sz w:val="24"/>
              </w:rPr>
              <w:t>63,046,533.92</w:t>
            </w:r>
          </w:p>
        </w:tc>
        <w:tc>
          <w:tcPr>
            <w:vAlign w:val="center"/>
          </w:tcPr>
          <w:p>
            <w:pPr>
              <w:jc w:val="right"/>
            </w:pPr>
            <w:r>
              <w:rPr>
                <w:sz w:val="24"/>
              </w:rPr>
              <w:t>244,403.19</w:t>
            </w:r>
          </w:p>
        </w:tc>
        <w:tc>
          <w:tcPr>
            <w:vAlign w:val="center"/>
          </w:tcPr>
          <w:p>
            <w:pPr>
              <w:jc w:val="right"/>
            </w:pPr>
            <w:r>
              <w:rPr>
                <w:sz w:val="24"/>
              </w:rPr>
              <w:t>3,209,041.76</w:t>
            </w:r>
          </w:p>
        </w:tc>
        <w:tc>
          <w:tcPr>
            <w:vAlign w:val="center"/>
          </w:tcPr>
          <w:p>
            <w:pPr>
              <w:jc w:val="right"/>
            </w:pPr>
            <w:r>
              <w:rPr>
                <w:sz w:val="24"/>
              </w:rPr>
              <w:t>169,304.67</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本基金本报告期末未持有因认购新发/增发证券而流通受限的证券。</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1,052,332,016.88</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90.41</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1,052,332,016.88</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90.41</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16,986,400.00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1.46</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16,986,400.00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1.46</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64,001,197.76</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5.50</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30,605,483.26</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2.63</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1,163,925,097.90</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12,905,815.96</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1.11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610,764,926.55</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52.67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58,405,457.70</w:t>
            </w:r>
          </w:p>
        </w:tc>
        <w:tc>
          <w:tcPr>
            <w:tcW w:type="dxa" w:w="2160"/>
            <w:vAlign w:val="center"/>
          </w:tcPr>
          <w:p w:rsidP="00AC6DDA" w:rsidR="001548F9" w:rsidRDefault="001548F9" w:rsidRPr="005C672D">
            <w:pPr>
              <w:spacing w:before="29" w:line="288" w:lineRule="auto"/>
              <w:jc w:val="right"/>
              <w:rPr>
                <w:sz w:val="24"/>
              </w:rPr>
            </w:pPr>
            <w:r w:rsidRPr="005C672D">
              <w:rPr>
                <w:sz w:val="24"/>
              </w:rPr>
              <w:t>5.04</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332,296,686.47</w:t>
            </w:r>
          </w:p>
        </w:tc>
        <w:tc>
          <w:tcPr>
            <w:tcW w:type="dxa" w:w="2160"/>
            <w:vAlign w:val="center"/>
          </w:tcPr>
          <w:p w:rsidP="00AC6DDA" w:rsidR="001548F9" w:rsidRDefault="001548F9" w:rsidRPr="005C672D">
            <w:pPr>
              <w:spacing w:before="29" w:line="288" w:lineRule="auto"/>
              <w:jc w:val="right"/>
              <w:rPr>
                <w:sz w:val="24"/>
              </w:rPr>
            </w:pPr>
            <w:r w:rsidRPr="005C672D">
              <w:rPr>
                <w:sz w:val="24"/>
              </w:rPr>
              <w:t>28.65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10,522,539.30</w:t>
            </w:r>
          </w:p>
        </w:tc>
        <w:tc>
          <w:tcPr>
            <w:tcW w:type="dxa" w:w="2160"/>
            <w:vAlign w:val="center"/>
          </w:tcPr>
          <w:p w:rsidP="00AC6DDA" w:rsidR="001548F9" w:rsidRDefault="001548F9" w:rsidRPr="005C672D">
            <w:pPr>
              <w:spacing w:before="29" w:line="288" w:lineRule="auto"/>
              <w:jc w:val="right"/>
              <w:rPr>
                <w:sz w:val="24"/>
              </w:rPr>
            </w:pPr>
            <w:r w:rsidRPr="005C672D">
              <w:rPr>
                <w:sz w:val="24"/>
              </w:rPr>
              <w:t>0.91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27,436,590.90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2.37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1,052,332,016.88</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90.74</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300365</w:t>
            </w:r>
          </w:p>
        </w:tc>
        <w:tc>
          <w:tcPr>
            <w:vAlign w:val="center"/>
          </w:tcPr>
          <w:p>
            <w:pPr>
              <w:jc w:val="center"/>
            </w:pPr>
            <w:r>
              <w:rPr>
                <w:color w:val="000000"/>
                <w:sz w:val="24"/>
              </w:rPr>
              <w:t>恒华科技</w:t>
            </w:r>
          </w:p>
        </w:tc>
        <w:tc>
          <w:tcPr>
            <w:vAlign w:val="center"/>
          </w:tcPr>
          <w:p>
            <w:pPr>
              <w:jc w:val="right"/>
            </w:pPr>
            <w:r>
              <w:rPr>
                <w:color w:val="000000"/>
                <w:sz w:val="24"/>
              </w:rPr>
              <w:t>6,862,773</w:t>
            </w:r>
          </w:p>
        </w:tc>
        <w:tc>
          <w:tcPr>
            <w:vAlign w:val="center"/>
          </w:tcPr>
          <w:p>
            <w:pPr>
              <w:jc w:val="right"/>
            </w:pPr>
            <w:r>
              <w:rPr>
                <w:color w:val="000000"/>
                <w:sz w:val="24"/>
              </w:rPr>
              <w:t>111,245,550.33</w:t>
            </w:r>
          </w:p>
        </w:tc>
        <w:tc>
          <w:tcPr>
            <w:vAlign w:val="center"/>
          </w:tcPr>
          <w:p>
            <w:pPr>
              <w:jc w:val="right"/>
            </w:pPr>
            <w:r>
              <w:rPr>
                <w:color w:val="000000"/>
                <w:sz w:val="24"/>
              </w:rPr>
              <w:t>9.59</w:t>
            </w:r>
          </w:p>
        </w:tc>
      </w:tr>
      <w:tr>
        <w:tc>
          <w:tcPr>
            <w:vAlign w:val="center"/>
          </w:tcPr>
          <w:p>
            <w:pPr>
              <w:jc w:val="center"/>
            </w:pPr>
            <w:r>
              <w:rPr>
                <w:color w:val="000000"/>
                <w:sz w:val="24"/>
              </w:rPr>
              <w:t>2</w:t>
            </w:r>
          </w:p>
        </w:tc>
        <w:tc>
          <w:tcPr>
            <w:vAlign w:val="center"/>
          </w:tcPr>
          <w:p>
            <w:pPr>
              <w:jc w:val="center"/>
            </w:pPr>
            <w:r>
              <w:rPr>
                <w:color w:val="000000"/>
                <w:sz w:val="24"/>
              </w:rPr>
              <w:t>300572</w:t>
            </w:r>
          </w:p>
        </w:tc>
        <w:tc>
          <w:tcPr>
            <w:vAlign w:val="center"/>
          </w:tcPr>
          <w:p>
            <w:pPr>
              <w:jc w:val="center"/>
            </w:pPr>
            <w:r>
              <w:rPr>
                <w:color w:val="000000"/>
                <w:sz w:val="24"/>
              </w:rPr>
              <w:t>安车检测</w:t>
            </w:r>
          </w:p>
        </w:tc>
        <w:tc>
          <w:tcPr>
            <w:vAlign w:val="center"/>
          </w:tcPr>
          <w:p>
            <w:pPr>
              <w:jc w:val="right"/>
            </w:pPr>
            <w:r>
              <w:rPr>
                <w:color w:val="000000"/>
                <w:sz w:val="24"/>
              </w:rPr>
              <w:t>2,287,862</w:t>
            </w:r>
          </w:p>
        </w:tc>
        <w:tc>
          <w:tcPr>
            <w:vAlign w:val="center"/>
          </w:tcPr>
          <w:p>
            <w:pPr>
              <w:jc w:val="right"/>
            </w:pPr>
            <w:r>
              <w:rPr>
                <w:color w:val="000000"/>
                <w:sz w:val="24"/>
              </w:rPr>
              <w:t>106,156,796.80</w:t>
            </w:r>
          </w:p>
        </w:tc>
        <w:tc>
          <w:tcPr>
            <w:vAlign w:val="center"/>
          </w:tcPr>
          <w:p>
            <w:pPr>
              <w:jc w:val="right"/>
            </w:pPr>
            <w:r>
              <w:rPr>
                <w:color w:val="000000"/>
                <w:sz w:val="24"/>
              </w:rPr>
              <w:t>9.15</w:t>
            </w:r>
          </w:p>
        </w:tc>
      </w:tr>
      <w:tr>
        <w:tc>
          <w:tcPr>
            <w:vAlign w:val="center"/>
          </w:tcPr>
          <w:p>
            <w:pPr>
              <w:jc w:val="center"/>
            </w:pPr>
            <w:r>
              <w:rPr>
                <w:color w:val="000000"/>
                <w:sz w:val="24"/>
              </w:rPr>
              <w:t>3</w:t>
            </w:r>
          </w:p>
        </w:tc>
        <w:tc>
          <w:tcPr>
            <w:vAlign w:val="center"/>
          </w:tcPr>
          <w:p>
            <w:pPr>
              <w:jc w:val="center"/>
            </w:pPr>
            <w:r>
              <w:rPr>
                <w:color w:val="000000"/>
                <w:sz w:val="24"/>
              </w:rPr>
              <w:t>300395</w:t>
            </w:r>
          </w:p>
        </w:tc>
        <w:tc>
          <w:tcPr>
            <w:vAlign w:val="center"/>
          </w:tcPr>
          <w:p>
            <w:pPr>
              <w:jc w:val="center"/>
            </w:pPr>
            <w:r>
              <w:rPr>
                <w:color w:val="000000"/>
                <w:sz w:val="24"/>
              </w:rPr>
              <w:t>菲利华</w:t>
            </w:r>
          </w:p>
        </w:tc>
        <w:tc>
          <w:tcPr>
            <w:vAlign w:val="center"/>
          </w:tcPr>
          <w:p>
            <w:pPr>
              <w:jc w:val="right"/>
            </w:pPr>
            <w:r>
              <w:rPr>
                <w:color w:val="000000"/>
                <w:sz w:val="24"/>
              </w:rPr>
              <w:t>5,487,333</w:t>
            </w:r>
          </w:p>
        </w:tc>
        <w:tc>
          <w:tcPr>
            <w:vAlign w:val="center"/>
          </w:tcPr>
          <w:p>
            <w:pPr>
              <w:jc w:val="right"/>
            </w:pPr>
            <w:r>
              <w:rPr>
                <w:color w:val="000000"/>
                <w:sz w:val="24"/>
              </w:rPr>
              <w:t>97,070,920.77</w:t>
            </w:r>
          </w:p>
        </w:tc>
        <w:tc>
          <w:tcPr>
            <w:vAlign w:val="center"/>
          </w:tcPr>
          <w:p>
            <w:pPr>
              <w:jc w:val="right"/>
            </w:pPr>
            <w:r>
              <w:rPr>
                <w:color w:val="000000"/>
                <w:sz w:val="24"/>
              </w:rPr>
              <w:t>8.37</w:t>
            </w:r>
          </w:p>
        </w:tc>
      </w:tr>
      <w:tr>
        <w:tc>
          <w:tcPr>
            <w:vAlign w:val="center"/>
          </w:tcPr>
          <w:p>
            <w:pPr>
              <w:jc w:val="center"/>
            </w:pPr>
            <w:r>
              <w:rPr>
                <w:color w:val="000000"/>
                <w:sz w:val="24"/>
              </w:rPr>
              <w:t>4</w:t>
            </w:r>
          </w:p>
        </w:tc>
        <w:tc>
          <w:tcPr>
            <w:vAlign w:val="center"/>
          </w:tcPr>
          <w:p>
            <w:pPr>
              <w:jc w:val="center"/>
            </w:pPr>
            <w:r>
              <w:rPr>
                <w:color w:val="000000"/>
                <w:sz w:val="24"/>
              </w:rPr>
              <w:t>300226</w:t>
            </w:r>
          </w:p>
        </w:tc>
        <w:tc>
          <w:tcPr>
            <w:vAlign w:val="center"/>
          </w:tcPr>
          <w:p>
            <w:pPr>
              <w:jc w:val="center"/>
            </w:pPr>
            <w:r>
              <w:rPr>
                <w:color w:val="000000"/>
                <w:sz w:val="24"/>
              </w:rPr>
              <w:t>上海钢联</w:t>
            </w:r>
          </w:p>
        </w:tc>
        <w:tc>
          <w:tcPr>
            <w:vAlign w:val="center"/>
          </w:tcPr>
          <w:p>
            <w:pPr>
              <w:jc w:val="right"/>
            </w:pPr>
            <w:r>
              <w:rPr>
                <w:color w:val="000000"/>
                <w:sz w:val="24"/>
              </w:rPr>
              <w:t>1,005,088</w:t>
            </w:r>
          </w:p>
        </w:tc>
        <w:tc>
          <w:tcPr>
            <w:vAlign w:val="center"/>
          </w:tcPr>
          <w:p>
            <w:pPr>
              <w:jc w:val="right"/>
            </w:pPr>
            <w:r>
              <w:rPr>
                <w:color w:val="000000"/>
                <w:sz w:val="24"/>
              </w:rPr>
              <w:t>75,341,396.48</w:t>
            </w:r>
          </w:p>
        </w:tc>
        <w:tc>
          <w:tcPr>
            <w:vAlign w:val="center"/>
          </w:tcPr>
          <w:p>
            <w:pPr>
              <w:jc w:val="right"/>
            </w:pPr>
            <w:r>
              <w:rPr>
                <w:color w:val="000000"/>
                <w:sz w:val="24"/>
              </w:rPr>
              <w:t>6.50</w:t>
            </w:r>
          </w:p>
        </w:tc>
      </w:tr>
      <w:tr>
        <w:tc>
          <w:tcPr>
            <w:vAlign w:val="center"/>
          </w:tcPr>
          <w:p>
            <w:pPr>
              <w:jc w:val="center"/>
            </w:pPr>
            <w:r>
              <w:rPr>
                <w:color w:val="000000"/>
                <w:sz w:val="24"/>
              </w:rPr>
              <w:t>5</w:t>
            </w:r>
          </w:p>
        </w:tc>
        <w:tc>
          <w:tcPr>
            <w:vAlign w:val="center"/>
          </w:tcPr>
          <w:p>
            <w:pPr>
              <w:jc w:val="center"/>
            </w:pPr>
            <w:r>
              <w:rPr>
                <w:color w:val="000000"/>
                <w:sz w:val="24"/>
              </w:rPr>
              <w:t>002599</w:t>
            </w:r>
          </w:p>
        </w:tc>
        <w:tc>
          <w:tcPr>
            <w:vAlign w:val="center"/>
          </w:tcPr>
          <w:p>
            <w:pPr>
              <w:jc w:val="center"/>
            </w:pPr>
            <w:r>
              <w:rPr>
                <w:color w:val="000000"/>
                <w:sz w:val="24"/>
              </w:rPr>
              <w:t>盛通股份</w:t>
            </w:r>
          </w:p>
        </w:tc>
        <w:tc>
          <w:tcPr>
            <w:vAlign w:val="center"/>
          </w:tcPr>
          <w:p>
            <w:pPr>
              <w:jc w:val="right"/>
            </w:pPr>
            <w:r>
              <w:rPr>
                <w:color w:val="000000"/>
                <w:sz w:val="24"/>
              </w:rPr>
              <w:t>7,191,421</w:t>
            </w:r>
          </w:p>
        </w:tc>
        <w:tc>
          <w:tcPr>
            <w:vAlign w:val="center"/>
          </w:tcPr>
          <w:p>
            <w:pPr>
              <w:jc w:val="right"/>
            </w:pPr>
            <w:r>
              <w:rPr>
                <w:color w:val="000000"/>
                <w:sz w:val="24"/>
              </w:rPr>
              <w:t>71,914,210.00</w:t>
            </w:r>
          </w:p>
        </w:tc>
        <w:tc>
          <w:tcPr>
            <w:vAlign w:val="center"/>
          </w:tcPr>
          <w:p>
            <w:pPr>
              <w:jc w:val="right"/>
            </w:pPr>
            <w:r>
              <w:rPr>
                <w:color w:val="000000"/>
                <w:sz w:val="24"/>
              </w:rPr>
              <w:t>6.20</w:t>
            </w:r>
          </w:p>
        </w:tc>
      </w:tr>
      <w:tr>
        <w:tc>
          <w:tcPr>
            <w:vAlign w:val="center"/>
          </w:tcPr>
          <w:p>
            <w:pPr>
              <w:jc w:val="center"/>
            </w:pPr>
            <w:r>
              <w:rPr>
                <w:color w:val="000000"/>
                <w:sz w:val="24"/>
              </w:rPr>
              <w:t>6</w:t>
            </w:r>
          </w:p>
        </w:tc>
        <w:tc>
          <w:tcPr>
            <w:vAlign w:val="center"/>
          </w:tcPr>
          <w:p>
            <w:pPr>
              <w:jc w:val="center"/>
            </w:pPr>
            <w:r>
              <w:rPr>
                <w:color w:val="000000"/>
                <w:sz w:val="24"/>
              </w:rPr>
              <w:t>300253</w:t>
            </w:r>
          </w:p>
        </w:tc>
        <w:tc>
          <w:tcPr>
            <w:vAlign w:val="center"/>
          </w:tcPr>
          <w:p>
            <w:pPr>
              <w:jc w:val="center"/>
            </w:pPr>
            <w:r>
              <w:rPr>
                <w:color w:val="000000"/>
                <w:sz w:val="24"/>
              </w:rPr>
              <w:t>卫宁健康</w:t>
            </w:r>
          </w:p>
        </w:tc>
        <w:tc>
          <w:tcPr>
            <w:vAlign w:val="center"/>
          </w:tcPr>
          <w:p>
            <w:pPr>
              <w:jc w:val="right"/>
            </w:pPr>
            <w:r>
              <w:rPr>
                <w:color w:val="000000"/>
                <w:sz w:val="24"/>
              </w:rPr>
              <w:t>4,277,721</w:t>
            </w:r>
          </w:p>
        </w:tc>
        <w:tc>
          <w:tcPr>
            <w:vAlign w:val="center"/>
          </w:tcPr>
          <w:p>
            <w:pPr>
              <w:jc w:val="right"/>
            </w:pPr>
            <w:r>
              <w:rPr>
                <w:color w:val="000000"/>
                <w:sz w:val="24"/>
              </w:rPr>
              <w:t>60,658,083.78</w:t>
            </w:r>
          </w:p>
        </w:tc>
        <w:tc>
          <w:tcPr>
            <w:vAlign w:val="center"/>
          </w:tcPr>
          <w:p>
            <w:pPr>
              <w:jc w:val="right"/>
            </w:pPr>
            <w:r>
              <w:rPr>
                <w:color w:val="000000"/>
                <w:sz w:val="24"/>
              </w:rPr>
              <w:t>5.23</w:t>
            </w:r>
          </w:p>
        </w:tc>
      </w:tr>
      <w:tr>
        <w:tc>
          <w:tcPr>
            <w:vAlign w:val="center"/>
          </w:tcPr>
          <w:p>
            <w:pPr>
              <w:jc w:val="center"/>
            </w:pPr>
            <w:r>
              <w:rPr>
                <w:color w:val="000000"/>
                <w:sz w:val="24"/>
              </w:rPr>
              <w:t>7</w:t>
            </w:r>
          </w:p>
        </w:tc>
        <w:tc>
          <w:tcPr>
            <w:vAlign w:val="center"/>
          </w:tcPr>
          <w:p>
            <w:pPr>
              <w:jc w:val="center"/>
            </w:pPr>
            <w:r>
              <w:rPr>
                <w:color w:val="000000"/>
                <w:sz w:val="24"/>
              </w:rPr>
              <w:t>603990</w:t>
            </w:r>
          </w:p>
        </w:tc>
        <w:tc>
          <w:tcPr>
            <w:vAlign w:val="center"/>
          </w:tcPr>
          <w:p>
            <w:pPr>
              <w:jc w:val="center"/>
            </w:pPr>
            <w:r>
              <w:rPr>
                <w:color w:val="000000"/>
                <w:sz w:val="24"/>
              </w:rPr>
              <w:t>麦迪科技</w:t>
            </w:r>
          </w:p>
        </w:tc>
        <w:tc>
          <w:tcPr>
            <w:vAlign w:val="center"/>
          </w:tcPr>
          <w:p>
            <w:pPr>
              <w:jc w:val="right"/>
            </w:pPr>
            <w:r>
              <w:rPr>
                <w:color w:val="000000"/>
                <w:sz w:val="24"/>
              </w:rPr>
              <w:t>1,912,819</w:t>
            </w:r>
          </w:p>
        </w:tc>
        <w:tc>
          <w:tcPr>
            <w:vAlign w:val="center"/>
          </w:tcPr>
          <w:p>
            <w:pPr>
              <w:jc w:val="right"/>
            </w:pPr>
            <w:r>
              <w:rPr>
                <w:color w:val="000000"/>
                <w:sz w:val="24"/>
              </w:rPr>
              <w:t>59,297,389.00</w:t>
            </w:r>
          </w:p>
        </w:tc>
        <w:tc>
          <w:tcPr>
            <w:vAlign w:val="center"/>
          </w:tcPr>
          <w:p>
            <w:pPr>
              <w:jc w:val="right"/>
            </w:pPr>
            <w:r>
              <w:rPr>
                <w:color w:val="000000"/>
                <w:sz w:val="24"/>
              </w:rPr>
              <w:t>5.11</w:t>
            </w:r>
          </w:p>
        </w:tc>
      </w:tr>
      <w:tr>
        <w:tc>
          <w:tcPr>
            <w:vAlign w:val="center"/>
          </w:tcPr>
          <w:p>
            <w:pPr>
              <w:jc w:val="center"/>
            </w:pPr>
            <w:r>
              <w:rPr>
                <w:color w:val="000000"/>
                <w:sz w:val="24"/>
              </w:rPr>
              <w:t>8</w:t>
            </w:r>
          </w:p>
        </w:tc>
        <w:tc>
          <w:tcPr>
            <w:vAlign w:val="center"/>
          </w:tcPr>
          <w:p>
            <w:pPr>
              <w:jc w:val="center"/>
            </w:pPr>
            <w:r>
              <w:rPr>
                <w:color w:val="000000"/>
                <w:sz w:val="24"/>
              </w:rPr>
              <w:t>600131</w:t>
            </w:r>
          </w:p>
        </w:tc>
        <w:tc>
          <w:tcPr>
            <w:vAlign w:val="center"/>
          </w:tcPr>
          <w:p>
            <w:pPr>
              <w:jc w:val="center"/>
            </w:pPr>
            <w:r>
              <w:rPr>
                <w:color w:val="000000"/>
                <w:sz w:val="24"/>
              </w:rPr>
              <w:t>岷江水电</w:t>
            </w:r>
          </w:p>
        </w:tc>
        <w:tc>
          <w:tcPr>
            <w:vAlign w:val="center"/>
          </w:tcPr>
          <w:p>
            <w:pPr>
              <w:jc w:val="right"/>
            </w:pPr>
            <w:r>
              <w:rPr>
                <w:color w:val="000000"/>
                <w:sz w:val="24"/>
              </w:rPr>
              <w:t>4,072,905</w:t>
            </w:r>
          </w:p>
        </w:tc>
        <w:tc>
          <w:tcPr>
            <w:vAlign w:val="center"/>
          </w:tcPr>
          <w:p>
            <w:pPr>
              <w:jc w:val="right"/>
            </w:pPr>
            <w:r>
              <w:rPr>
                <w:color w:val="000000"/>
                <w:sz w:val="24"/>
              </w:rPr>
              <w:t>58,405,457.70</w:t>
            </w:r>
          </w:p>
        </w:tc>
        <w:tc>
          <w:tcPr>
            <w:vAlign w:val="center"/>
          </w:tcPr>
          <w:p>
            <w:pPr>
              <w:jc w:val="right"/>
            </w:pPr>
            <w:r>
              <w:rPr>
                <w:color w:val="000000"/>
                <w:sz w:val="24"/>
              </w:rPr>
              <w:t>5.04</w:t>
            </w:r>
          </w:p>
        </w:tc>
      </w:tr>
      <w:tr>
        <w:tc>
          <w:tcPr>
            <w:vAlign w:val="center"/>
          </w:tcPr>
          <w:p>
            <w:pPr>
              <w:jc w:val="center"/>
            </w:pPr>
            <w:r>
              <w:rPr>
                <w:color w:val="000000"/>
                <w:sz w:val="24"/>
              </w:rPr>
              <w:t>9</w:t>
            </w:r>
          </w:p>
        </w:tc>
        <w:tc>
          <w:tcPr>
            <w:vAlign w:val="center"/>
          </w:tcPr>
          <w:p>
            <w:pPr>
              <w:jc w:val="center"/>
            </w:pPr>
            <w:r>
              <w:rPr>
                <w:color w:val="000000"/>
                <w:sz w:val="24"/>
              </w:rPr>
              <w:t>300016</w:t>
            </w:r>
          </w:p>
        </w:tc>
        <w:tc>
          <w:tcPr>
            <w:vAlign w:val="center"/>
          </w:tcPr>
          <w:p>
            <w:pPr>
              <w:jc w:val="center"/>
            </w:pPr>
            <w:r>
              <w:rPr>
                <w:color w:val="000000"/>
                <w:sz w:val="24"/>
              </w:rPr>
              <w:t>北陆药业</w:t>
            </w:r>
          </w:p>
        </w:tc>
        <w:tc>
          <w:tcPr>
            <w:vAlign w:val="center"/>
          </w:tcPr>
          <w:p>
            <w:pPr>
              <w:jc w:val="right"/>
            </w:pPr>
            <w:r>
              <w:rPr>
                <w:color w:val="000000"/>
                <w:sz w:val="24"/>
              </w:rPr>
              <w:t>6,163,872</w:t>
            </w:r>
          </w:p>
        </w:tc>
        <w:tc>
          <w:tcPr>
            <w:vAlign w:val="center"/>
          </w:tcPr>
          <w:p>
            <w:pPr>
              <w:jc w:val="right"/>
            </w:pPr>
            <w:r>
              <w:rPr>
                <w:color w:val="000000"/>
                <w:sz w:val="24"/>
              </w:rPr>
              <w:t>53,502,408.96</w:t>
            </w:r>
          </w:p>
        </w:tc>
        <w:tc>
          <w:tcPr>
            <w:vAlign w:val="center"/>
          </w:tcPr>
          <w:p>
            <w:pPr>
              <w:jc w:val="right"/>
            </w:pPr>
            <w:r>
              <w:rPr>
                <w:color w:val="000000"/>
                <w:sz w:val="24"/>
              </w:rPr>
              <w:t>4.61</w:t>
            </w:r>
          </w:p>
        </w:tc>
      </w:tr>
      <w:tr>
        <w:tc>
          <w:tcPr>
            <w:vAlign w:val="center"/>
          </w:tcPr>
          <w:p>
            <w:pPr>
              <w:jc w:val="center"/>
            </w:pPr>
            <w:r>
              <w:rPr>
                <w:color w:val="000000"/>
                <w:sz w:val="24"/>
              </w:rPr>
              <w:t>10</w:t>
            </w:r>
          </w:p>
        </w:tc>
        <w:tc>
          <w:tcPr>
            <w:vAlign w:val="center"/>
          </w:tcPr>
          <w:p>
            <w:pPr>
              <w:jc w:val="center"/>
            </w:pPr>
            <w:r>
              <w:rPr>
                <w:color w:val="000000"/>
                <w:sz w:val="24"/>
              </w:rPr>
              <w:t>603678</w:t>
            </w:r>
          </w:p>
        </w:tc>
        <w:tc>
          <w:tcPr>
            <w:vAlign w:val="center"/>
          </w:tcPr>
          <w:p>
            <w:pPr>
              <w:jc w:val="center"/>
            </w:pPr>
            <w:r>
              <w:rPr>
                <w:color w:val="000000"/>
                <w:sz w:val="24"/>
              </w:rPr>
              <w:t>火炬电子</w:t>
            </w:r>
          </w:p>
        </w:tc>
        <w:tc>
          <w:tcPr>
            <w:vAlign w:val="center"/>
          </w:tcPr>
          <w:p>
            <w:pPr>
              <w:jc w:val="right"/>
            </w:pPr>
            <w:r>
              <w:rPr>
                <w:color w:val="000000"/>
                <w:sz w:val="24"/>
              </w:rPr>
              <w:t>2,548,037</w:t>
            </w:r>
          </w:p>
        </w:tc>
        <w:tc>
          <w:tcPr>
            <w:vAlign w:val="center"/>
          </w:tcPr>
          <w:p>
            <w:pPr>
              <w:jc w:val="right"/>
            </w:pPr>
            <w:r>
              <w:rPr>
                <w:color w:val="000000"/>
                <w:sz w:val="24"/>
              </w:rPr>
              <w:t>51,342,945.55</w:t>
            </w:r>
          </w:p>
        </w:tc>
        <w:tc>
          <w:tcPr>
            <w:vAlign w:val="center"/>
          </w:tcPr>
          <w:p>
            <w:pPr>
              <w:jc w:val="right"/>
            </w:pPr>
            <w:r>
              <w:rPr>
                <w:color w:val="000000"/>
                <w:sz w:val="24"/>
              </w:rPr>
              <w:t>4.43</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300016</w:t>
            </w:r>
          </w:p>
        </w:tc>
        <w:tc>
          <w:tcPr>
            <w:vAlign w:val="center"/>
          </w:tcPr>
          <w:p>
            <w:pPr>
              <w:jc w:val="center"/>
            </w:pPr>
            <w:r>
              <w:rPr>
                <w:sz w:val="24"/>
              </w:rPr>
              <w:t>北陆药业</w:t>
            </w:r>
          </w:p>
        </w:tc>
        <w:tc>
          <w:tcPr>
            <w:vAlign w:val="center"/>
          </w:tcPr>
          <w:p>
            <w:pPr>
              <w:jc w:val="right"/>
            </w:pPr>
            <w:r>
              <w:rPr>
                <w:sz w:val="24"/>
              </w:rPr>
              <w:t>97,374,617.87</w:t>
            </w:r>
          </w:p>
        </w:tc>
        <w:tc>
          <w:tcPr>
            <w:vAlign w:val="center"/>
          </w:tcPr>
          <w:p>
            <w:pPr>
              <w:jc w:val="right"/>
            </w:pPr>
            <w:r>
              <w:rPr>
                <w:sz w:val="24"/>
              </w:rPr>
              <w:t>9.62</w:t>
            </w:r>
          </w:p>
        </w:tc>
      </w:tr>
      <w:tr>
        <w:tc>
          <w:tcPr>
            <w:vAlign w:val="center"/>
          </w:tcPr>
          <w:p>
            <w:pPr>
              <w:jc w:val="center"/>
            </w:pPr>
            <w:r>
              <w:rPr>
                <w:sz w:val="24"/>
              </w:rPr>
              <w:t>2</w:t>
            </w:r>
          </w:p>
        </w:tc>
        <w:tc>
          <w:tcPr>
            <w:vAlign w:val="center"/>
          </w:tcPr>
          <w:p>
            <w:pPr>
              <w:jc w:val="center"/>
            </w:pPr>
            <w:r>
              <w:rPr>
                <w:sz w:val="24"/>
              </w:rPr>
              <w:t>600131</w:t>
            </w:r>
          </w:p>
        </w:tc>
        <w:tc>
          <w:tcPr>
            <w:vAlign w:val="center"/>
          </w:tcPr>
          <w:p>
            <w:pPr>
              <w:jc w:val="center"/>
            </w:pPr>
            <w:r>
              <w:rPr>
                <w:sz w:val="24"/>
              </w:rPr>
              <w:t>岷江水电</w:t>
            </w:r>
          </w:p>
        </w:tc>
        <w:tc>
          <w:tcPr>
            <w:vAlign w:val="center"/>
          </w:tcPr>
          <w:p>
            <w:pPr>
              <w:jc w:val="right"/>
            </w:pPr>
            <w:r>
              <w:rPr>
                <w:sz w:val="24"/>
              </w:rPr>
              <w:t>75,120,405.04</w:t>
            </w:r>
          </w:p>
        </w:tc>
        <w:tc>
          <w:tcPr>
            <w:vAlign w:val="center"/>
          </w:tcPr>
          <w:p>
            <w:pPr>
              <w:jc w:val="right"/>
            </w:pPr>
            <w:r>
              <w:rPr>
                <w:sz w:val="24"/>
              </w:rPr>
              <w:t>7.42</w:t>
            </w:r>
          </w:p>
        </w:tc>
      </w:tr>
      <w:tr>
        <w:tc>
          <w:tcPr>
            <w:vAlign w:val="center"/>
          </w:tcPr>
          <w:p>
            <w:pPr>
              <w:jc w:val="center"/>
            </w:pPr>
            <w:r>
              <w:rPr>
                <w:sz w:val="24"/>
              </w:rPr>
              <w:t>3</w:t>
            </w:r>
          </w:p>
        </w:tc>
        <w:tc>
          <w:tcPr>
            <w:vAlign w:val="center"/>
          </w:tcPr>
          <w:p>
            <w:pPr>
              <w:jc w:val="center"/>
            </w:pPr>
            <w:r>
              <w:rPr>
                <w:sz w:val="24"/>
              </w:rPr>
              <w:t>603990</w:t>
            </w:r>
          </w:p>
        </w:tc>
        <w:tc>
          <w:tcPr>
            <w:vAlign w:val="center"/>
          </w:tcPr>
          <w:p>
            <w:pPr>
              <w:jc w:val="center"/>
            </w:pPr>
            <w:r>
              <w:rPr>
                <w:sz w:val="24"/>
              </w:rPr>
              <w:t>麦迪科技</w:t>
            </w:r>
          </w:p>
        </w:tc>
        <w:tc>
          <w:tcPr>
            <w:vAlign w:val="center"/>
          </w:tcPr>
          <w:p>
            <w:pPr>
              <w:jc w:val="right"/>
            </w:pPr>
            <w:r>
              <w:rPr>
                <w:sz w:val="24"/>
              </w:rPr>
              <w:t>66,417,027.65</w:t>
            </w:r>
          </w:p>
        </w:tc>
        <w:tc>
          <w:tcPr>
            <w:vAlign w:val="center"/>
          </w:tcPr>
          <w:p>
            <w:pPr>
              <w:jc w:val="right"/>
            </w:pPr>
            <w:r>
              <w:rPr>
                <w:sz w:val="24"/>
              </w:rPr>
              <w:t>6.56</w:t>
            </w:r>
          </w:p>
        </w:tc>
      </w:tr>
      <w:tr>
        <w:tc>
          <w:tcPr>
            <w:vAlign w:val="center"/>
          </w:tcPr>
          <w:p>
            <w:pPr>
              <w:jc w:val="center"/>
            </w:pPr>
            <w:r>
              <w:rPr>
                <w:sz w:val="24"/>
              </w:rPr>
              <w:t>4</w:t>
            </w:r>
          </w:p>
        </w:tc>
        <w:tc>
          <w:tcPr>
            <w:vAlign w:val="center"/>
          </w:tcPr>
          <w:p>
            <w:pPr>
              <w:jc w:val="center"/>
            </w:pPr>
            <w:r>
              <w:rPr>
                <w:sz w:val="24"/>
              </w:rPr>
              <w:t>300226</w:t>
            </w:r>
          </w:p>
        </w:tc>
        <w:tc>
          <w:tcPr>
            <w:vAlign w:val="center"/>
          </w:tcPr>
          <w:p>
            <w:pPr>
              <w:jc w:val="center"/>
            </w:pPr>
            <w:r>
              <w:rPr>
                <w:sz w:val="24"/>
              </w:rPr>
              <w:t>上海钢联</w:t>
            </w:r>
          </w:p>
        </w:tc>
        <w:tc>
          <w:tcPr>
            <w:vAlign w:val="center"/>
          </w:tcPr>
          <w:p>
            <w:pPr>
              <w:jc w:val="right"/>
            </w:pPr>
            <w:r>
              <w:rPr>
                <w:sz w:val="24"/>
              </w:rPr>
              <w:t>64,576,242.00</w:t>
            </w:r>
          </w:p>
        </w:tc>
        <w:tc>
          <w:tcPr>
            <w:vAlign w:val="center"/>
          </w:tcPr>
          <w:p>
            <w:pPr>
              <w:jc w:val="right"/>
            </w:pPr>
            <w:r>
              <w:rPr>
                <w:sz w:val="24"/>
              </w:rPr>
              <w:t>6.38</w:t>
            </w:r>
          </w:p>
        </w:tc>
      </w:tr>
      <w:tr>
        <w:tc>
          <w:tcPr>
            <w:vAlign w:val="center"/>
          </w:tcPr>
          <w:p>
            <w:pPr>
              <w:jc w:val="center"/>
            </w:pPr>
            <w:r>
              <w:rPr>
                <w:sz w:val="24"/>
              </w:rPr>
              <w:t>5</w:t>
            </w:r>
          </w:p>
        </w:tc>
        <w:tc>
          <w:tcPr>
            <w:vAlign w:val="center"/>
          </w:tcPr>
          <w:p>
            <w:pPr>
              <w:jc w:val="center"/>
            </w:pPr>
            <w:r>
              <w:rPr>
                <w:sz w:val="24"/>
              </w:rPr>
              <w:t>603678</w:t>
            </w:r>
          </w:p>
        </w:tc>
        <w:tc>
          <w:tcPr>
            <w:vAlign w:val="center"/>
          </w:tcPr>
          <w:p>
            <w:pPr>
              <w:jc w:val="center"/>
            </w:pPr>
            <w:r>
              <w:rPr>
                <w:sz w:val="24"/>
              </w:rPr>
              <w:t>火炬电子</w:t>
            </w:r>
          </w:p>
        </w:tc>
        <w:tc>
          <w:tcPr>
            <w:vAlign w:val="center"/>
          </w:tcPr>
          <w:p>
            <w:pPr>
              <w:jc w:val="right"/>
            </w:pPr>
            <w:r>
              <w:rPr>
                <w:sz w:val="24"/>
              </w:rPr>
              <w:t>53,875,887.76</w:t>
            </w:r>
          </w:p>
        </w:tc>
        <w:tc>
          <w:tcPr>
            <w:vAlign w:val="center"/>
          </w:tcPr>
          <w:p>
            <w:pPr>
              <w:jc w:val="right"/>
            </w:pPr>
            <w:r>
              <w:rPr>
                <w:sz w:val="24"/>
              </w:rPr>
              <w:t>5.32</w:t>
            </w:r>
          </w:p>
        </w:tc>
      </w:tr>
      <w:tr>
        <w:tc>
          <w:tcPr>
            <w:vAlign w:val="center"/>
          </w:tcPr>
          <w:p>
            <w:pPr>
              <w:jc w:val="center"/>
            </w:pPr>
            <w:r>
              <w:rPr>
                <w:sz w:val="24"/>
              </w:rPr>
              <w:t>6</w:t>
            </w:r>
          </w:p>
        </w:tc>
        <w:tc>
          <w:tcPr>
            <w:vAlign w:val="center"/>
          </w:tcPr>
          <w:p>
            <w:pPr>
              <w:jc w:val="center"/>
            </w:pPr>
            <w:r>
              <w:rPr>
                <w:sz w:val="24"/>
              </w:rPr>
              <w:t>600259</w:t>
            </w:r>
          </w:p>
        </w:tc>
        <w:tc>
          <w:tcPr>
            <w:vAlign w:val="center"/>
          </w:tcPr>
          <w:p>
            <w:pPr>
              <w:jc w:val="center"/>
            </w:pPr>
            <w:r>
              <w:rPr>
                <w:sz w:val="24"/>
              </w:rPr>
              <w:t>广晟有色</w:t>
            </w:r>
          </w:p>
        </w:tc>
        <w:tc>
          <w:tcPr>
            <w:vAlign w:val="center"/>
          </w:tcPr>
          <w:p>
            <w:pPr>
              <w:jc w:val="right"/>
            </w:pPr>
            <w:r>
              <w:rPr>
                <w:sz w:val="24"/>
              </w:rPr>
              <w:t>52,051,552.39</w:t>
            </w:r>
          </w:p>
        </w:tc>
        <w:tc>
          <w:tcPr>
            <w:vAlign w:val="center"/>
          </w:tcPr>
          <w:p>
            <w:pPr>
              <w:jc w:val="right"/>
            </w:pPr>
            <w:r>
              <w:rPr>
                <w:sz w:val="24"/>
              </w:rPr>
              <w:t>5.14</w:t>
            </w:r>
          </w:p>
        </w:tc>
      </w:tr>
      <w:tr>
        <w:tc>
          <w:tcPr>
            <w:vAlign w:val="center"/>
          </w:tcPr>
          <w:p>
            <w:pPr>
              <w:jc w:val="center"/>
            </w:pPr>
            <w:r>
              <w:rPr>
                <w:sz w:val="24"/>
              </w:rPr>
              <w:t>7</w:t>
            </w:r>
          </w:p>
        </w:tc>
        <w:tc>
          <w:tcPr>
            <w:vAlign w:val="center"/>
          </w:tcPr>
          <w:p>
            <w:pPr>
              <w:jc w:val="center"/>
            </w:pPr>
            <w:r>
              <w:rPr>
                <w:sz w:val="24"/>
              </w:rPr>
              <w:t>600216</w:t>
            </w:r>
          </w:p>
        </w:tc>
        <w:tc>
          <w:tcPr>
            <w:vAlign w:val="center"/>
          </w:tcPr>
          <w:p>
            <w:pPr>
              <w:jc w:val="center"/>
            </w:pPr>
            <w:r>
              <w:rPr>
                <w:sz w:val="24"/>
              </w:rPr>
              <w:t>浙江医药</w:t>
            </w:r>
          </w:p>
        </w:tc>
        <w:tc>
          <w:tcPr>
            <w:vAlign w:val="center"/>
          </w:tcPr>
          <w:p>
            <w:pPr>
              <w:jc w:val="right"/>
            </w:pPr>
            <w:r>
              <w:rPr>
                <w:sz w:val="24"/>
              </w:rPr>
              <w:t>50,069,127.82</w:t>
            </w:r>
          </w:p>
        </w:tc>
        <w:tc>
          <w:tcPr>
            <w:vAlign w:val="center"/>
          </w:tcPr>
          <w:p>
            <w:pPr>
              <w:jc w:val="right"/>
            </w:pPr>
            <w:r>
              <w:rPr>
                <w:sz w:val="24"/>
              </w:rPr>
              <w:t>4.95</w:t>
            </w:r>
          </w:p>
        </w:tc>
      </w:tr>
      <w:tr>
        <w:tc>
          <w:tcPr>
            <w:vAlign w:val="center"/>
          </w:tcPr>
          <w:p>
            <w:pPr>
              <w:jc w:val="center"/>
            </w:pPr>
            <w:r>
              <w:rPr>
                <w:sz w:val="24"/>
              </w:rPr>
              <w:t>8</w:t>
            </w:r>
          </w:p>
        </w:tc>
        <w:tc>
          <w:tcPr>
            <w:vAlign w:val="center"/>
          </w:tcPr>
          <w:p>
            <w:pPr>
              <w:jc w:val="center"/>
            </w:pPr>
            <w:r>
              <w:rPr>
                <w:sz w:val="24"/>
              </w:rPr>
              <w:t>002019</w:t>
            </w:r>
          </w:p>
        </w:tc>
        <w:tc>
          <w:tcPr>
            <w:vAlign w:val="center"/>
          </w:tcPr>
          <w:p>
            <w:pPr>
              <w:jc w:val="center"/>
            </w:pPr>
            <w:r>
              <w:rPr>
                <w:sz w:val="24"/>
              </w:rPr>
              <w:t>亿帆医药</w:t>
            </w:r>
          </w:p>
        </w:tc>
        <w:tc>
          <w:tcPr>
            <w:vAlign w:val="center"/>
          </w:tcPr>
          <w:p>
            <w:pPr>
              <w:jc w:val="right"/>
            </w:pPr>
            <w:r>
              <w:rPr>
                <w:sz w:val="24"/>
              </w:rPr>
              <w:t>47,515,656.99</w:t>
            </w:r>
          </w:p>
        </w:tc>
        <w:tc>
          <w:tcPr>
            <w:vAlign w:val="center"/>
          </w:tcPr>
          <w:p>
            <w:pPr>
              <w:jc w:val="right"/>
            </w:pPr>
            <w:r>
              <w:rPr>
                <w:sz w:val="24"/>
              </w:rPr>
              <w:t>4.69</w:t>
            </w:r>
          </w:p>
        </w:tc>
      </w:tr>
      <w:tr>
        <w:tc>
          <w:tcPr>
            <w:vAlign w:val="center"/>
          </w:tcPr>
          <w:p>
            <w:pPr>
              <w:jc w:val="center"/>
            </w:pPr>
            <w:r>
              <w:rPr>
                <w:sz w:val="24"/>
              </w:rPr>
              <w:t>9</w:t>
            </w:r>
          </w:p>
        </w:tc>
        <w:tc>
          <w:tcPr>
            <w:vAlign w:val="center"/>
          </w:tcPr>
          <w:p>
            <w:pPr>
              <w:jc w:val="center"/>
            </w:pPr>
            <w:r>
              <w:rPr>
                <w:sz w:val="24"/>
              </w:rPr>
              <w:t>002001</w:t>
            </w:r>
          </w:p>
        </w:tc>
        <w:tc>
          <w:tcPr>
            <w:vAlign w:val="center"/>
          </w:tcPr>
          <w:p>
            <w:pPr>
              <w:jc w:val="center"/>
            </w:pPr>
            <w:r>
              <w:rPr>
                <w:sz w:val="24"/>
              </w:rPr>
              <w:t>新和成</w:t>
            </w:r>
          </w:p>
        </w:tc>
        <w:tc>
          <w:tcPr>
            <w:vAlign w:val="center"/>
          </w:tcPr>
          <w:p>
            <w:pPr>
              <w:jc w:val="right"/>
            </w:pPr>
            <w:r>
              <w:rPr>
                <w:sz w:val="24"/>
              </w:rPr>
              <w:t>45,952,985.88</w:t>
            </w:r>
          </w:p>
        </w:tc>
        <w:tc>
          <w:tcPr>
            <w:vAlign w:val="center"/>
          </w:tcPr>
          <w:p>
            <w:pPr>
              <w:jc w:val="right"/>
            </w:pPr>
            <w:r>
              <w:rPr>
                <w:sz w:val="24"/>
              </w:rPr>
              <w:t>4.54</w:t>
            </w:r>
          </w:p>
        </w:tc>
      </w:tr>
      <w:tr>
        <w:tc>
          <w:tcPr>
            <w:vAlign w:val="center"/>
          </w:tcPr>
          <w:p>
            <w:pPr>
              <w:jc w:val="center"/>
            </w:pPr>
            <w:r>
              <w:rPr>
                <w:sz w:val="24"/>
              </w:rPr>
              <w:t>10</w:t>
            </w:r>
          </w:p>
        </w:tc>
        <w:tc>
          <w:tcPr>
            <w:vAlign w:val="center"/>
          </w:tcPr>
          <w:p>
            <w:pPr>
              <w:jc w:val="center"/>
            </w:pPr>
            <w:r>
              <w:rPr>
                <w:sz w:val="24"/>
              </w:rPr>
              <w:t>300659</w:t>
            </w:r>
          </w:p>
        </w:tc>
        <w:tc>
          <w:tcPr>
            <w:vAlign w:val="center"/>
          </w:tcPr>
          <w:p>
            <w:pPr>
              <w:jc w:val="center"/>
            </w:pPr>
            <w:r>
              <w:rPr>
                <w:sz w:val="24"/>
              </w:rPr>
              <w:t>中孚信息</w:t>
            </w:r>
          </w:p>
        </w:tc>
        <w:tc>
          <w:tcPr>
            <w:vAlign w:val="center"/>
          </w:tcPr>
          <w:p>
            <w:pPr>
              <w:jc w:val="right"/>
            </w:pPr>
            <w:r>
              <w:rPr>
                <w:sz w:val="24"/>
              </w:rPr>
              <w:t>45,452,941.34</w:t>
            </w:r>
          </w:p>
        </w:tc>
        <w:tc>
          <w:tcPr>
            <w:vAlign w:val="center"/>
          </w:tcPr>
          <w:p>
            <w:pPr>
              <w:jc w:val="right"/>
            </w:pPr>
            <w:r>
              <w:rPr>
                <w:sz w:val="24"/>
              </w:rPr>
              <w:t>4.49</w:t>
            </w:r>
          </w:p>
        </w:tc>
      </w:tr>
      <w:tr>
        <w:tc>
          <w:tcPr>
            <w:vAlign w:val="center"/>
          </w:tcPr>
          <w:p>
            <w:pPr>
              <w:jc w:val="center"/>
            </w:pPr>
            <w:r>
              <w:rPr>
                <w:sz w:val="24"/>
              </w:rPr>
              <w:t>11</w:t>
            </w:r>
          </w:p>
        </w:tc>
        <w:tc>
          <w:tcPr>
            <w:vAlign w:val="center"/>
          </w:tcPr>
          <w:p>
            <w:pPr>
              <w:jc w:val="center"/>
            </w:pPr>
            <w:r>
              <w:rPr>
                <w:sz w:val="24"/>
              </w:rPr>
              <w:t>002214</w:t>
            </w:r>
          </w:p>
        </w:tc>
        <w:tc>
          <w:tcPr>
            <w:vAlign w:val="center"/>
          </w:tcPr>
          <w:p>
            <w:pPr>
              <w:jc w:val="center"/>
            </w:pPr>
            <w:r>
              <w:rPr>
                <w:sz w:val="24"/>
              </w:rPr>
              <w:t>大立科技</w:t>
            </w:r>
          </w:p>
        </w:tc>
        <w:tc>
          <w:tcPr>
            <w:vAlign w:val="center"/>
          </w:tcPr>
          <w:p>
            <w:pPr>
              <w:jc w:val="right"/>
            </w:pPr>
            <w:r>
              <w:rPr>
                <w:sz w:val="24"/>
              </w:rPr>
              <w:t>43,285,010.98</w:t>
            </w:r>
          </w:p>
        </w:tc>
        <w:tc>
          <w:tcPr>
            <w:vAlign w:val="center"/>
          </w:tcPr>
          <w:p>
            <w:pPr>
              <w:jc w:val="right"/>
            </w:pPr>
            <w:r>
              <w:rPr>
                <w:sz w:val="24"/>
              </w:rPr>
              <w:t>4.28</w:t>
            </w:r>
          </w:p>
        </w:tc>
      </w:tr>
      <w:tr>
        <w:tc>
          <w:tcPr>
            <w:vAlign w:val="center"/>
          </w:tcPr>
          <w:p>
            <w:pPr>
              <w:jc w:val="center"/>
            </w:pPr>
            <w:r>
              <w:rPr>
                <w:sz w:val="24"/>
              </w:rPr>
              <w:t>12</w:t>
            </w:r>
          </w:p>
        </w:tc>
        <w:tc>
          <w:tcPr>
            <w:vAlign w:val="center"/>
          </w:tcPr>
          <w:p>
            <w:pPr>
              <w:jc w:val="center"/>
            </w:pPr>
            <w:r>
              <w:rPr>
                <w:sz w:val="24"/>
              </w:rPr>
              <w:t>002124</w:t>
            </w:r>
          </w:p>
        </w:tc>
        <w:tc>
          <w:tcPr>
            <w:vAlign w:val="center"/>
          </w:tcPr>
          <w:p>
            <w:pPr>
              <w:jc w:val="center"/>
            </w:pPr>
            <w:r>
              <w:rPr>
                <w:sz w:val="24"/>
              </w:rPr>
              <w:t>天邦股份</w:t>
            </w:r>
          </w:p>
        </w:tc>
        <w:tc>
          <w:tcPr>
            <w:vAlign w:val="center"/>
          </w:tcPr>
          <w:p>
            <w:pPr>
              <w:jc w:val="right"/>
            </w:pPr>
            <w:r>
              <w:rPr>
                <w:sz w:val="24"/>
              </w:rPr>
              <w:t>36,597,509.04</w:t>
            </w:r>
          </w:p>
        </w:tc>
        <w:tc>
          <w:tcPr>
            <w:vAlign w:val="center"/>
          </w:tcPr>
          <w:p>
            <w:pPr>
              <w:jc w:val="right"/>
            </w:pPr>
            <w:r>
              <w:rPr>
                <w:sz w:val="24"/>
              </w:rPr>
              <w:t>3.61</w:t>
            </w:r>
          </w:p>
        </w:tc>
      </w:tr>
      <w:tr>
        <w:tc>
          <w:tcPr>
            <w:vAlign w:val="center"/>
          </w:tcPr>
          <w:p>
            <w:pPr>
              <w:jc w:val="center"/>
            </w:pPr>
            <w:r>
              <w:rPr>
                <w:sz w:val="24"/>
              </w:rPr>
              <w:t>13</w:t>
            </w:r>
          </w:p>
        </w:tc>
        <w:tc>
          <w:tcPr>
            <w:vAlign w:val="center"/>
          </w:tcPr>
          <w:p>
            <w:pPr>
              <w:jc w:val="center"/>
            </w:pPr>
            <w:r>
              <w:rPr>
                <w:sz w:val="24"/>
              </w:rPr>
              <w:t>002157</w:t>
            </w:r>
          </w:p>
        </w:tc>
        <w:tc>
          <w:tcPr>
            <w:vAlign w:val="center"/>
          </w:tcPr>
          <w:p>
            <w:pPr>
              <w:jc w:val="center"/>
            </w:pPr>
            <w:r>
              <w:rPr>
                <w:sz w:val="24"/>
              </w:rPr>
              <w:t>正邦科技</w:t>
            </w:r>
          </w:p>
        </w:tc>
        <w:tc>
          <w:tcPr>
            <w:vAlign w:val="center"/>
          </w:tcPr>
          <w:p>
            <w:pPr>
              <w:jc w:val="right"/>
            </w:pPr>
            <w:r>
              <w:rPr>
                <w:sz w:val="24"/>
              </w:rPr>
              <w:t>34,363,756.99</w:t>
            </w:r>
          </w:p>
        </w:tc>
        <w:tc>
          <w:tcPr>
            <w:vAlign w:val="center"/>
          </w:tcPr>
          <w:p>
            <w:pPr>
              <w:jc w:val="right"/>
            </w:pPr>
            <w:r>
              <w:rPr>
                <w:sz w:val="24"/>
              </w:rPr>
              <w:t>3.39</w:t>
            </w:r>
          </w:p>
        </w:tc>
      </w:tr>
      <w:tr>
        <w:tc>
          <w:tcPr>
            <w:vAlign w:val="center"/>
          </w:tcPr>
          <w:p>
            <w:pPr>
              <w:jc w:val="center"/>
            </w:pPr>
            <w:r>
              <w:rPr>
                <w:sz w:val="24"/>
              </w:rPr>
              <w:t>14</w:t>
            </w:r>
          </w:p>
        </w:tc>
        <w:tc>
          <w:tcPr>
            <w:vAlign w:val="center"/>
          </w:tcPr>
          <w:p>
            <w:pPr>
              <w:jc w:val="center"/>
            </w:pPr>
            <w:r>
              <w:rPr>
                <w:sz w:val="24"/>
              </w:rPr>
              <w:t>300348</w:t>
            </w:r>
          </w:p>
        </w:tc>
        <w:tc>
          <w:tcPr>
            <w:vAlign w:val="center"/>
          </w:tcPr>
          <w:p>
            <w:pPr>
              <w:jc w:val="center"/>
            </w:pPr>
            <w:r>
              <w:rPr>
                <w:sz w:val="24"/>
              </w:rPr>
              <w:t>长亮科技</w:t>
            </w:r>
          </w:p>
        </w:tc>
        <w:tc>
          <w:tcPr>
            <w:vAlign w:val="center"/>
          </w:tcPr>
          <w:p>
            <w:pPr>
              <w:jc w:val="right"/>
            </w:pPr>
            <w:r>
              <w:rPr>
                <w:sz w:val="24"/>
              </w:rPr>
              <w:t>33,586,057.00</w:t>
            </w:r>
          </w:p>
        </w:tc>
        <w:tc>
          <w:tcPr>
            <w:vAlign w:val="center"/>
          </w:tcPr>
          <w:p>
            <w:pPr>
              <w:jc w:val="right"/>
            </w:pPr>
            <w:r>
              <w:rPr>
                <w:sz w:val="24"/>
              </w:rPr>
              <w:t>3.32</w:t>
            </w:r>
          </w:p>
        </w:tc>
      </w:tr>
      <w:tr>
        <w:tc>
          <w:tcPr>
            <w:vAlign w:val="center"/>
          </w:tcPr>
          <w:p>
            <w:pPr>
              <w:jc w:val="center"/>
            </w:pPr>
            <w:r>
              <w:rPr>
                <w:sz w:val="24"/>
              </w:rPr>
              <w:t>15</w:t>
            </w:r>
          </w:p>
        </w:tc>
        <w:tc>
          <w:tcPr>
            <w:vAlign w:val="center"/>
          </w:tcPr>
          <w:p>
            <w:pPr>
              <w:jc w:val="center"/>
            </w:pPr>
            <w:r>
              <w:rPr>
                <w:sz w:val="24"/>
              </w:rPr>
              <w:t>600536</w:t>
            </w:r>
          </w:p>
        </w:tc>
        <w:tc>
          <w:tcPr>
            <w:vAlign w:val="center"/>
          </w:tcPr>
          <w:p>
            <w:pPr>
              <w:jc w:val="center"/>
            </w:pPr>
            <w:r>
              <w:rPr>
                <w:sz w:val="24"/>
              </w:rPr>
              <w:t>中国软件</w:t>
            </w:r>
          </w:p>
        </w:tc>
        <w:tc>
          <w:tcPr>
            <w:vAlign w:val="center"/>
          </w:tcPr>
          <w:p>
            <w:pPr>
              <w:jc w:val="right"/>
            </w:pPr>
            <w:r>
              <w:rPr>
                <w:sz w:val="24"/>
              </w:rPr>
              <w:t>32,943,099.00</w:t>
            </w:r>
          </w:p>
        </w:tc>
        <w:tc>
          <w:tcPr>
            <w:vAlign w:val="center"/>
          </w:tcPr>
          <w:p>
            <w:pPr>
              <w:jc w:val="right"/>
            </w:pPr>
            <w:r>
              <w:rPr>
                <w:sz w:val="24"/>
              </w:rPr>
              <w:t>3.25</w:t>
            </w:r>
          </w:p>
        </w:tc>
      </w:tr>
      <w:tr>
        <w:tc>
          <w:tcPr>
            <w:vAlign w:val="center"/>
          </w:tcPr>
          <w:p>
            <w:pPr>
              <w:jc w:val="center"/>
            </w:pPr>
            <w:r>
              <w:rPr>
                <w:sz w:val="24"/>
              </w:rPr>
              <w:t>16</w:t>
            </w:r>
          </w:p>
        </w:tc>
        <w:tc>
          <w:tcPr>
            <w:vAlign w:val="center"/>
          </w:tcPr>
          <w:p>
            <w:pPr>
              <w:jc w:val="center"/>
            </w:pPr>
            <w:r>
              <w:rPr>
                <w:sz w:val="24"/>
              </w:rPr>
              <w:t>300331</w:t>
            </w:r>
          </w:p>
        </w:tc>
        <w:tc>
          <w:tcPr>
            <w:vAlign w:val="center"/>
          </w:tcPr>
          <w:p>
            <w:pPr>
              <w:jc w:val="center"/>
            </w:pPr>
            <w:r>
              <w:rPr>
                <w:sz w:val="24"/>
              </w:rPr>
              <w:t>苏大维格</w:t>
            </w:r>
          </w:p>
        </w:tc>
        <w:tc>
          <w:tcPr>
            <w:vAlign w:val="center"/>
          </w:tcPr>
          <w:p>
            <w:pPr>
              <w:jc w:val="right"/>
            </w:pPr>
            <w:r>
              <w:rPr>
                <w:sz w:val="24"/>
              </w:rPr>
              <w:t>30,822,796.00</w:t>
            </w:r>
          </w:p>
        </w:tc>
        <w:tc>
          <w:tcPr>
            <w:vAlign w:val="center"/>
          </w:tcPr>
          <w:p>
            <w:pPr>
              <w:jc w:val="right"/>
            </w:pPr>
            <w:r>
              <w:rPr>
                <w:sz w:val="24"/>
              </w:rPr>
              <w:t>3.04</w:t>
            </w:r>
          </w:p>
        </w:tc>
      </w:tr>
      <w:tr>
        <w:tc>
          <w:tcPr>
            <w:vAlign w:val="center"/>
          </w:tcPr>
          <w:p>
            <w:pPr>
              <w:jc w:val="center"/>
            </w:pPr>
            <w:r>
              <w:rPr>
                <w:sz w:val="24"/>
              </w:rPr>
              <w:t>17</w:t>
            </w:r>
          </w:p>
        </w:tc>
        <w:tc>
          <w:tcPr>
            <w:vAlign w:val="center"/>
          </w:tcPr>
          <w:p>
            <w:pPr>
              <w:jc w:val="center"/>
            </w:pPr>
            <w:r>
              <w:rPr>
                <w:sz w:val="24"/>
              </w:rPr>
              <w:t>300513</w:t>
            </w:r>
          </w:p>
        </w:tc>
        <w:tc>
          <w:tcPr>
            <w:vAlign w:val="center"/>
          </w:tcPr>
          <w:p>
            <w:pPr>
              <w:jc w:val="center"/>
            </w:pPr>
            <w:r>
              <w:rPr>
                <w:sz w:val="24"/>
              </w:rPr>
              <w:t>恒实科技</w:t>
            </w:r>
          </w:p>
        </w:tc>
        <w:tc>
          <w:tcPr>
            <w:vAlign w:val="center"/>
          </w:tcPr>
          <w:p>
            <w:pPr>
              <w:jc w:val="right"/>
            </w:pPr>
            <w:r>
              <w:rPr>
                <w:sz w:val="24"/>
              </w:rPr>
              <w:t>28,896,426.00</w:t>
            </w:r>
          </w:p>
        </w:tc>
        <w:tc>
          <w:tcPr>
            <w:vAlign w:val="center"/>
          </w:tcPr>
          <w:p>
            <w:pPr>
              <w:jc w:val="right"/>
            </w:pPr>
            <w:r>
              <w:rPr>
                <w:sz w:val="24"/>
              </w:rPr>
              <w:t>2.85</w:t>
            </w:r>
          </w:p>
        </w:tc>
      </w:tr>
      <w:tr>
        <w:tc>
          <w:tcPr>
            <w:vAlign w:val="center"/>
          </w:tcPr>
          <w:p>
            <w:pPr>
              <w:jc w:val="center"/>
            </w:pPr>
            <w:r>
              <w:rPr>
                <w:sz w:val="24"/>
              </w:rPr>
              <w:t>18</w:t>
            </w:r>
          </w:p>
        </w:tc>
        <w:tc>
          <w:tcPr>
            <w:vAlign w:val="center"/>
          </w:tcPr>
          <w:p>
            <w:pPr>
              <w:jc w:val="center"/>
            </w:pPr>
            <w:r>
              <w:rPr>
                <w:sz w:val="24"/>
              </w:rPr>
              <w:t>300618</w:t>
            </w:r>
          </w:p>
        </w:tc>
        <w:tc>
          <w:tcPr>
            <w:vAlign w:val="center"/>
          </w:tcPr>
          <w:p>
            <w:pPr>
              <w:jc w:val="center"/>
            </w:pPr>
            <w:r>
              <w:rPr>
                <w:sz w:val="24"/>
              </w:rPr>
              <w:t>寒锐钴业</w:t>
            </w:r>
          </w:p>
        </w:tc>
        <w:tc>
          <w:tcPr>
            <w:vAlign w:val="center"/>
          </w:tcPr>
          <w:p>
            <w:pPr>
              <w:jc w:val="right"/>
            </w:pPr>
            <w:r>
              <w:rPr>
                <w:sz w:val="24"/>
              </w:rPr>
              <w:t>28,289,013.15</w:t>
            </w:r>
          </w:p>
        </w:tc>
        <w:tc>
          <w:tcPr>
            <w:vAlign w:val="center"/>
          </w:tcPr>
          <w:p>
            <w:pPr>
              <w:jc w:val="right"/>
            </w:pPr>
            <w:r>
              <w:rPr>
                <w:sz w:val="24"/>
              </w:rPr>
              <w:t>2.79</w:t>
            </w:r>
          </w:p>
        </w:tc>
      </w:tr>
      <w:tr>
        <w:tc>
          <w:tcPr>
            <w:vAlign w:val="center"/>
          </w:tcPr>
          <w:p>
            <w:pPr>
              <w:jc w:val="center"/>
            </w:pPr>
            <w:r>
              <w:rPr>
                <w:sz w:val="24"/>
              </w:rPr>
              <w:t>19</w:t>
            </w:r>
          </w:p>
        </w:tc>
        <w:tc>
          <w:tcPr>
            <w:vAlign w:val="center"/>
          </w:tcPr>
          <w:p>
            <w:pPr>
              <w:jc w:val="center"/>
            </w:pPr>
            <w:r>
              <w:rPr>
                <w:sz w:val="24"/>
              </w:rPr>
              <w:t>300253</w:t>
            </w:r>
          </w:p>
        </w:tc>
        <w:tc>
          <w:tcPr>
            <w:vAlign w:val="center"/>
          </w:tcPr>
          <w:p>
            <w:pPr>
              <w:jc w:val="center"/>
            </w:pPr>
            <w:r>
              <w:rPr>
                <w:sz w:val="24"/>
              </w:rPr>
              <w:t>卫宁健康</w:t>
            </w:r>
          </w:p>
        </w:tc>
        <w:tc>
          <w:tcPr>
            <w:vAlign w:val="center"/>
          </w:tcPr>
          <w:p>
            <w:pPr>
              <w:jc w:val="right"/>
            </w:pPr>
            <w:r>
              <w:rPr>
                <w:sz w:val="24"/>
              </w:rPr>
              <w:t>27,113,019.55</w:t>
            </w:r>
          </w:p>
        </w:tc>
        <w:tc>
          <w:tcPr>
            <w:vAlign w:val="center"/>
          </w:tcPr>
          <w:p>
            <w:pPr>
              <w:jc w:val="right"/>
            </w:pPr>
            <w:r>
              <w:rPr>
                <w:sz w:val="24"/>
              </w:rPr>
              <w:t>2.68</w:t>
            </w:r>
          </w:p>
        </w:tc>
      </w:tr>
      <w:tr>
        <w:tc>
          <w:tcPr>
            <w:vAlign w:val="center"/>
          </w:tcPr>
          <w:p>
            <w:pPr>
              <w:jc w:val="center"/>
            </w:pPr>
            <w:r>
              <w:rPr>
                <w:sz w:val="24"/>
              </w:rPr>
              <w:t>20</w:t>
            </w:r>
          </w:p>
        </w:tc>
        <w:tc>
          <w:tcPr>
            <w:vAlign w:val="center"/>
          </w:tcPr>
          <w:p>
            <w:pPr>
              <w:jc w:val="center"/>
            </w:pPr>
            <w:r>
              <w:rPr>
                <w:sz w:val="24"/>
              </w:rPr>
              <w:t>002714</w:t>
            </w:r>
          </w:p>
        </w:tc>
        <w:tc>
          <w:tcPr>
            <w:vAlign w:val="center"/>
          </w:tcPr>
          <w:p>
            <w:pPr>
              <w:jc w:val="center"/>
            </w:pPr>
            <w:r>
              <w:rPr>
                <w:sz w:val="24"/>
              </w:rPr>
              <w:t>牧原股份</w:t>
            </w:r>
          </w:p>
        </w:tc>
        <w:tc>
          <w:tcPr>
            <w:vAlign w:val="center"/>
          </w:tcPr>
          <w:p>
            <w:pPr>
              <w:jc w:val="right"/>
            </w:pPr>
            <w:r>
              <w:rPr>
                <w:sz w:val="24"/>
              </w:rPr>
              <w:t>25,933,954.24</w:t>
            </w:r>
          </w:p>
        </w:tc>
        <w:tc>
          <w:tcPr>
            <w:vAlign w:val="center"/>
          </w:tcPr>
          <w:p>
            <w:pPr>
              <w:jc w:val="right"/>
            </w:pPr>
            <w:r>
              <w:rPr>
                <w:sz w:val="24"/>
              </w:rPr>
              <w:t>2.56</w:t>
            </w:r>
          </w:p>
        </w:tc>
      </w:tr>
      <w:tr>
        <w:tc>
          <w:tcPr>
            <w:vAlign w:val="center"/>
          </w:tcPr>
          <w:p>
            <w:pPr>
              <w:jc w:val="center"/>
            </w:pPr>
            <w:r>
              <w:rPr>
                <w:sz w:val="24"/>
              </w:rPr>
              <w:t>21</w:t>
            </w:r>
          </w:p>
        </w:tc>
        <w:tc>
          <w:tcPr>
            <w:vAlign w:val="center"/>
          </w:tcPr>
          <w:p>
            <w:pPr>
              <w:jc w:val="center"/>
            </w:pPr>
            <w:r>
              <w:rPr>
                <w:sz w:val="24"/>
              </w:rPr>
              <w:t>600111</w:t>
            </w:r>
          </w:p>
        </w:tc>
        <w:tc>
          <w:tcPr>
            <w:vAlign w:val="center"/>
          </w:tcPr>
          <w:p>
            <w:pPr>
              <w:jc w:val="center"/>
            </w:pPr>
            <w:r>
              <w:rPr>
                <w:sz w:val="24"/>
              </w:rPr>
              <w:t>北方稀土</w:t>
            </w:r>
          </w:p>
        </w:tc>
        <w:tc>
          <w:tcPr>
            <w:vAlign w:val="center"/>
          </w:tcPr>
          <w:p>
            <w:pPr>
              <w:jc w:val="right"/>
            </w:pPr>
            <w:r>
              <w:rPr>
                <w:sz w:val="24"/>
              </w:rPr>
              <w:t>25,861,192.00</w:t>
            </w:r>
          </w:p>
        </w:tc>
        <w:tc>
          <w:tcPr>
            <w:vAlign w:val="center"/>
          </w:tcPr>
          <w:p>
            <w:pPr>
              <w:jc w:val="right"/>
            </w:pPr>
            <w:r>
              <w:rPr>
                <w:sz w:val="24"/>
              </w:rPr>
              <w:t>2.55</w:t>
            </w:r>
          </w:p>
        </w:tc>
      </w:tr>
      <w:tr>
        <w:tc>
          <w:tcPr>
            <w:vAlign w:val="center"/>
          </w:tcPr>
          <w:p>
            <w:pPr>
              <w:jc w:val="center"/>
            </w:pPr>
            <w:r>
              <w:rPr>
                <w:sz w:val="24"/>
              </w:rPr>
              <w:t>22</w:t>
            </w:r>
          </w:p>
        </w:tc>
        <w:tc>
          <w:tcPr>
            <w:vAlign w:val="center"/>
          </w:tcPr>
          <w:p>
            <w:pPr>
              <w:jc w:val="center"/>
            </w:pPr>
            <w:r>
              <w:rPr>
                <w:sz w:val="24"/>
              </w:rPr>
              <w:t>603707</w:t>
            </w:r>
          </w:p>
        </w:tc>
        <w:tc>
          <w:tcPr>
            <w:vAlign w:val="center"/>
          </w:tcPr>
          <w:p>
            <w:pPr>
              <w:jc w:val="center"/>
            </w:pPr>
            <w:r>
              <w:rPr>
                <w:sz w:val="24"/>
              </w:rPr>
              <w:t>健友股份</w:t>
            </w:r>
          </w:p>
        </w:tc>
        <w:tc>
          <w:tcPr>
            <w:vAlign w:val="center"/>
          </w:tcPr>
          <w:p>
            <w:pPr>
              <w:jc w:val="right"/>
            </w:pPr>
            <w:r>
              <w:rPr>
                <w:sz w:val="24"/>
              </w:rPr>
              <w:t>23,191,022.17</w:t>
            </w:r>
          </w:p>
        </w:tc>
        <w:tc>
          <w:tcPr>
            <w:vAlign w:val="center"/>
          </w:tcPr>
          <w:p>
            <w:pPr>
              <w:jc w:val="right"/>
            </w:pPr>
            <w:r>
              <w:rPr>
                <w:sz w:val="24"/>
              </w:rPr>
              <w:t>2.29</w:t>
            </w:r>
          </w:p>
        </w:tc>
      </w:tr>
      <w:tr>
        <w:tc>
          <w:tcPr>
            <w:vAlign w:val="center"/>
          </w:tcPr>
          <w:p>
            <w:pPr>
              <w:jc w:val="center"/>
            </w:pPr>
            <w:r>
              <w:rPr>
                <w:sz w:val="24"/>
              </w:rPr>
              <w:t>23</w:t>
            </w:r>
          </w:p>
        </w:tc>
        <w:tc>
          <w:tcPr>
            <w:vAlign w:val="center"/>
          </w:tcPr>
          <w:p>
            <w:pPr>
              <w:jc w:val="center"/>
            </w:pPr>
            <w:r>
              <w:rPr>
                <w:sz w:val="24"/>
              </w:rPr>
              <w:t>000043</w:t>
            </w:r>
          </w:p>
        </w:tc>
        <w:tc>
          <w:tcPr>
            <w:vAlign w:val="center"/>
          </w:tcPr>
          <w:p>
            <w:pPr>
              <w:jc w:val="center"/>
            </w:pPr>
            <w:r>
              <w:rPr>
                <w:sz w:val="24"/>
              </w:rPr>
              <w:t>中航善达</w:t>
            </w:r>
          </w:p>
        </w:tc>
        <w:tc>
          <w:tcPr>
            <w:vAlign w:val="center"/>
          </w:tcPr>
          <w:p>
            <w:pPr>
              <w:jc w:val="right"/>
            </w:pPr>
            <w:r>
              <w:rPr>
                <w:sz w:val="24"/>
              </w:rPr>
              <w:t>22,460,091.04</w:t>
            </w:r>
          </w:p>
        </w:tc>
        <w:tc>
          <w:tcPr>
            <w:vAlign w:val="center"/>
          </w:tcPr>
          <w:p>
            <w:pPr>
              <w:jc w:val="right"/>
            </w:pPr>
            <w:r>
              <w:rPr>
                <w:sz w:val="24"/>
              </w:rPr>
              <w:t>2.22</w:t>
            </w:r>
          </w:p>
        </w:tc>
      </w:tr>
      <w:tr>
        <w:tc>
          <w:tcPr>
            <w:vAlign w:val="center"/>
          </w:tcPr>
          <w:p>
            <w:pPr>
              <w:jc w:val="center"/>
            </w:pPr>
            <w:r>
              <w:rPr>
                <w:sz w:val="24"/>
              </w:rPr>
              <w:t>24</w:t>
            </w:r>
          </w:p>
        </w:tc>
        <w:tc>
          <w:tcPr>
            <w:vAlign w:val="center"/>
          </w:tcPr>
          <w:p>
            <w:pPr>
              <w:jc w:val="center"/>
            </w:pPr>
            <w:r>
              <w:rPr>
                <w:sz w:val="24"/>
              </w:rPr>
              <w:t>300130</w:t>
            </w:r>
          </w:p>
        </w:tc>
        <w:tc>
          <w:tcPr>
            <w:vAlign w:val="center"/>
          </w:tcPr>
          <w:p>
            <w:pPr>
              <w:jc w:val="center"/>
            </w:pPr>
            <w:r>
              <w:rPr>
                <w:sz w:val="24"/>
              </w:rPr>
              <w:t>新国都</w:t>
            </w:r>
          </w:p>
        </w:tc>
        <w:tc>
          <w:tcPr>
            <w:vAlign w:val="center"/>
          </w:tcPr>
          <w:p>
            <w:pPr>
              <w:jc w:val="right"/>
            </w:pPr>
            <w:r>
              <w:rPr>
                <w:sz w:val="24"/>
              </w:rPr>
              <w:t>21,670,715.21</w:t>
            </w:r>
          </w:p>
        </w:tc>
        <w:tc>
          <w:tcPr>
            <w:vAlign w:val="center"/>
          </w:tcPr>
          <w:p>
            <w:pPr>
              <w:jc w:val="right"/>
            </w:pPr>
            <w:r>
              <w:rPr>
                <w:sz w:val="24"/>
              </w:rPr>
              <w:t>2.14</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600038</w:t>
            </w:r>
          </w:p>
        </w:tc>
        <w:tc>
          <w:tcPr>
            <w:vAlign w:val="center"/>
          </w:tcPr>
          <w:p>
            <w:pPr>
              <w:jc w:val="center"/>
            </w:pPr>
            <w:r>
              <w:rPr>
                <w:rFonts w:ascii="Times New Roman" w:hAnsi="Times New Roman"/>
                <w:kern w:val="2"/>
              </w:rPr>
              <w:t>中直股份</w:t>
            </w:r>
          </w:p>
        </w:tc>
        <w:tc>
          <w:tcPr>
            <w:vAlign w:val="center"/>
          </w:tcPr>
          <w:p>
            <w:pPr>
              <w:jc w:val="right"/>
            </w:pPr>
            <w:r>
              <w:rPr>
                <w:rFonts w:ascii="Times New Roman" w:hAnsi="Times New Roman"/>
                <w:kern w:val="2"/>
              </w:rPr>
              <w:t>102,569,461.16</w:t>
            </w:r>
          </w:p>
        </w:tc>
        <w:tc>
          <w:tcPr>
            <w:vAlign w:val="center"/>
          </w:tcPr>
          <w:p>
            <w:pPr>
              <w:jc w:val="right"/>
            </w:pPr>
            <w:r>
              <w:rPr>
                <w:rFonts w:ascii="Times New Roman" w:hAnsi="Times New Roman"/>
                <w:kern w:val="2"/>
              </w:rPr>
              <w:t>10.13</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000768</w:t>
            </w:r>
          </w:p>
        </w:tc>
        <w:tc>
          <w:tcPr>
            <w:vAlign w:val="center"/>
          </w:tcPr>
          <w:p>
            <w:pPr>
              <w:jc w:val="center"/>
            </w:pPr>
            <w:r>
              <w:rPr>
                <w:rFonts w:ascii="Times New Roman" w:hAnsi="Times New Roman"/>
                <w:kern w:val="2"/>
              </w:rPr>
              <w:t>中航飞机</w:t>
            </w:r>
          </w:p>
        </w:tc>
        <w:tc>
          <w:tcPr>
            <w:vAlign w:val="center"/>
          </w:tcPr>
          <w:p>
            <w:pPr>
              <w:jc w:val="right"/>
            </w:pPr>
            <w:r>
              <w:rPr>
                <w:rFonts w:ascii="Times New Roman" w:hAnsi="Times New Roman"/>
                <w:kern w:val="2"/>
              </w:rPr>
              <w:t>86,883,836.37</w:t>
            </w:r>
          </w:p>
        </w:tc>
        <w:tc>
          <w:tcPr>
            <w:vAlign w:val="center"/>
          </w:tcPr>
          <w:p>
            <w:pPr>
              <w:jc w:val="right"/>
            </w:pPr>
            <w:r>
              <w:rPr>
                <w:rFonts w:ascii="Times New Roman" w:hAnsi="Times New Roman"/>
                <w:kern w:val="2"/>
              </w:rPr>
              <w:t>8.58</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000066</w:t>
            </w:r>
          </w:p>
        </w:tc>
        <w:tc>
          <w:tcPr>
            <w:vAlign w:val="center"/>
          </w:tcPr>
          <w:p>
            <w:pPr>
              <w:jc w:val="center"/>
            </w:pPr>
            <w:r>
              <w:rPr>
                <w:rFonts w:ascii="Times New Roman" w:hAnsi="Times New Roman"/>
                <w:kern w:val="2"/>
              </w:rPr>
              <w:t>中国长城</w:t>
            </w:r>
          </w:p>
        </w:tc>
        <w:tc>
          <w:tcPr>
            <w:vAlign w:val="center"/>
          </w:tcPr>
          <w:p>
            <w:pPr>
              <w:jc w:val="right"/>
            </w:pPr>
            <w:r>
              <w:rPr>
                <w:rFonts w:ascii="Times New Roman" w:hAnsi="Times New Roman"/>
                <w:kern w:val="2"/>
              </w:rPr>
              <w:t>76,671,240.94</w:t>
            </w:r>
          </w:p>
        </w:tc>
        <w:tc>
          <w:tcPr>
            <w:vAlign w:val="center"/>
          </w:tcPr>
          <w:p>
            <w:pPr>
              <w:jc w:val="right"/>
            </w:pPr>
            <w:r>
              <w:rPr>
                <w:rFonts w:ascii="Times New Roman" w:hAnsi="Times New Roman"/>
                <w:kern w:val="2"/>
              </w:rPr>
              <w:t>7.57</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69,537,654.48</w:t>
            </w:r>
          </w:p>
        </w:tc>
        <w:tc>
          <w:tcPr>
            <w:vAlign w:val="center"/>
          </w:tcPr>
          <w:p>
            <w:pPr>
              <w:jc w:val="right"/>
            </w:pPr>
            <w:r>
              <w:rPr>
                <w:rFonts w:ascii="Times New Roman" w:hAnsi="Times New Roman"/>
                <w:kern w:val="2"/>
              </w:rPr>
              <w:t>6.87</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300012</w:t>
            </w:r>
          </w:p>
        </w:tc>
        <w:tc>
          <w:tcPr>
            <w:vAlign w:val="center"/>
          </w:tcPr>
          <w:p>
            <w:pPr>
              <w:jc w:val="center"/>
            </w:pPr>
            <w:r>
              <w:rPr>
                <w:rFonts w:ascii="Times New Roman" w:hAnsi="Times New Roman"/>
                <w:kern w:val="2"/>
              </w:rPr>
              <w:t>华测检测</w:t>
            </w:r>
          </w:p>
        </w:tc>
        <w:tc>
          <w:tcPr>
            <w:vAlign w:val="center"/>
          </w:tcPr>
          <w:p>
            <w:pPr>
              <w:jc w:val="right"/>
            </w:pPr>
            <w:r>
              <w:rPr>
                <w:rFonts w:ascii="Times New Roman" w:hAnsi="Times New Roman"/>
                <w:kern w:val="2"/>
              </w:rPr>
              <w:t>63,147,594.66</w:t>
            </w:r>
          </w:p>
        </w:tc>
        <w:tc>
          <w:tcPr>
            <w:vAlign w:val="center"/>
          </w:tcPr>
          <w:p>
            <w:pPr>
              <w:jc w:val="right"/>
            </w:pPr>
            <w:r>
              <w:rPr>
                <w:rFonts w:ascii="Times New Roman" w:hAnsi="Times New Roman"/>
                <w:kern w:val="2"/>
              </w:rPr>
              <w:t>6.24</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600259</w:t>
            </w:r>
          </w:p>
        </w:tc>
        <w:tc>
          <w:tcPr>
            <w:vAlign w:val="center"/>
          </w:tcPr>
          <w:p>
            <w:pPr>
              <w:jc w:val="center"/>
            </w:pPr>
            <w:r>
              <w:rPr>
                <w:rFonts w:ascii="Times New Roman" w:hAnsi="Times New Roman"/>
                <w:kern w:val="2"/>
              </w:rPr>
              <w:t>广晟有色</w:t>
            </w:r>
          </w:p>
        </w:tc>
        <w:tc>
          <w:tcPr>
            <w:vAlign w:val="center"/>
          </w:tcPr>
          <w:p>
            <w:pPr>
              <w:jc w:val="right"/>
            </w:pPr>
            <w:r>
              <w:rPr>
                <w:rFonts w:ascii="Times New Roman" w:hAnsi="Times New Roman"/>
                <w:kern w:val="2"/>
              </w:rPr>
              <w:t>62,500,601.47</w:t>
            </w:r>
          </w:p>
        </w:tc>
        <w:tc>
          <w:tcPr>
            <w:vAlign w:val="center"/>
          </w:tcPr>
          <w:p>
            <w:pPr>
              <w:jc w:val="right"/>
            </w:pPr>
            <w:r>
              <w:rPr>
                <w:rFonts w:ascii="Times New Roman" w:hAnsi="Times New Roman"/>
                <w:kern w:val="2"/>
              </w:rPr>
              <w:t>6.17</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600536</w:t>
            </w:r>
          </w:p>
        </w:tc>
        <w:tc>
          <w:tcPr>
            <w:vAlign w:val="center"/>
          </w:tcPr>
          <w:p>
            <w:pPr>
              <w:jc w:val="center"/>
            </w:pPr>
            <w:r>
              <w:rPr>
                <w:rFonts w:ascii="Times New Roman" w:hAnsi="Times New Roman"/>
                <w:kern w:val="2"/>
              </w:rPr>
              <w:t>中国软件</w:t>
            </w:r>
          </w:p>
        </w:tc>
        <w:tc>
          <w:tcPr>
            <w:vAlign w:val="center"/>
          </w:tcPr>
          <w:p>
            <w:pPr>
              <w:jc w:val="right"/>
            </w:pPr>
            <w:r>
              <w:rPr>
                <w:rFonts w:ascii="Times New Roman" w:hAnsi="Times New Roman"/>
                <w:kern w:val="2"/>
              </w:rPr>
              <w:t>59,325,528.79</w:t>
            </w:r>
          </w:p>
        </w:tc>
        <w:tc>
          <w:tcPr>
            <w:vAlign w:val="center"/>
          </w:tcPr>
          <w:p>
            <w:pPr>
              <w:jc w:val="right"/>
            </w:pPr>
            <w:r>
              <w:rPr>
                <w:rFonts w:ascii="Times New Roman" w:hAnsi="Times New Roman"/>
                <w:kern w:val="2"/>
              </w:rPr>
              <w:t>5.86</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300348</w:t>
            </w:r>
          </w:p>
        </w:tc>
        <w:tc>
          <w:tcPr>
            <w:vAlign w:val="center"/>
          </w:tcPr>
          <w:p>
            <w:pPr>
              <w:jc w:val="center"/>
            </w:pPr>
            <w:r>
              <w:rPr>
                <w:rFonts w:ascii="Times New Roman" w:hAnsi="Times New Roman"/>
                <w:kern w:val="2"/>
              </w:rPr>
              <w:t>长亮科技</w:t>
            </w:r>
          </w:p>
        </w:tc>
        <w:tc>
          <w:tcPr>
            <w:vAlign w:val="center"/>
          </w:tcPr>
          <w:p>
            <w:pPr>
              <w:jc w:val="right"/>
            </w:pPr>
            <w:r>
              <w:rPr>
                <w:rFonts w:ascii="Times New Roman" w:hAnsi="Times New Roman"/>
                <w:kern w:val="2"/>
              </w:rPr>
              <w:t>48,142,000.25</w:t>
            </w:r>
          </w:p>
        </w:tc>
        <w:tc>
          <w:tcPr>
            <w:vAlign w:val="center"/>
          </w:tcPr>
          <w:p>
            <w:pPr>
              <w:jc w:val="right"/>
            </w:pPr>
            <w:r>
              <w:rPr>
                <w:rFonts w:ascii="Times New Roman" w:hAnsi="Times New Roman"/>
                <w:kern w:val="2"/>
              </w:rPr>
              <w:t>4.75</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600760</w:t>
            </w:r>
          </w:p>
        </w:tc>
        <w:tc>
          <w:tcPr>
            <w:vAlign w:val="center"/>
          </w:tcPr>
          <w:p>
            <w:pPr>
              <w:jc w:val="center"/>
            </w:pPr>
            <w:r>
              <w:rPr>
                <w:rFonts w:ascii="Times New Roman" w:hAnsi="Times New Roman"/>
                <w:kern w:val="2"/>
              </w:rPr>
              <w:t>中航沈飞</w:t>
            </w:r>
          </w:p>
        </w:tc>
        <w:tc>
          <w:tcPr>
            <w:vAlign w:val="center"/>
          </w:tcPr>
          <w:p>
            <w:pPr>
              <w:jc w:val="right"/>
            </w:pPr>
            <w:r>
              <w:rPr>
                <w:rFonts w:ascii="Times New Roman" w:hAnsi="Times New Roman"/>
                <w:kern w:val="2"/>
              </w:rPr>
              <w:t>45,190,956.06</w:t>
            </w:r>
          </w:p>
        </w:tc>
        <w:tc>
          <w:tcPr>
            <w:vAlign w:val="center"/>
          </w:tcPr>
          <w:p>
            <w:pPr>
              <w:jc w:val="right"/>
            </w:pPr>
            <w:r>
              <w:rPr>
                <w:rFonts w:ascii="Times New Roman" w:hAnsi="Times New Roman"/>
                <w:kern w:val="2"/>
              </w:rPr>
              <w:t>4.46</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300659</w:t>
            </w:r>
          </w:p>
        </w:tc>
        <w:tc>
          <w:tcPr>
            <w:vAlign w:val="center"/>
          </w:tcPr>
          <w:p>
            <w:pPr>
              <w:jc w:val="center"/>
            </w:pPr>
            <w:r>
              <w:rPr>
                <w:rFonts w:ascii="Times New Roman" w:hAnsi="Times New Roman"/>
                <w:kern w:val="2"/>
              </w:rPr>
              <w:t>中孚信息</w:t>
            </w:r>
          </w:p>
        </w:tc>
        <w:tc>
          <w:tcPr>
            <w:vAlign w:val="center"/>
          </w:tcPr>
          <w:p>
            <w:pPr>
              <w:jc w:val="right"/>
            </w:pPr>
            <w:r>
              <w:rPr>
                <w:rFonts w:ascii="Times New Roman" w:hAnsi="Times New Roman"/>
                <w:kern w:val="2"/>
              </w:rPr>
              <w:t>44,773,097.25</w:t>
            </w:r>
          </w:p>
        </w:tc>
        <w:tc>
          <w:tcPr>
            <w:vAlign w:val="center"/>
          </w:tcPr>
          <w:p>
            <w:pPr>
              <w:jc w:val="right"/>
            </w:pPr>
            <w:r>
              <w:rPr>
                <w:rFonts w:ascii="Times New Roman" w:hAnsi="Times New Roman"/>
                <w:kern w:val="2"/>
              </w:rPr>
              <w:t>4.42</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002019</w:t>
            </w:r>
          </w:p>
        </w:tc>
        <w:tc>
          <w:tcPr>
            <w:vAlign w:val="center"/>
          </w:tcPr>
          <w:p>
            <w:pPr>
              <w:jc w:val="center"/>
            </w:pPr>
            <w:r>
              <w:rPr>
                <w:rFonts w:ascii="Times New Roman" w:hAnsi="Times New Roman"/>
                <w:kern w:val="2"/>
              </w:rPr>
              <w:t>亿帆医药</w:t>
            </w:r>
          </w:p>
        </w:tc>
        <w:tc>
          <w:tcPr>
            <w:vAlign w:val="center"/>
          </w:tcPr>
          <w:p>
            <w:pPr>
              <w:jc w:val="right"/>
            </w:pPr>
            <w:r>
              <w:rPr>
                <w:rFonts w:ascii="Times New Roman" w:hAnsi="Times New Roman"/>
                <w:kern w:val="2"/>
              </w:rPr>
              <w:t>44,445,558.71</w:t>
            </w:r>
          </w:p>
        </w:tc>
        <w:tc>
          <w:tcPr>
            <w:vAlign w:val="center"/>
          </w:tcPr>
          <w:p>
            <w:pPr>
              <w:jc w:val="right"/>
            </w:pPr>
            <w:r>
              <w:rPr>
                <w:rFonts w:ascii="Times New Roman" w:hAnsi="Times New Roman"/>
                <w:kern w:val="2"/>
              </w:rPr>
              <w:t>4.39</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002371</w:t>
            </w:r>
          </w:p>
        </w:tc>
        <w:tc>
          <w:tcPr>
            <w:vAlign w:val="center"/>
          </w:tcPr>
          <w:p>
            <w:pPr>
              <w:jc w:val="center"/>
            </w:pPr>
            <w:r>
              <w:rPr>
                <w:rFonts w:ascii="Times New Roman" w:hAnsi="Times New Roman"/>
                <w:kern w:val="2"/>
              </w:rPr>
              <w:t>北方华创</w:t>
            </w:r>
          </w:p>
        </w:tc>
        <w:tc>
          <w:tcPr>
            <w:vAlign w:val="center"/>
          </w:tcPr>
          <w:p>
            <w:pPr>
              <w:jc w:val="right"/>
            </w:pPr>
            <w:r>
              <w:rPr>
                <w:rFonts w:ascii="Times New Roman" w:hAnsi="Times New Roman"/>
                <w:kern w:val="2"/>
              </w:rPr>
              <w:t>43,097,908.42</w:t>
            </w:r>
          </w:p>
        </w:tc>
        <w:tc>
          <w:tcPr>
            <w:vAlign w:val="center"/>
          </w:tcPr>
          <w:p>
            <w:pPr>
              <w:jc w:val="right"/>
            </w:pPr>
            <w:r>
              <w:rPr>
                <w:rFonts w:ascii="Times New Roman" w:hAnsi="Times New Roman"/>
                <w:kern w:val="2"/>
              </w:rPr>
              <w:t>4.26</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002180</w:t>
            </w:r>
          </w:p>
        </w:tc>
        <w:tc>
          <w:tcPr>
            <w:vAlign w:val="center"/>
          </w:tcPr>
          <w:p>
            <w:pPr>
              <w:jc w:val="center"/>
            </w:pPr>
            <w:r>
              <w:rPr>
                <w:rFonts w:ascii="Times New Roman" w:hAnsi="Times New Roman"/>
                <w:kern w:val="2"/>
              </w:rPr>
              <w:t>纳思达</w:t>
            </w:r>
          </w:p>
        </w:tc>
        <w:tc>
          <w:tcPr>
            <w:vAlign w:val="center"/>
          </w:tcPr>
          <w:p>
            <w:pPr>
              <w:jc w:val="right"/>
            </w:pPr>
            <w:r>
              <w:rPr>
                <w:rFonts w:ascii="Times New Roman" w:hAnsi="Times New Roman"/>
                <w:kern w:val="2"/>
              </w:rPr>
              <w:t>40,272,288.16</w:t>
            </w:r>
          </w:p>
        </w:tc>
        <w:tc>
          <w:tcPr>
            <w:vAlign w:val="center"/>
          </w:tcPr>
          <w:p>
            <w:pPr>
              <w:jc w:val="right"/>
            </w:pPr>
            <w:r>
              <w:rPr>
                <w:rFonts w:ascii="Times New Roman" w:hAnsi="Times New Roman"/>
                <w:kern w:val="2"/>
              </w:rPr>
              <w:t>3.98</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000977</w:t>
            </w:r>
          </w:p>
        </w:tc>
        <w:tc>
          <w:tcPr>
            <w:vAlign w:val="center"/>
          </w:tcPr>
          <w:p>
            <w:pPr>
              <w:jc w:val="center"/>
            </w:pPr>
            <w:r>
              <w:rPr>
                <w:rFonts w:ascii="Times New Roman" w:hAnsi="Times New Roman"/>
                <w:kern w:val="2"/>
              </w:rPr>
              <w:t>浪潮信息</w:t>
            </w:r>
          </w:p>
        </w:tc>
        <w:tc>
          <w:tcPr>
            <w:vAlign w:val="center"/>
          </w:tcPr>
          <w:p>
            <w:pPr>
              <w:jc w:val="right"/>
            </w:pPr>
            <w:r>
              <w:rPr>
                <w:rFonts w:ascii="Times New Roman" w:hAnsi="Times New Roman"/>
                <w:kern w:val="2"/>
              </w:rPr>
              <w:t>38,819,007.25</w:t>
            </w:r>
          </w:p>
        </w:tc>
        <w:tc>
          <w:tcPr>
            <w:vAlign w:val="center"/>
          </w:tcPr>
          <w:p>
            <w:pPr>
              <w:jc w:val="right"/>
            </w:pPr>
            <w:r>
              <w:rPr>
                <w:rFonts w:ascii="Times New Roman" w:hAnsi="Times New Roman"/>
                <w:kern w:val="2"/>
              </w:rPr>
              <w:t>3.83</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300226</w:t>
            </w:r>
          </w:p>
        </w:tc>
        <w:tc>
          <w:tcPr>
            <w:vAlign w:val="center"/>
          </w:tcPr>
          <w:p>
            <w:pPr>
              <w:jc w:val="center"/>
            </w:pPr>
            <w:r>
              <w:rPr>
                <w:rFonts w:ascii="Times New Roman" w:hAnsi="Times New Roman"/>
                <w:kern w:val="2"/>
              </w:rPr>
              <w:t>上海钢联</w:t>
            </w:r>
          </w:p>
        </w:tc>
        <w:tc>
          <w:tcPr>
            <w:vAlign w:val="center"/>
          </w:tcPr>
          <w:p>
            <w:pPr>
              <w:jc w:val="right"/>
            </w:pPr>
            <w:r>
              <w:rPr>
                <w:rFonts w:ascii="Times New Roman" w:hAnsi="Times New Roman"/>
                <w:kern w:val="2"/>
              </w:rPr>
              <w:t>38,603,896.70</w:t>
            </w:r>
          </w:p>
        </w:tc>
        <w:tc>
          <w:tcPr>
            <w:vAlign w:val="center"/>
          </w:tcPr>
          <w:p>
            <w:pPr>
              <w:jc w:val="right"/>
            </w:pPr>
            <w:r>
              <w:rPr>
                <w:rFonts w:ascii="Times New Roman" w:hAnsi="Times New Roman"/>
                <w:kern w:val="2"/>
              </w:rPr>
              <w:t>3.81</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300572</w:t>
            </w:r>
          </w:p>
        </w:tc>
        <w:tc>
          <w:tcPr>
            <w:vAlign w:val="center"/>
          </w:tcPr>
          <w:p>
            <w:pPr>
              <w:jc w:val="center"/>
            </w:pPr>
            <w:r>
              <w:rPr>
                <w:rFonts w:ascii="Times New Roman" w:hAnsi="Times New Roman"/>
                <w:kern w:val="2"/>
              </w:rPr>
              <w:t>安车检测</w:t>
            </w:r>
          </w:p>
        </w:tc>
        <w:tc>
          <w:tcPr>
            <w:vAlign w:val="center"/>
          </w:tcPr>
          <w:p>
            <w:pPr>
              <w:jc w:val="right"/>
            </w:pPr>
            <w:r>
              <w:rPr>
                <w:rFonts w:ascii="Times New Roman" w:hAnsi="Times New Roman"/>
                <w:kern w:val="2"/>
              </w:rPr>
              <w:t>37,139,622.68</w:t>
            </w:r>
          </w:p>
        </w:tc>
        <w:tc>
          <w:tcPr>
            <w:vAlign w:val="center"/>
          </w:tcPr>
          <w:p>
            <w:pPr>
              <w:jc w:val="right"/>
            </w:pPr>
            <w:r>
              <w:rPr>
                <w:rFonts w:ascii="Times New Roman" w:hAnsi="Times New Roman"/>
                <w:kern w:val="2"/>
              </w:rPr>
              <w:t>3.67</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300168</w:t>
            </w:r>
          </w:p>
        </w:tc>
        <w:tc>
          <w:tcPr>
            <w:vAlign w:val="center"/>
          </w:tcPr>
          <w:p>
            <w:pPr>
              <w:jc w:val="center"/>
            </w:pPr>
            <w:r>
              <w:rPr>
                <w:rFonts w:ascii="Times New Roman" w:hAnsi="Times New Roman"/>
                <w:kern w:val="2"/>
              </w:rPr>
              <w:t>万达信息</w:t>
            </w:r>
          </w:p>
        </w:tc>
        <w:tc>
          <w:tcPr>
            <w:vAlign w:val="center"/>
          </w:tcPr>
          <w:p>
            <w:pPr>
              <w:jc w:val="right"/>
            </w:pPr>
            <w:r>
              <w:rPr>
                <w:rFonts w:ascii="Times New Roman" w:hAnsi="Times New Roman"/>
                <w:kern w:val="2"/>
              </w:rPr>
              <w:t>36,247,352.46</w:t>
            </w:r>
          </w:p>
        </w:tc>
        <w:tc>
          <w:tcPr>
            <w:vAlign w:val="center"/>
          </w:tcPr>
          <w:p>
            <w:pPr>
              <w:jc w:val="right"/>
            </w:pPr>
            <w:r>
              <w:rPr>
                <w:rFonts w:ascii="Times New Roman" w:hAnsi="Times New Roman"/>
                <w:kern w:val="2"/>
              </w:rPr>
              <w:t>3.58</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300212</w:t>
            </w:r>
          </w:p>
        </w:tc>
        <w:tc>
          <w:tcPr>
            <w:vAlign w:val="center"/>
          </w:tcPr>
          <w:p>
            <w:pPr>
              <w:jc w:val="center"/>
            </w:pPr>
            <w:r>
              <w:rPr>
                <w:rFonts w:ascii="Times New Roman" w:hAnsi="Times New Roman"/>
                <w:kern w:val="2"/>
              </w:rPr>
              <w:t>易华录</w:t>
            </w:r>
          </w:p>
        </w:tc>
        <w:tc>
          <w:tcPr>
            <w:vAlign w:val="center"/>
          </w:tcPr>
          <w:p>
            <w:pPr>
              <w:jc w:val="right"/>
            </w:pPr>
            <w:r>
              <w:rPr>
                <w:rFonts w:ascii="Times New Roman" w:hAnsi="Times New Roman"/>
                <w:kern w:val="2"/>
              </w:rPr>
              <w:t>30,444,103.87</w:t>
            </w:r>
          </w:p>
        </w:tc>
        <w:tc>
          <w:tcPr>
            <w:vAlign w:val="center"/>
          </w:tcPr>
          <w:p>
            <w:pPr>
              <w:jc w:val="right"/>
            </w:pPr>
            <w:r>
              <w:rPr>
                <w:rFonts w:ascii="Times New Roman" w:hAnsi="Times New Roman"/>
                <w:kern w:val="2"/>
              </w:rPr>
              <w:t>3.01</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300271</w:t>
            </w:r>
          </w:p>
        </w:tc>
        <w:tc>
          <w:tcPr>
            <w:vAlign w:val="center"/>
          </w:tcPr>
          <w:p>
            <w:pPr>
              <w:jc w:val="center"/>
            </w:pPr>
            <w:r>
              <w:rPr>
                <w:rFonts w:ascii="Times New Roman" w:hAnsi="Times New Roman"/>
                <w:kern w:val="2"/>
              </w:rPr>
              <w:t>华宇软件</w:t>
            </w:r>
          </w:p>
        </w:tc>
        <w:tc>
          <w:tcPr>
            <w:vAlign w:val="center"/>
          </w:tcPr>
          <w:p>
            <w:pPr>
              <w:jc w:val="right"/>
            </w:pPr>
            <w:r>
              <w:rPr>
                <w:rFonts w:ascii="Times New Roman" w:hAnsi="Times New Roman"/>
                <w:kern w:val="2"/>
              </w:rPr>
              <w:t>29,807,188.87</w:t>
            </w:r>
          </w:p>
        </w:tc>
        <w:tc>
          <w:tcPr>
            <w:vAlign w:val="center"/>
          </w:tcPr>
          <w:p>
            <w:pPr>
              <w:jc w:val="right"/>
            </w:pPr>
            <w:r>
              <w:rPr>
                <w:rFonts w:ascii="Times New Roman" w:hAnsi="Times New Roman"/>
                <w:kern w:val="2"/>
              </w:rPr>
              <w:t>2.94</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300513</w:t>
            </w:r>
          </w:p>
        </w:tc>
        <w:tc>
          <w:tcPr>
            <w:vAlign w:val="center"/>
          </w:tcPr>
          <w:p>
            <w:pPr>
              <w:jc w:val="center"/>
            </w:pPr>
            <w:r>
              <w:rPr>
                <w:rFonts w:ascii="Times New Roman" w:hAnsi="Times New Roman"/>
                <w:kern w:val="2"/>
              </w:rPr>
              <w:t>恒实科技</w:t>
            </w:r>
          </w:p>
        </w:tc>
        <w:tc>
          <w:tcPr>
            <w:vAlign w:val="center"/>
          </w:tcPr>
          <w:p>
            <w:pPr>
              <w:jc w:val="right"/>
            </w:pPr>
            <w:r>
              <w:rPr>
                <w:rFonts w:ascii="Times New Roman" w:hAnsi="Times New Roman"/>
                <w:kern w:val="2"/>
              </w:rPr>
              <w:t>27,572,253.09</w:t>
            </w:r>
          </w:p>
        </w:tc>
        <w:tc>
          <w:tcPr>
            <w:vAlign w:val="center"/>
          </w:tcPr>
          <w:p>
            <w:pPr>
              <w:jc w:val="right"/>
            </w:pPr>
            <w:r>
              <w:rPr>
                <w:rFonts w:ascii="Times New Roman" w:hAnsi="Times New Roman"/>
                <w:kern w:val="2"/>
              </w:rPr>
              <w:t>2.72</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300331</w:t>
            </w:r>
          </w:p>
        </w:tc>
        <w:tc>
          <w:tcPr>
            <w:vAlign w:val="center"/>
          </w:tcPr>
          <w:p>
            <w:pPr>
              <w:jc w:val="center"/>
            </w:pPr>
            <w:r>
              <w:rPr>
                <w:rFonts w:ascii="Times New Roman" w:hAnsi="Times New Roman"/>
                <w:kern w:val="2"/>
              </w:rPr>
              <w:t>苏大维格</w:t>
            </w:r>
          </w:p>
        </w:tc>
        <w:tc>
          <w:tcPr>
            <w:vAlign w:val="center"/>
          </w:tcPr>
          <w:p>
            <w:pPr>
              <w:jc w:val="right"/>
            </w:pPr>
            <w:r>
              <w:rPr>
                <w:rFonts w:ascii="Times New Roman" w:hAnsi="Times New Roman"/>
                <w:kern w:val="2"/>
              </w:rPr>
              <w:t>27,439,768.37</w:t>
            </w:r>
          </w:p>
        </w:tc>
        <w:tc>
          <w:tcPr>
            <w:vAlign w:val="center"/>
          </w:tcPr>
          <w:p>
            <w:pPr>
              <w:jc w:val="right"/>
            </w:pPr>
            <w:r>
              <w:rPr>
                <w:rFonts w:ascii="Times New Roman" w:hAnsi="Times New Roman"/>
                <w:kern w:val="2"/>
              </w:rPr>
              <w:t>2.71</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000852</w:t>
            </w:r>
          </w:p>
        </w:tc>
        <w:tc>
          <w:tcPr>
            <w:vAlign w:val="center"/>
          </w:tcPr>
          <w:p>
            <w:pPr>
              <w:jc w:val="center"/>
            </w:pPr>
            <w:r>
              <w:rPr>
                <w:rFonts w:ascii="Times New Roman" w:hAnsi="Times New Roman"/>
                <w:kern w:val="2"/>
              </w:rPr>
              <w:t>石化机械</w:t>
            </w:r>
          </w:p>
        </w:tc>
        <w:tc>
          <w:tcPr>
            <w:vAlign w:val="center"/>
          </w:tcPr>
          <w:p>
            <w:pPr>
              <w:jc w:val="right"/>
            </w:pPr>
            <w:r>
              <w:rPr>
                <w:rFonts w:ascii="Times New Roman" w:hAnsi="Times New Roman"/>
                <w:kern w:val="2"/>
              </w:rPr>
              <w:t>27,357,325.89</w:t>
            </w:r>
          </w:p>
        </w:tc>
        <w:tc>
          <w:tcPr>
            <w:vAlign w:val="center"/>
          </w:tcPr>
          <w:p>
            <w:pPr>
              <w:jc w:val="right"/>
            </w:pPr>
            <w:r>
              <w:rPr>
                <w:rFonts w:ascii="Times New Roman" w:hAnsi="Times New Roman"/>
                <w:kern w:val="2"/>
              </w:rPr>
              <w:t>2.70</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300016</w:t>
            </w:r>
          </w:p>
        </w:tc>
        <w:tc>
          <w:tcPr>
            <w:vAlign w:val="center"/>
          </w:tcPr>
          <w:p>
            <w:pPr>
              <w:jc w:val="center"/>
            </w:pPr>
            <w:r>
              <w:rPr>
                <w:rFonts w:ascii="Times New Roman" w:hAnsi="Times New Roman"/>
                <w:kern w:val="2"/>
              </w:rPr>
              <w:t>北陆药业</w:t>
            </w:r>
          </w:p>
        </w:tc>
        <w:tc>
          <w:tcPr>
            <w:vAlign w:val="center"/>
          </w:tcPr>
          <w:p>
            <w:pPr>
              <w:jc w:val="right"/>
            </w:pPr>
            <w:r>
              <w:rPr>
                <w:rFonts w:ascii="Times New Roman" w:hAnsi="Times New Roman"/>
                <w:kern w:val="2"/>
              </w:rPr>
              <w:t>26,548,588.35</w:t>
            </w:r>
          </w:p>
        </w:tc>
        <w:tc>
          <w:tcPr>
            <w:vAlign w:val="center"/>
          </w:tcPr>
          <w:p>
            <w:pPr>
              <w:jc w:val="right"/>
            </w:pPr>
            <w:r>
              <w:rPr>
                <w:rFonts w:ascii="Times New Roman" w:hAnsi="Times New Roman"/>
                <w:kern w:val="2"/>
              </w:rPr>
              <w:t>2.62</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600111</w:t>
            </w:r>
          </w:p>
        </w:tc>
        <w:tc>
          <w:tcPr>
            <w:vAlign w:val="center"/>
          </w:tcPr>
          <w:p>
            <w:pPr>
              <w:jc w:val="center"/>
            </w:pPr>
            <w:r>
              <w:rPr>
                <w:rFonts w:ascii="Times New Roman" w:hAnsi="Times New Roman"/>
                <w:kern w:val="2"/>
              </w:rPr>
              <w:t>北方稀土</w:t>
            </w:r>
          </w:p>
        </w:tc>
        <w:tc>
          <w:tcPr>
            <w:vAlign w:val="center"/>
          </w:tcPr>
          <w:p>
            <w:pPr>
              <w:jc w:val="right"/>
            </w:pPr>
            <w:r>
              <w:rPr>
                <w:rFonts w:ascii="Times New Roman" w:hAnsi="Times New Roman"/>
                <w:kern w:val="2"/>
              </w:rPr>
              <w:t>24,774,158.02</w:t>
            </w:r>
          </w:p>
        </w:tc>
        <w:tc>
          <w:tcPr>
            <w:vAlign w:val="center"/>
          </w:tcPr>
          <w:p>
            <w:pPr>
              <w:jc w:val="right"/>
            </w:pPr>
            <w:r>
              <w:rPr>
                <w:rFonts w:ascii="Times New Roman" w:hAnsi="Times New Roman"/>
                <w:kern w:val="2"/>
              </w:rPr>
              <w:t>2.45</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603707</w:t>
            </w:r>
          </w:p>
        </w:tc>
        <w:tc>
          <w:tcPr>
            <w:vAlign w:val="center"/>
          </w:tcPr>
          <w:p>
            <w:pPr>
              <w:jc w:val="center"/>
            </w:pPr>
            <w:r>
              <w:rPr>
                <w:rFonts w:ascii="Times New Roman" w:hAnsi="Times New Roman"/>
                <w:kern w:val="2"/>
              </w:rPr>
              <w:t>健友股份</w:t>
            </w:r>
          </w:p>
        </w:tc>
        <w:tc>
          <w:tcPr>
            <w:vAlign w:val="center"/>
          </w:tcPr>
          <w:p>
            <w:pPr>
              <w:jc w:val="right"/>
            </w:pPr>
            <w:r>
              <w:rPr>
                <w:rFonts w:ascii="Times New Roman" w:hAnsi="Times New Roman"/>
                <w:kern w:val="2"/>
              </w:rPr>
              <w:t>24,130,291.26</w:t>
            </w:r>
          </w:p>
        </w:tc>
        <w:tc>
          <w:tcPr>
            <w:vAlign w:val="center"/>
          </w:tcPr>
          <w:p>
            <w:pPr>
              <w:jc w:val="right"/>
            </w:pPr>
            <w:r>
              <w:rPr>
                <w:rFonts w:ascii="Times New Roman" w:hAnsi="Times New Roman"/>
                <w:kern w:val="2"/>
              </w:rPr>
              <w:t>2.38</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300618</w:t>
            </w:r>
          </w:p>
        </w:tc>
        <w:tc>
          <w:tcPr>
            <w:vAlign w:val="center"/>
          </w:tcPr>
          <w:p>
            <w:pPr>
              <w:jc w:val="center"/>
            </w:pPr>
            <w:r>
              <w:rPr>
                <w:rFonts w:ascii="Times New Roman" w:hAnsi="Times New Roman"/>
                <w:kern w:val="2"/>
              </w:rPr>
              <w:t>寒锐钴业</w:t>
            </w:r>
          </w:p>
        </w:tc>
        <w:tc>
          <w:tcPr>
            <w:vAlign w:val="center"/>
          </w:tcPr>
          <w:p>
            <w:pPr>
              <w:jc w:val="right"/>
            </w:pPr>
            <w:r>
              <w:rPr>
                <w:rFonts w:ascii="Times New Roman" w:hAnsi="Times New Roman"/>
                <w:kern w:val="2"/>
              </w:rPr>
              <w:t>23,131,994.25</w:t>
            </w:r>
          </w:p>
        </w:tc>
        <w:tc>
          <w:tcPr>
            <w:vAlign w:val="center"/>
          </w:tcPr>
          <w:p>
            <w:pPr>
              <w:jc w:val="right"/>
            </w:pPr>
            <w:r>
              <w:rPr>
                <w:rFonts w:ascii="Times New Roman" w:hAnsi="Times New Roman"/>
                <w:kern w:val="2"/>
              </w:rPr>
              <w:t>2.28</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300130</w:t>
            </w:r>
          </w:p>
        </w:tc>
        <w:tc>
          <w:tcPr>
            <w:vAlign w:val="center"/>
          </w:tcPr>
          <w:p>
            <w:pPr>
              <w:jc w:val="center"/>
            </w:pPr>
            <w:r>
              <w:rPr>
                <w:rFonts w:ascii="Times New Roman" w:hAnsi="Times New Roman"/>
                <w:kern w:val="2"/>
              </w:rPr>
              <w:t>新国都</w:t>
            </w:r>
          </w:p>
        </w:tc>
        <w:tc>
          <w:tcPr>
            <w:vAlign w:val="center"/>
          </w:tcPr>
          <w:p>
            <w:pPr>
              <w:jc w:val="right"/>
            </w:pPr>
            <w:r>
              <w:rPr>
                <w:rFonts w:ascii="Times New Roman" w:hAnsi="Times New Roman"/>
                <w:kern w:val="2"/>
              </w:rPr>
              <w:t>21,080,913.15</w:t>
            </w:r>
          </w:p>
        </w:tc>
        <w:tc>
          <w:tcPr>
            <w:vAlign w:val="center"/>
          </w:tcPr>
          <w:p>
            <w:pPr>
              <w:jc w:val="right"/>
            </w:pPr>
            <w:r>
              <w:rPr>
                <w:rFonts w:ascii="Times New Roman" w:hAnsi="Times New Roman"/>
                <w:kern w:val="2"/>
              </w:rPr>
              <w:t>2.08</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注：“本期累计卖出金额”均按卖出成交金额（成交单价乘以成交数量）填列，不考虑相关交易费用。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1,158,617,645.06</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1,364,886,016.72</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16,986,400.00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1.46</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16,986,400.00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1.46</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019611</w:t>
            </w:r>
          </w:p>
        </w:tc>
        <w:tc>
          <w:tcPr>
            <w:vAlign w:val="center"/>
          </w:tcPr>
          <w:p>
            <w:pPr>
              <w:jc w:val="center"/>
            </w:pPr>
            <w:r>
              <w:rPr>
                <w:color w:val="000000"/>
                <w:sz w:val="24"/>
              </w:rPr>
              <w:t>19国债01</w:t>
            </w:r>
          </w:p>
        </w:tc>
        <w:tc>
          <w:tcPr>
            <w:vAlign w:val="center"/>
          </w:tcPr>
          <w:p>
            <w:pPr>
              <w:jc w:val="right"/>
            </w:pPr>
            <w:r>
              <w:rPr>
                <w:color w:val="000000"/>
                <w:sz w:val="24"/>
              </w:rPr>
              <w:t>170,000</w:t>
            </w:r>
          </w:p>
        </w:tc>
        <w:tc>
          <w:tcPr>
            <w:vAlign w:val="center"/>
          </w:tcPr>
          <w:p>
            <w:pPr>
              <w:jc w:val="right"/>
            </w:pPr>
            <w:r>
              <w:rPr>
                <w:color w:val="000000"/>
                <w:sz w:val="24"/>
              </w:rPr>
              <w:t>16,986,400.00</w:t>
            </w:r>
          </w:p>
        </w:tc>
        <w:tc>
          <w:tcPr>
            <w:vAlign w:val="center"/>
          </w:tcPr>
          <w:p>
            <w:pPr>
              <w:jc w:val="right"/>
            </w:pPr>
            <w:r>
              <w:rPr>
                <w:color w:val="000000"/>
                <w:sz w:val="24"/>
              </w:rPr>
              <w:t>1.46</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478,875.43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29,657,493.95</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194,593.20</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274,520.68</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30,605,483.26</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41,455</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41,455</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21,478.38</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313,286,765.98</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35.19%</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577,099,349.82</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64.81%</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476,784.49</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0.05%</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2009年4月10日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4,470,679,078.59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990,076,770.97</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415,728,982.87</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515,419,638.04</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890,386,115.80</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2、基金托管人的基金托管部门的重大人事变动：本基金托管人中国农业银行股份有限公司于2019年1月免去史静欣托管业务部副总裁职务，2019年4月免去马曙光托管业务部总裁职务。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2</w:t>
            </w:r>
          </w:p>
        </w:tc>
        <w:tc>
          <w:tcPr>
            <w:vAlign w:val="center"/>
          </w:tcPr>
          <w:p>
            <w:pPr>
              <w:jc w:val="right"/>
            </w:pPr>
            <w:r>
              <w:rPr>
                <w:color w:val="000000"/>
                <w:sz w:val="24"/>
              </w:rPr>
              <w:t>85,214,666.40</w:t>
            </w:r>
          </w:p>
        </w:tc>
        <w:tc>
          <w:tcPr>
            <w:vAlign w:val="center"/>
          </w:tcPr>
          <w:p>
            <w:pPr>
              <w:jc w:val="right"/>
            </w:pPr>
            <w:r>
              <w:rPr>
                <w:color w:val="000000"/>
                <w:sz w:val="24"/>
              </w:rPr>
              <w:t>3.38%</w:t>
            </w:r>
          </w:p>
        </w:tc>
        <w:tc>
          <w:tcPr>
            <w:vAlign w:val="center"/>
          </w:tcPr>
          <w:p>
            <w:pPr>
              <w:jc w:val="right"/>
            </w:pPr>
            <w:r>
              <w:rPr>
                <w:color w:val="000000"/>
                <w:sz w:val="24"/>
              </w:rPr>
              <w:t>79,360.48</w:t>
            </w:r>
          </w:p>
        </w:tc>
        <w:tc>
          <w:tcPr>
            <w:vAlign w:val="center"/>
          </w:tcPr>
          <w:p>
            <w:pPr>
              <w:jc w:val="right"/>
            </w:pPr>
            <w:r>
              <w:rPr>
                <w:color w:val="000000"/>
                <w:sz w:val="24"/>
              </w:rPr>
              <w:t>3.38%</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59,279,857.71</w:t>
            </w:r>
          </w:p>
        </w:tc>
        <w:tc>
          <w:tcPr>
            <w:vAlign w:val="center"/>
          </w:tcPr>
          <w:p>
            <w:pPr>
              <w:jc w:val="right"/>
            </w:pPr>
            <w:r>
              <w:rPr>
                <w:color w:val="000000"/>
                <w:sz w:val="24"/>
              </w:rPr>
              <w:t>2.35%</w:t>
            </w:r>
          </w:p>
        </w:tc>
        <w:tc>
          <w:tcPr>
            <w:vAlign w:val="center"/>
          </w:tcPr>
          <w:p>
            <w:pPr>
              <w:jc w:val="right"/>
            </w:pPr>
            <w:r>
              <w:rPr>
                <w:color w:val="000000"/>
                <w:sz w:val="24"/>
              </w:rPr>
              <w:t>55,207.26</w:t>
            </w:r>
          </w:p>
        </w:tc>
        <w:tc>
          <w:tcPr>
            <w:vAlign w:val="center"/>
          </w:tcPr>
          <w:p>
            <w:pPr>
              <w:jc w:val="right"/>
            </w:pPr>
            <w:r>
              <w:rPr>
                <w:color w:val="000000"/>
                <w:sz w:val="24"/>
              </w:rPr>
              <w:t>2.35%</w:t>
            </w:r>
          </w:p>
        </w:tc>
        <w:tc>
          <w:tcPr>
            <w:vAlign w:val="center"/>
          </w:tcPr>
          <w:p>
            <w:pPr>
              <w:jc w:val="left"/>
            </w:pPr>
            <w:r>
              <w:rPr>
                <w:color w:val="000000"/>
                <w:sz w:val="24"/>
              </w:rPr>
              <w:t>-</w:t>
            </w:r>
          </w:p>
        </w:tc>
      </w:tr>
      <w:tr>
        <w:tc>
          <w:tcPr>
            <w:vAlign w:val="center"/>
          </w:tcPr>
          <w:p>
            <w:pPr>
              <w:jc w:val="center"/>
            </w:pPr>
            <w:r>
              <w:rPr>
                <w:color w:val="000000"/>
                <w:sz w:val="24"/>
              </w:rPr>
              <w:t>招商证券股份有限公司</w:t>
            </w:r>
          </w:p>
        </w:tc>
        <w:tc>
          <w:tcPr>
            <w:vAlign w:val="center"/>
          </w:tcPr>
          <w:p>
            <w:pPr>
              <w:jc w:val="center"/>
            </w:pPr>
            <w:r>
              <w:rPr>
                <w:color w:val="000000"/>
                <w:sz w:val="24"/>
              </w:rPr>
              <w:t>1</w:t>
            </w:r>
          </w:p>
        </w:tc>
        <w:tc>
          <w:tcPr>
            <w:vAlign w:val="center"/>
          </w:tcPr>
          <w:p>
            <w:pPr>
              <w:jc w:val="right"/>
            </w:pPr>
            <w:r>
              <w:rPr>
                <w:color w:val="000000"/>
                <w:sz w:val="24"/>
              </w:rPr>
              <w:t>58,772,302.98</w:t>
            </w:r>
          </w:p>
        </w:tc>
        <w:tc>
          <w:tcPr>
            <w:vAlign w:val="center"/>
          </w:tcPr>
          <w:p>
            <w:pPr>
              <w:jc w:val="right"/>
            </w:pPr>
            <w:r>
              <w:rPr>
                <w:color w:val="000000"/>
                <w:sz w:val="24"/>
              </w:rPr>
              <w:t>2.33%</w:t>
            </w:r>
          </w:p>
        </w:tc>
        <w:tc>
          <w:tcPr>
            <w:vAlign w:val="center"/>
          </w:tcPr>
          <w:p>
            <w:pPr>
              <w:jc w:val="right"/>
            </w:pPr>
            <w:r>
              <w:rPr>
                <w:color w:val="000000"/>
                <w:sz w:val="24"/>
              </w:rPr>
              <w:t>54,734.51</w:t>
            </w:r>
          </w:p>
        </w:tc>
        <w:tc>
          <w:tcPr>
            <w:vAlign w:val="center"/>
          </w:tcPr>
          <w:p>
            <w:pPr>
              <w:jc w:val="right"/>
            </w:pPr>
            <w:r>
              <w:rPr>
                <w:color w:val="000000"/>
                <w:sz w:val="24"/>
              </w:rPr>
              <w:t>2.33%</w:t>
            </w:r>
          </w:p>
        </w:tc>
        <w:tc>
          <w:tcPr>
            <w:vAlign w:val="center"/>
          </w:tcPr>
          <w:p>
            <w:pPr>
              <w:jc w:val="left"/>
            </w:pPr>
            <w:r>
              <w:rPr>
                <w:color w:val="000000"/>
                <w:sz w:val="24"/>
              </w:rPr>
              <w:t>-</w:t>
            </w:r>
          </w:p>
        </w:tc>
      </w:tr>
      <w:tr>
        <w:tc>
          <w:tcPr>
            <w:vAlign w:val="center"/>
          </w:tcPr>
          <w:p>
            <w:pPr>
              <w:jc w:val="center"/>
            </w:pPr>
            <w:r>
              <w:rPr>
                <w:color w:val="000000"/>
                <w:sz w:val="24"/>
              </w:rPr>
              <w:t>华泰证券股份有限公司</w:t>
            </w:r>
          </w:p>
        </w:tc>
        <w:tc>
          <w:tcPr>
            <w:vAlign w:val="center"/>
          </w:tcPr>
          <w:p>
            <w:pPr>
              <w:jc w:val="center"/>
            </w:pPr>
            <w:r>
              <w:rPr>
                <w:color w:val="000000"/>
                <w:sz w:val="24"/>
              </w:rPr>
              <w:t>1</w:t>
            </w:r>
          </w:p>
        </w:tc>
        <w:tc>
          <w:tcPr>
            <w:vAlign w:val="center"/>
          </w:tcPr>
          <w:p>
            <w:pPr>
              <w:jc w:val="right"/>
            </w:pPr>
            <w:r>
              <w:rPr>
                <w:color w:val="000000"/>
                <w:sz w:val="24"/>
              </w:rPr>
              <w:t>534,839,612.26</w:t>
            </w:r>
          </w:p>
        </w:tc>
        <w:tc>
          <w:tcPr>
            <w:vAlign w:val="center"/>
          </w:tcPr>
          <w:p>
            <w:pPr>
              <w:jc w:val="right"/>
            </w:pPr>
            <w:r>
              <w:rPr>
                <w:color w:val="000000"/>
                <w:sz w:val="24"/>
              </w:rPr>
              <w:t>21.19%</w:t>
            </w:r>
          </w:p>
        </w:tc>
        <w:tc>
          <w:tcPr>
            <w:vAlign w:val="center"/>
          </w:tcPr>
          <w:p>
            <w:pPr>
              <w:jc w:val="right"/>
            </w:pPr>
            <w:r>
              <w:rPr>
                <w:color w:val="000000"/>
                <w:sz w:val="24"/>
              </w:rPr>
              <w:t>498,096.33</w:t>
            </w:r>
          </w:p>
        </w:tc>
        <w:tc>
          <w:tcPr>
            <w:vAlign w:val="center"/>
          </w:tcPr>
          <w:p>
            <w:pPr>
              <w:jc w:val="right"/>
            </w:pPr>
            <w:r>
              <w:rPr>
                <w:color w:val="000000"/>
                <w:sz w:val="24"/>
              </w:rPr>
              <w:t>21.19%</w:t>
            </w:r>
          </w:p>
        </w:tc>
        <w:tc>
          <w:tcPr>
            <w:vAlign w:val="center"/>
          </w:tcPr>
          <w:p>
            <w:pPr>
              <w:jc w:val="left"/>
            </w:pPr>
            <w:r>
              <w:rPr>
                <w:color w:val="000000"/>
                <w:sz w:val="24"/>
              </w:rPr>
              <w:t>-</w:t>
            </w:r>
          </w:p>
        </w:tc>
      </w:tr>
      <w:tr>
        <w:tc>
          <w:tcPr>
            <w:vAlign w:val="center"/>
          </w:tcPr>
          <w:p>
            <w:pPr>
              <w:jc w:val="center"/>
            </w:pPr>
            <w:r>
              <w:rPr>
                <w:color w:val="000000"/>
                <w:sz w:val="24"/>
              </w:rPr>
              <w:t>光大证券股份有限公司</w:t>
            </w:r>
          </w:p>
        </w:tc>
        <w:tc>
          <w:tcPr>
            <w:vAlign w:val="center"/>
          </w:tcPr>
          <w:p>
            <w:pPr>
              <w:jc w:val="center"/>
            </w:pPr>
            <w:r>
              <w:rPr>
                <w:color w:val="000000"/>
                <w:sz w:val="24"/>
              </w:rPr>
              <w:t>2</w:t>
            </w:r>
          </w:p>
        </w:tc>
        <w:tc>
          <w:tcPr>
            <w:vAlign w:val="center"/>
          </w:tcPr>
          <w:p>
            <w:pPr>
              <w:jc w:val="right"/>
            </w:pPr>
            <w:r>
              <w:rPr>
                <w:color w:val="000000"/>
                <w:sz w:val="24"/>
              </w:rPr>
              <w:t>371,401,870.44</w:t>
            </w:r>
          </w:p>
        </w:tc>
        <w:tc>
          <w:tcPr>
            <w:vAlign w:val="center"/>
          </w:tcPr>
          <w:p>
            <w:pPr>
              <w:jc w:val="right"/>
            </w:pPr>
            <w:r>
              <w:rPr>
                <w:color w:val="000000"/>
                <w:sz w:val="24"/>
              </w:rPr>
              <w:t>14.72%</w:t>
            </w:r>
          </w:p>
        </w:tc>
        <w:tc>
          <w:tcPr>
            <w:vAlign w:val="center"/>
          </w:tcPr>
          <w:p>
            <w:pPr>
              <w:jc w:val="right"/>
            </w:pPr>
            <w:r>
              <w:rPr>
                <w:color w:val="000000"/>
                <w:sz w:val="24"/>
              </w:rPr>
              <w:t>345,886.59</w:t>
            </w:r>
          </w:p>
        </w:tc>
        <w:tc>
          <w:tcPr>
            <w:vAlign w:val="center"/>
          </w:tcPr>
          <w:p>
            <w:pPr>
              <w:jc w:val="right"/>
            </w:pPr>
            <w:r>
              <w:rPr>
                <w:color w:val="000000"/>
                <w:sz w:val="24"/>
              </w:rPr>
              <w:t>14.72%</w:t>
            </w:r>
          </w:p>
        </w:tc>
        <w:tc>
          <w:tcPr>
            <w:vAlign w:val="center"/>
          </w:tcPr>
          <w:p>
            <w:pPr>
              <w:jc w:val="left"/>
            </w:pPr>
            <w:r>
              <w:rPr>
                <w:color w:val="000000"/>
                <w:sz w:val="24"/>
              </w:rPr>
              <w:t>-</w:t>
            </w:r>
          </w:p>
        </w:tc>
      </w:tr>
      <w:tr>
        <w:tc>
          <w:tcPr>
            <w:vAlign w:val="center"/>
          </w:tcPr>
          <w:p>
            <w:pPr>
              <w:jc w:val="center"/>
            </w:pPr>
            <w:r>
              <w:rPr>
                <w:color w:val="000000"/>
                <w:sz w:val="24"/>
              </w:rPr>
              <w:t>国信证券股份有限公司</w:t>
            </w:r>
          </w:p>
        </w:tc>
        <w:tc>
          <w:tcPr>
            <w:vAlign w:val="center"/>
          </w:tcPr>
          <w:p>
            <w:pPr>
              <w:jc w:val="center"/>
            </w:pPr>
            <w:r>
              <w:rPr>
                <w:color w:val="000000"/>
                <w:sz w:val="24"/>
              </w:rPr>
              <w:t>1</w:t>
            </w:r>
          </w:p>
        </w:tc>
        <w:tc>
          <w:tcPr>
            <w:vAlign w:val="center"/>
          </w:tcPr>
          <w:p>
            <w:pPr>
              <w:jc w:val="right"/>
            </w:pPr>
            <w:r>
              <w:rPr>
                <w:color w:val="000000"/>
                <w:sz w:val="24"/>
              </w:rPr>
              <w:t>35,881,955.57</w:t>
            </w:r>
          </w:p>
        </w:tc>
        <w:tc>
          <w:tcPr>
            <w:vAlign w:val="center"/>
          </w:tcPr>
          <w:p>
            <w:pPr>
              <w:jc w:val="right"/>
            </w:pPr>
            <w:r>
              <w:rPr>
                <w:color w:val="000000"/>
                <w:sz w:val="24"/>
              </w:rPr>
              <w:t>1.42%</w:t>
            </w:r>
          </w:p>
        </w:tc>
        <w:tc>
          <w:tcPr>
            <w:vAlign w:val="center"/>
          </w:tcPr>
          <w:p>
            <w:pPr>
              <w:jc w:val="right"/>
            </w:pPr>
            <w:r>
              <w:rPr>
                <w:color w:val="000000"/>
                <w:sz w:val="24"/>
              </w:rPr>
              <w:t>33,416.70</w:t>
            </w:r>
          </w:p>
        </w:tc>
        <w:tc>
          <w:tcPr>
            <w:vAlign w:val="center"/>
          </w:tcPr>
          <w:p>
            <w:pPr>
              <w:jc w:val="right"/>
            </w:pPr>
            <w:r>
              <w:rPr>
                <w:color w:val="000000"/>
                <w:sz w:val="24"/>
              </w:rPr>
              <w:t>1.42%</w:t>
            </w:r>
          </w:p>
        </w:tc>
        <w:tc>
          <w:tcPr>
            <w:vAlign w:val="center"/>
          </w:tcPr>
          <w:p>
            <w:pPr>
              <w:jc w:val="left"/>
            </w:pPr>
            <w:r>
              <w:rPr>
                <w:color w:val="000000"/>
                <w:sz w:val="24"/>
              </w:rPr>
              <w:t>-</w:t>
            </w:r>
          </w:p>
        </w:tc>
      </w:tr>
      <w:tr>
        <w:tc>
          <w:tcPr>
            <w:vAlign w:val="center"/>
          </w:tcPr>
          <w:p>
            <w:pPr>
              <w:jc w:val="center"/>
            </w:pPr>
            <w:r>
              <w:rPr>
                <w:color w:val="000000"/>
                <w:sz w:val="24"/>
              </w:rPr>
              <w:t>国泰君安证券股份有限公司</w:t>
            </w:r>
          </w:p>
        </w:tc>
        <w:tc>
          <w:tcPr>
            <w:vAlign w:val="center"/>
          </w:tcPr>
          <w:p>
            <w:pPr>
              <w:jc w:val="center"/>
            </w:pPr>
            <w:r>
              <w:rPr>
                <w:color w:val="000000"/>
                <w:sz w:val="24"/>
              </w:rPr>
              <w:t>1</w:t>
            </w:r>
          </w:p>
        </w:tc>
        <w:tc>
          <w:tcPr>
            <w:vAlign w:val="center"/>
          </w:tcPr>
          <w:p>
            <w:pPr>
              <w:jc w:val="right"/>
            </w:pPr>
            <w:r>
              <w:rPr>
                <w:color w:val="000000"/>
                <w:sz w:val="24"/>
              </w:rPr>
              <w:t>323,922,340.90</w:t>
            </w:r>
          </w:p>
        </w:tc>
        <w:tc>
          <w:tcPr>
            <w:vAlign w:val="center"/>
          </w:tcPr>
          <w:p>
            <w:pPr>
              <w:jc w:val="right"/>
            </w:pPr>
            <w:r>
              <w:rPr>
                <w:color w:val="000000"/>
                <w:sz w:val="24"/>
              </w:rPr>
              <w:t>12.84%</w:t>
            </w:r>
          </w:p>
        </w:tc>
        <w:tc>
          <w:tcPr>
            <w:vAlign w:val="center"/>
          </w:tcPr>
          <w:p>
            <w:pPr>
              <w:jc w:val="right"/>
            </w:pPr>
            <w:r>
              <w:rPr>
                <w:color w:val="000000"/>
                <w:sz w:val="24"/>
              </w:rPr>
              <w:t>301,670.27</w:t>
            </w:r>
          </w:p>
        </w:tc>
        <w:tc>
          <w:tcPr>
            <w:vAlign w:val="center"/>
          </w:tcPr>
          <w:p>
            <w:pPr>
              <w:jc w:val="right"/>
            </w:pPr>
            <w:r>
              <w:rPr>
                <w:color w:val="000000"/>
                <w:sz w:val="24"/>
              </w:rPr>
              <w:t>12.84%</w:t>
            </w:r>
          </w:p>
        </w:tc>
        <w:tc>
          <w:tcPr>
            <w:vAlign w:val="center"/>
          </w:tcPr>
          <w:p>
            <w:pPr>
              <w:jc w:val="left"/>
            </w:pPr>
            <w:r>
              <w:rPr>
                <w:color w:val="000000"/>
                <w:sz w:val="24"/>
              </w:rPr>
              <w:t>-</w:t>
            </w:r>
          </w:p>
        </w:tc>
      </w:tr>
      <w:tr>
        <w:tc>
          <w:tcPr>
            <w:vAlign w:val="center"/>
          </w:tcPr>
          <w:p>
            <w:pPr>
              <w:jc w:val="center"/>
            </w:pPr>
            <w:r>
              <w:rPr>
                <w:color w:val="000000"/>
                <w:sz w:val="24"/>
              </w:rPr>
              <w:t>东北证券股份有限公司</w:t>
            </w:r>
          </w:p>
        </w:tc>
        <w:tc>
          <w:tcPr>
            <w:vAlign w:val="center"/>
          </w:tcPr>
          <w:p>
            <w:pPr>
              <w:jc w:val="center"/>
            </w:pPr>
            <w:r>
              <w:rPr>
                <w:color w:val="000000"/>
                <w:sz w:val="24"/>
              </w:rPr>
              <w:t>2</w:t>
            </w:r>
          </w:p>
        </w:tc>
        <w:tc>
          <w:tcPr>
            <w:vAlign w:val="center"/>
          </w:tcPr>
          <w:p>
            <w:pPr>
              <w:jc w:val="right"/>
            </w:pPr>
            <w:r>
              <w:rPr>
                <w:color w:val="000000"/>
                <w:sz w:val="24"/>
              </w:rPr>
              <w:t>313,780,461.77</w:t>
            </w:r>
          </w:p>
        </w:tc>
        <w:tc>
          <w:tcPr>
            <w:vAlign w:val="center"/>
          </w:tcPr>
          <w:p>
            <w:pPr>
              <w:jc w:val="right"/>
            </w:pPr>
            <w:r>
              <w:rPr>
                <w:color w:val="000000"/>
                <w:sz w:val="24"/>
              </w:rPr>
              <w:t>12.43%</w:t>
            </w:r>
          </w:p>
        </w:tc>
        <w:tc>
          <w:tcPr>
            <w:vAlign w:val="center"/>
          </w:tcPr>
          <w:p>
            <w:pPr>
              <w:jc w:val="right"/>
            </w:pPr>
            <w:r>
              <w:rPr>
                <w:color w:val="000000"/>
                <w:sz w:val="24"/>
              </w:rPr>
              <w:t>292,224.65</w:t>
            </w:r>
          </w:p>
        </w:tc>
        <w:tc>
          <w:tcPr>
            <w:vAlign w:val="center"/>
          </w:tcPr>
          <w:p>
            <w:pPr>
              <w:jc w:val="right"/>
            </w:pPr>
            <w:r>
              <w:rPr>
                <w:color w:val="000000"/>
                <w:sz w:val="24"/>
              </w:rPr>
              <w:t>12.43%</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3</w:t>
            </w:r>
          </w:p>
        </w:tc>
        <w:tc>
          <w:tcPr>
            <w:vAlign w:val="center"/>
          </w:tcPr>
          <w:p>
            <w:pPr>
              <w:jc w:val="right"/>
            </w:pPr>
            <w:r>
              <w:rPr>
                <w:color w:val="000000"/>
                <w:sz w:val="24"/>
              </w:rPr>
              <w:t>309,408,684.21</w:t>
            </w:r>
          </w:p>
        </w:tc>
        <w:tc>
          <w:tcPr>
            <w:vAlign w:val="center"/>
          </w:tcPr>
          <w:p>
            <w:pPr>
              <w:jc w:val="right"/>
            </w:pPr>
            <w:r>
              <w:rPr>
                <w:color w:val="000000"/>
                <w:sz w:val="24"/>
              </w:rPr>
              <w:t>12.26%</w:t>
            </w:r>
          </w:p>
        </w:tc>
        <w:tc>
          <w:tcPr>
            <w:vAlign w:val="center"/>
          </w:tcPr>
          <w:p>
            <w:pPr>
              <w:jc w:val="right"/>
            </w:pPr>
            <w:r>
              <w:rPr>
                <w:color w:val="000000"/>
                <w:sz w:val="24"/>
              </w:rPr>
              <w:t>288,152.43</w:t>
            </w:r>
          </w:p>
        </w:tc>
        <w:tc>
          <w:tcPr>
            <w:vAlign w:val="center"/>
          </w:tcPr>
          <w:p>
            <w:pPr>
              <w:jc w:val="right"/>
            </w:pPr>
            <w:r>
              <w:rPr>
                <w:color w:val="000000"/>
                <w:sz w:val="24"/>
              </w:rPr>
              <w:t>12.26%</w:t>
            </w:r>
          </w:p>
        </w:tc>
        <w:tc>
          <w:tcPr>
            <w:vAlign w:val="center"/>
          </w:tcPr>
          <w:p>
            <w:pPr>
              <w:jc w:val="left"/>
            </w:pPr>
            <w:r>
              <w:rPr>
                <w:color w:val="000000"/>
                <w:sz w:val="24"/>
              </w:rPr>
              <w:t>-</w:t>
            </w:r>
          </w:p>
        </w:tc>
      </w:tr>
      <w:tr>
        <w:tc>
          <w:tcPr>
            <w:vAlign w:val="center"/>
          </w:tcPr>
          <w:p>
            <w:pPr>
              <w:jc w:val="center"/>
            </w:pPr>
            <w:r>
              <w:rPr>
                <w:color w:val="000000"/>
                <w:sz w:val="24"/>
              </w:rPr>
              <w:t>天风证券股份有限公司</w:t>
            </w:r>
          </w:p>
        </w:tc>
        <w:tc>
          <w:tcPr>
            <w:vAlign w:val="center"/>
          </w:tcPr>
          <w:p>
            <w:pPr>
              <w:jc w:val="center"/>
            </w:pPr>
            <w:r>
              <w:rPr>
                <w:color w:val="000000"/>
                <w:sz w:val="24"/>
              </w:rPr>
              <w:t>1</w:t>
            </w:r>
          </w:p>
        </w:tc>
        <w:tc>
          <w:tcPr>
            <w:vAlign w:val="center"/>
          </w:tcPr>
          <w:p>
            <w:pPr>
              <w:jc w:val="right"/>
            </w:pPr>
            <w:r>
              <w:rPr>
                <w:color w:val="000000"/>
                <w:sz w:val="24"/>
              </w:rPr>
              <w:t>223,610,326.61</w:t>
            </w:r>
          </w:p>
        </w:tc>
        <w:tc>
          <w:tcPr>
            <w:vAlign w:val="center"/>
          </w:tcPr>
          <w:p>
            <w:pPr>
              <w:jc w:val="right"/>
            </w:pPr>
            <w:r>
              <w:rPr>
                <w:color w:val="000000"/>
                <w:sz w:val="24"/>
              </w:rPr>
              <w:t>8.86%</w:t>
            </w:r>
          </w:p>
        </w:tc>
        <w:tc>
          <w:tcPr>
            <w:vAlign w:val="center"/>
          </w:tcPr>
          <w:p>
            <w:pPr>
              <w:jc w:val="right"/>
            </w:pPr>
            <w:r>
              <w:rPr>
                <w:color w:val="000000"/>
                <w:sz w:val="24"/>
              </w:rPr>
              <w:t>208,247.74</w:t>
            </w:r>
          </w:p>
        </w:tc>
        <w:tc>
          <w:tcPr>
            <w:vAlign w:val="center"/>
          </w:tcPr>
          <w:p>
            <w:pPr>
              <w:jc w:val="right"/>
            </w:pPr>
            <w:r>
              <w:rPr>
                <w:color w:val="000000"/>
                <w:sz w:val="24"/>
              </w:rPr>
              <w:t>8.86%</w:t>
            </w:r>
          </w:p>
        </w:tc>
        <w:tc>
          <w:tcPr>
            <w:vAlign w:val="center"/>
          </w:tcPr>
          <w:p>
            <w:pPr>
              <w:jc w:val="left"/>
            </w:pPr>
            <w:r>
              <w:rPr>
                <w:color w:val="000000"/>
                <w:sz w:val="24"/>
              </w:rPr>
              <w:t>-</w:t>
            </w:r>
          </w:p>
        </w:tc>
      </w:tr>
      <w:tr>
        <w:tc>
          <w:tcPr>
            <w:vAlign w:val="center"/>
          </w:tcPr>
          <w:p>
            <w:pPr>
              <w:jc w:val="center"/>
            </w:pPr>
            <w:r>
              <w:rPr>
                <w:color w:val="000000"/>
                <w:sz w:val="24"/>
              </w:rPr>
              <w:t>兴业证券股份有限公司</w:t>
            </w:r>
          </w:p>
        </w:tc>
        <w:tc>
          <w:tcPr>
            <w:vAlign w:val="center"/>
          </w:tcPr>
          <w:p>
            <w:pPr>
              <w:jc w:val="center"/>
            </w:pPr>
            <w:r>
              <w:rPr>
                <w:color w:val="000000"/>
                <w:sz w:val="24"/>
              </w:rPr>
              <w:t>1</w:t>
            </w:r>
          </w:p>
        </w:tc>
        <w:tc>
          <w:tcPr>
            <w:vAlign w:val="center"/>
          </w:tcPr>
          <w:p>
            <w:pPr>
              <w:jc w:val="right"/>
            </w:pPr>
            <w:r>
              <w:rPr>
                <w:color w:val="000000"/>
                <w:sz w:val="24"/>
              </w:rPr>
              <w:t>207,391,582.93</w:t>
            </w:r>
          </w:p>
        </w:tc>
        <w:tc>
          <w:tcPr>
            <w:vAlign w:val="center"/>
          </w:tcPr>
          <w:p>
            <w:pPr>
              <w:jc w:val="right"/>
            </w:pPr>
            <w:r>
              <w:rPr>
                <w:color w:val="000000"/>
                <w:sz w:val="24"/>
              </w:rPr>
              <w:t>8.22%</w:t>
            </w:r>
          </w:p>
        </w:tc>
        <w:tc>
          <w:tcPr>
            <w:vAlign w:val="center"/>
          </w:tcPr>
          <w:p>
            <w:pPr>
              <w:jc w:val="right"/>
            </w:pPr>
            <w:r>
              <w:rPr>
                <w:color w:val="000000"/>
                <w:sz w:val="24"/>
              </w:rPr>
              <w:t>193,145.41</w:t>
            </w:r>
          </w:p>
        </w:tc>
        <w:tc>
          <w:tcPr>
            <w:vAlign w:val="center"/>
          </w:tcPr>
          <w:p>
            <w:pPr>
              <w:jc w:val="right"/>
            </w:pPr>
            <w:r>
              <w:rPr>
                <w:color w:val="000000"/>
                <w:sz w:val="24"/>
              </w:rPr>
              <w:t>8.22%</w:t>
            </w:r>
          </w:p>
        </w:tc>
        <w:tc>
          <w:tcPr>
            <w:vAlign w:val="center"/>
          </w:tcPr>
          <w:p>
            <w:pPr>
              <w:jc w:val="left"/>
            </w:pPr>
            <w:r>
              <w:rPr>
                <w:color w:val="000000"/>
                <w:sz w:val="24"/>
              </w:rPr>
              <w:t>-</w:t>
            </w:r>
          </w:p>
        </w:tc>
      </w:tr>
      <w:tr>
        <w:tc>
          <w:tcPr>
            <w:vAlign w:val="center"/>
          </w:tcPr>
          <w:p>
            <w:pPr>
              <w:jc w:val="center"/>
            </w:pPr>
            <w:r>
              <w:rPr>
                <w:color w:val="000000"/>
                <w:sz w:val="24"/>
              </w:rPr>
              <w:t>长城证券股份有限公司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国海证券股份有限公司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华创证券有限责任公司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华西证券股份有限公司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中国银河证券股份有限公司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英大证券有限责任公司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中银国际证券股份有限公司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国泰君安证券股份有限公司</w:t>
            </w:r>
          </w:p>
        </w:tc>
        <w:tc>
          <w:tcPr>
            <w:vAlign w:val="center"/>
          </w:tcPr>
          <w:p>
            <w:pPr>
              <w:jc w:val="right"/>
            </w:pPr>
            <w:r>
              <w:rPr>
                <w:color w:val="000000"/>
                <w:sz w:val="24"/>
              </w:rPr>
              <w:t>17,011,900.00</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注：1、报告期内，本基金交易单元未发生变化；</w:t>
      </w:r>
    </w:p>
    <w:p>
      <w:pPr>
        <w:autoSpaceDE w:val="0"/>
        <w:autoSpaceDN w:val="0"/>
        <w:adjustRightInd w:val="0"/>
        <w:spacing w:before="29" w:line="288" w:lineRule="auto"/>
        <w:jc w:val="left"/>
        <w:rPr>
          <w:color w:val="000000"/>
          <w:sz w:val="24"/>
        </w:rPr>
      </w:pPr>
      <w:r>
        <w:rPr>
          <w:color w:val="00000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 xml:space="preserve">    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交银施罗德先锋混合型证券投资基金2019年半年度报告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