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交银施罗德创新成长混合型证券投资基金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中信银行股份有限公司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交银创新成长混合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006223</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006223</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2018年9月27日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中信银行股份有限公司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105,321,802.76</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本基金通过优化资产配置和灵活运用多种投资策略，把握港股通资本市场开放政策下的投资机会，力争实现基金资产的稳定增值。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沪深300指数收益率×50%+恒生指数收益率×30%+中证综合债券指数收益率×20%</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pPr>
              <w:spacing w:before="29" w:line="288" w:lineRule="auto"/>
              <w:rPr>
                <w:sz w:val="24"/>
              </w:rPr>
            </w:pPr>
            <w:r>
              <w:rPr>
                <w:sz w:val="24"/>
              </w:rPr>
              <w:t>本基金是一只混合型基金，其预期风险和预期收益高于债券型基金和货币市场基金，低于股票型基金。</w:t>
            </w:r>
          </w:p>
          <w:p w:rsidP="00AC6DDA" w:rsidR="001548F9" w:rsidRDefault="001548F9" w:rsidRPr="005C672D">
            <w:pPr>
              <w:spacing w:before="29" w:line="288" w:lineRule="auto"/>
              <w:rPr>
                <w:sz w:val="24"/>
              </w:rPr>
            </w:pPr>
            <w:r w:rsidRPr="005C672D">
              <w:rPr>
                <w:sz w:val="24"/>
              </w:rPr>
              <w:t>本基金可投资港股通标的股票，会面临港股通机制下因投资环境、投资标的、市场制度以及交易规则等差异带来的特有风险。</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44,078,343.39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62,830,258.20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0.3533</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26.12%</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0.2514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131,804,743.95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1.2514</w:t>
            </w:r>
          </w:p>
        </w:tc>
      </w:tr>
    </w:tbl>
    <w:bookmarkEnd w:id="14"/>
    <w:bookmarkEnd w:id="15"/>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6.89%</w:t>
            </w:r>
          </w:p>
        </w:tc>
        <w:tc>
          <w:tcPr>
            <w:vAlign w:val="center"/>
          </w:tcPr>
          <w:p>
            <w:pPr>
              <w:jc w:val="center"/>
            </w:pPr>
            <w:r>
              <w:rPr>
                <w:color w:val="000000"/>
                <w:sz w:val="24"/>
              </w:rPr>
              <w:t>1.16%</w:t>
            </w:r>
          </w:p>
        </w:tc>
        <w:tc>
          <w:tcPr>
            <w:vAlign w:val="center"/>
          </w:tcPr>
          <w:p>
            <w:pPr>
              <w:jc w:val="center"/>
            </w:pPr>
            <w:r>
              <w:rPr>
                <w:color w:val="000000"/>
                <w:sz w:val="24"/>
              </w:rPr>
              <w:t>4.64%</w:t>
            </w:r>
          </w:p>
        </w:tc>
        <w:tc>
          <w:tcPr>
            <w:vAlign w:val="center"/>
          </w:tcPr>
          <w:p>
            <w:pPr>
              <w:jc w:val="center"/>
            </w:pPr>
            <w:r>
              <w:rPr>
                <w:color w:val="000000"/>
                <w:sz w:val="24"/>
              </w:rPr>
              <w:t>0.83%</w:t>
            </w:r>
          </w:p>
        </w:tc>
        <w:tc>
          <w:tcPr>
            <w:vAlign w:val="center"/>
          </w:tcPr>
          <w:p>
            <w:pPr>
              <w:jc w:val="center"/>
            </w:pPr>
            <w:r>
              <w:rPr>
                <w:color w:val="000000"/>
                <w:sz w:val="24"/>
              </w:rPr>
              <w:t>2.25%</w:t>
            </w:r>
          </w:p>
        </w:tc>
        <w:tc>
          <w:tcPr>
            <w:vAlign w:val="center"/>
          </w:tcPr>
          <w:p>
            <w:pPr>
              <w:jc w:val="center"/>
            </w:pPr>
            <w:r>
              <w:rPr>
                <w:color w:val="000000"/>
                <w:sz w:val="24"/>
              </w:rPr>
              <w:t>0.33%</w:t>
            </w:r>
          </w:p>
        </w:tc>
      </w:tr>
      <w:tr>
        <w:tc>
          <w:tcPr>
            <w:vAlign w:val="center"/>
          </w:tcPr>
          <w:p>
            <w:pPr>
              <w:jc w:val="left"/>
            </w:pPr>
            <w:r>
              <w:rPr>
                <w:color w:val="000000"/>
                <w:sz w:val="24"/>
              </w:rPr>
              <w:t>过去三个月</w:t>
            </w:r>
          </w:p>
        </w:tc>
        <w:tc>
          <w:tcPr>
            <w:vAlign w:val="center"/>
          </w:tcPr>
          <w:p>
            <w:pPr>
              <w:jc w:val="center"/>
            </w:pPr>
            <w:r>
              <w:rPr>
                <w:color w:val="000000"/>
                <w:sz w:val="24"/>
              </w:rPr>
              <w:t>-0.70%</w:t>
            </w:r>
          </w:p>
        </w:tc>
        <w:tc>
          <w:tcPr>
            <w:vAlign w:val="center"/>
          </w:tcPr>
          <w:p>
            <w:pPr>
              <w:jc w:val="center"/>
            </w:pPr>
            <w:r>
              <w:rPr>
                <w:color w:val="000000"/>
                <w:sz w:val="24"/>
              </w:rPr>
              <w:t>1.61%</w:t>
            </w:r>
          </w:p>
        </w:tc>
        <w:tc>
          <w:tcPr>
            <w:vAlign w:val="center"/>
          </w:tcPr>
          <w:p>
            <w:pPr>
              <w:jc w:val="center"/>
            </w:pPr>
            <w:r>
              <w:rPr>
                <w:color w:val="000000"/>
                <w:sz w:val="24"/>
              </w:rPr>
              <w:t>-0.86%</w:t>
            </w:r>
          </w:p>
        </w:tc>
        <w:tc>
          <w:tcPr>
            <w:vAlign w:val="center"/>
          </w:tcPr>
          <w:p>
            <w:pPr>
              <w:jc w:val="center"/>
            </w:pPr>
            <w:r>
              <w:rPr>
                <w:color w:val="000000"/>
                <w:sz w:val="24"/>
              </w:rPr>
              <w:t>0.97%</w:t>
            </w:r>
          </w:p>
        </w:tc>
        <w:tc>
          <w:tcPr>
            <w:vAlign w:val="center"/>
          </w:tcPr>
          <w:p>
            <w:pPr>
              <w:jc w:val="center"/>
            </w:pPr>
            <w:r>
              <w:rPr>
                <w:color w:val="000000"/>
                <w:sz w:val="24"/>
              </w:rPr>
              <w:t>0.16%</w:t>
            </w:r>
          </w:p>
        </w:tc>
        <w:tc>
          <w:tcPr>
            <w:vAlign w:val="center"/>
          </w:tcPr>
          <w:p>
            <w:pPr>
              <w:jc w:val="center"/>
            </w:pPr>
            <w:r>
              <w:rPr>
                <w:color w:val="000000"/>
                <w:sz w:val="24"/>
              </w:rPr>
              <w:t>0.64%</w:t>
            </w:r>
          </w:p>
        </w:tc>
      </w:tr>
      <w:tr>
        <w:tc>
          <w:tcPr>
            <w:vAlign w:val="center"/>
          </w:tcPr>
          <w:p>
            <w:pPr>
              <w:jc w:val="left"/>
            </w:pPr>
            <w:r>
              <w:rPr>
                <w:color w:val="000000"/>
                <w:sz w:val="24"/>
              </w:rPr>
              <w:t>过去六个月</w:t>
            </w:r>
          </w:p>
        </w:tc>
        <w:tc>
          <w:tcPr>
            <w:vAlign w:val="center"/>
          </w:tcPr>
          <w:p>
            <w:pPr>
              <w:jc w:val="center"/>
            </w:pPr>
            <w:r>
              <w:rPr>
                <w:color w:val="000000"/>
                <w:sz w:val="24"/>
              </w:rPr>
              <w:t>26.12%</w:t>
            </w:r>
          </w:p>
        </w:tc>
        <w:tc>
          <w:tcPr>
            <w:vAlign w:val="center"/>
          </w:tcPr>
          <w:p>
            <w:pPr>
              <w:jc w:val="center"/>
            </w:pPr>
            <w:r>
              <w:rPr>
                <w:color w:val="000000"/>
                <w:sz w:val="24"/>
              </w:rPr>
              <w:t>1.60%</w:t>
            </w:r>
          </w:p>
        </w:tc>
        <w:tc>
          <w:tcPr>
            <w:vAlign w:val="center"/>
          </w:tcPr>
          <w:p>
            <w:pPr>
              <w:jc w:val="center"/>
            </w:pPr>
            <w:r>
              <w:rPr>
                <w:color w:val="000000"/>
                <w:sz w:val="24"/>
              </w:rPr>
              <w:t>16.94%</w:t>
            </w:r>
          </w:p>
        </w:tc>
        <w:tc>
          <w:tcPr>
            <w:vAlign w:val="center"/>
          </w:tcPr>
          <w:p>
            <w:pPr>
              <w:jc w:val="center"/>
            </w:pPr>
            <w:r>
              <w:rPr>
                <w:color w:val="000000"/>
                <w:sz w:val="24"/>
              </w:rPr>
              <w:t>1.00%</w:t>
            </w:r>
          </w:p>
        </w:tc>
        <w:tc>
          <w:tcPr>
            <w:vAlign w:val="center"/>
          </w:tcPr>
          <w:p>
            <w:pPr>
              <w:jc w:val="center"/>
            </w:pPr>
            <w:r>
              <w:rPr>
                <w:color w:val="000000"/>
                <w:sz w:val="24"/>
              </w:rPr>
              <w:t>9.18%</w:t>
            </w:r>
          </w:p>
        </w:tc>
        <w:tc>
          <w:tcPr>
            <w:vAlign w:val="center"/>
          </w:tcPr>
          <w:p>
            <w:pPr>
              <w:jc w:val="center"/>
            </w:pPr>
            <w:r>
              <w:rPr>
                <w:color w:val="000000"/>
                <w:sz w:val="24"/>
              </w:rPr>
              <w:t>0.60%</w:t>
            </w:r>
          </w:p>
        </w:tc>
      </w:tr>
      <w:tr>
        <w:tc>
          <w:tcPr>
            <w:vAlign w:val="center"/>
          </w:tcPr>
          <w:p>
            <w:pPr>
              <w:jc w:val="left"/>
            </w:pPr>
            <w:r>
              <w:rPr>
                <w:color w:val="000000"/>
                <w:sz w:val="24"/>
              </w:rPr>
              <w:t>自基金合同生效起至今</w:t>
            </w:r>
          </w:p>
        </w:tc>
        <w:tc>
          <w:tcPr>
            <w:vAlign w:val="center"/>
          </w:tcPr>
          <w:p>
            <w:pPr>
              <w:jc w:val="center"/>
            </w:pPr>
            <w:r>
              <w:rPr>
                <w:color w:val="000000"/>
                <w:sz w:val="24"/>
              </w:rPr>
              <w:t>25.14%</w:t>
            </w:r>
          </w:p>
        </w:tc>
        <w:tc>
          <w:tcPr>
            <w:vAlign w:val="center"/>
          </w:tcPr>
          <w:p>
            <w:pPr>
              <w:jc w:val="center"/>
            </w:pPr>
            <w:r>
              <w:rPr>
                <w:color w:val="000000"/>
                <w:sz w:val="24"/>
              </w:rPr>
              <w:t>1.31%</w:t>
            </w:r>
          </w:p>
        </w:tc>
        <w:tc>
          <w:tcPr>
            <w:vAlign w:val="center"/>
          </w:tcPr>
          <w:p>
            <w:pPr>
              <w:jc w:val="center"/>
            </w:pPr>
            <w:r>
              <w:rPr>
                <w:color w:val="000000"/>
                <w:sz w:val="24"/>
              </w:rPr>
              <w:t>8.14%</w:t>
            </w:r>
          </w:p>
        </w:tc>
        <w:tc>
          <w:tcPr>
            <w:vAlign w:val="center"/>
          </w:tcPr>
          <w:p>
            <w:pPr>
              <w:jc w:val="center"/>
            </w:pPr>
            <w:r>
              <w:rPr>
                <w:color w:val="000000"/>
                <w:sz w:val="24"/>
              </w:rPr>
              <w:t>1.07%</w:t>
            </w:r>
          </w:p>
        </w:tc>
        <w:tc>
          <w:tcPr>
            <w:vAlign w:val="center"/>
          </w:tcPr>
          <w:p>
            <w:pPr>
              <w:jc w:val="center"/>
            </w:pPr>
            <w:r>
              <w:rPr>
                <w:color w:val="000000"/>
                <w:sz w:val="24"/>
              </w:rPr>
              <w:t>17.00%</w:t>
            </w:r>
          </w:p>
        </w:tc>
        <w:tc>
          <w:tcPr>
            <w:vAlign w:val="center"/>
          </w:tcPr>
          <w:p>
            <w:pPr>
              <w:jc w:val="center"/>
            </w:pPr>
            <w:r>
              <w:rPr>
                <w:color w:val="000000"/>
                <w:sz w:val="24"/>
              </w:rPr>
              <w:t>0.24%</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注：本基金的业绩比较基准为沪深300指数收益率×50%+恒生指数收益率×30%+中证综合债券指数收益率×20%，每日进行再平衡过程。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交银施罗德创新成长混合型证券投资基金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2018年9月27日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基金合同生效日为2018年9月27日，基金合同生效日至报告期期末，本基金运作时间未满一年。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交银环球精选混合(QDII)、交银全球资源混合(QDII)、交银创新成长混合的基金经理</w:t>
            </w:r>
          </w:p>
        </w:tc>
        <w:tc>
          <w:tcPr>
            <w:vAlign w:val="center"/>
          </w:tcPr>
          <w:p>
            <w:pPr>
              <w:jc w:val="center"/>
            </w:pPr>
            <w:r>
              <w:rPr>
                <w:color w:val="000000"/>
                <w:sz w:val="24"/>
              </w:rPr>
              <w:t>2018-09-27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2019年上半年市场总体波动较大，沪深300指数上涨27.07%，振幅达到40%  ，恒生指数上涨10.43%，振幅也达21%。外资持续流入，A股总体表现强于港股。</w:t>
      </w:r>
    </w:p>
    <w:p w:rsidP="00AC6DDA" w:rsidR="00C02A8F" w:rsidRDefault="00C02A8F" w:rsidRPr="005C672D">
      <w:pPr>
        <w:spacing w:before="29" w:line="288" w:lineRule="auto"/>
        <w:ind w:firstLine="480" w:firstLineChars="200"/>
        <w:rPr>
          <w:color w:val="000000"/>
          <w:sz w:val="24"/>
        </w:rPr>
      </w:pPr>
      <w:r w:rsidRPr="005C672D">
        <w:rPr>
          <w:color w:val="000000"/>
          <w:sz w:val="24"/>
        </w:rPr>
        <w:t>本基金上半年完成建仓，总体仓位保持较高水平，总体配置成长性较好的TMT和消费类个股。</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中美贸易战可能阶段性的缓解，但是对全球经济增长的负面影响依然存在。我们认为整体上经济下行趋势已经确立，在这一过程当中，竞争力强的优质资产有望跑赢大盘。而以5G，人工智能为代表的新技术和新产业将是解决经济增长乏力的主要突破性力量，我们依然长期看好科技创新为代表的新兴产业的未来成长前景。我们将通过深度研究，找到并买入在这些行业中持续投入研发并已经形成了强大竞争壁垒的优质公司股票，享受公司价值的长期持续增长。</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作为本基金的托管人，中信银行严格遵守了《证券投资基金法》及其他有关法律法规、基金合同和托管协议的规定，对交银施罗德创新成长混合型证券投资基金2019年上半年的投资运作，进行了认真、独立的会计核算和必要的投资监督，履行了托管人的义务，不存在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在交银施罗德创新成长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交银施罗德创新成长混合型证券投资基金2019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交银施罗德创新成长混合型证券投资基金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7,779,177.61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76,273,581.51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374,878.73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7,320,299.51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341,009.56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67,201.74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122,302,612.05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123,376,708.84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121,803,012.05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123,376,708.84</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499,600.00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130,000,000.00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2,393,617.57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6,276.83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136,237.95</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28,126.72</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164,375.67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29,469.24</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133,390,074.74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337,203,498.79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1,060,880.11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726,888.78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155,630.72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441,067.21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25,938.45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73,511.21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247,361.63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256,936.20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14,381.68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95,519.88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184,817.63</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1,585,330.79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1,697,603.89</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105,321,802.76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338,152,944.00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26,482,941.19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-2,647,049.10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131,804,743.95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335,505,894.90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133,390,074.74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337,203,498.79</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报告截止日2019年6月30日，基金份额净值1.2514元，基金份额总额105,321,802.76份。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交银施罗德创新成长混合型证券投资基金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4501"/>
            <w:hMerge w:val="restart"/>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hMerge/>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b/>
                <w:color w:val="000000"/>
                <w:sz w:val="24"/>
              </w:rPr>
            </w:pPr>
            <w:r w:rsidRPr="005C672D">
              <w:rPr>
                <w:b/>
                <w:color w:val="000000"/>
                <w:sz w:val="24"/>
              </w:rPr>
              <w:t>66,415,447.64</w:t>
            </w:r>
          </w:p>
        </w:tc>
        <w:tc>
          <w:tcPr>
            <w:tcW w:type="dxa" w:w="2251"/>
            <w:hMerge/>
            <w:vAlign w:val="center"/>
          </w:tcPr>
          <w:p w:rsidP="00AC6DDA" w:rsidR="006C5149" w:rsidRDefault="006C5149" w:rsidRPr="005C672D">
            <w:pPr>
              <w:spacing w:before="29" w:line="288" w:lineRule="auto"/>
              <w:jc w:val="right"/>
              <w:rPr>
                <w:b/>
                <w:color w:val="000000"/>
                <w:sz w:val="24"/>
              </w:rPr>
            </w:pPr>
            <w:r w:rsidRPr="005C672D">
              <w:rPr>
                <w:b/>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207,811.21</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97,533.17</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2,309.53</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107,968.51</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46,660,322.76</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45,843,392.06</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125,131.85</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4501"/>
            <w:hMerge w:val="restart"/>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4501"/>
            <w:hMerge w:val="restart"/>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hMerge/>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691,798.85</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18,751,914.81</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795,398.86</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b/>
                <w:color w:val="000000"/>
                <w:sz w:val="24"/>
              </w:rPr>
            </w:pPr>
            <w:r w:rsidRPr="005C672D">
              <w:rPr>
                <w:b/>
                <w:color w:val="000000"/>
                <w:sz w:val="24"/>
              </w:rPr>
              <w:t>3,585,189.44</w:t>
            </w:r>
          </w:p>
        </w:tc>
        <w:tc>
          <w:tcPr>
            <w:tcW w:type="dxa" w:w="2251"/>
            <w:hMerge/>
            <w:vAlign w:val="center"/>
          </w:tcPr>
          <w:p w:rsidP="00AC6DDA" w:rsidR="008F704B" w:rsidRDefault="008F704B" w:rsidRPr="005C672D">
            <w:pPr>
              <w:spacing w:before="29" w:line="288" w:lineRule="auto"/>
              <w:jc w:val="right"/>
              <w:rPr>
                <w:b/>
                <w:color w:val="000000"/>
                <w:sz w:val="24"/>
              </w:rPr>
            </w:pPr>
            <w:r w:rsidRPr="005C672D">
              <w:rPr>
                <w:b/>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1,496,030.46</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249,338.38</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1,734,210.21</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4501"/>
            <w:hMerge w:val="restart"/>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356.30</w:t>
            </w:r>
          </w:p>
        </w:tc>
        <w:tc>
          <w:tcPr>
            <w:tcW w:type="dxa" w:w="2251"/>
            <w:hMerge/>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4501"/>
            <w:hMerge w:val="restart"/>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105,254.09</w:t>
            </w:r>
          </w:p>
        </w:tc>
        <w:tc>
          <w:tcPr>
            <w:tcW w:type="dxa" w:w="2251"/>
            <w:hMerge/>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b/>
                <w:color w:val="000000"/>
                <w:sz w:val="24"/>
              </w:rPr>
            </w:pPr>
            <w:r w:rsidRPr="005C672D">
              <w:rPr>
                <w:b/>
                <w:color w:val="000000"/>
                <w:sz w:val="24"/>
              </w:rPr>
              <w:t>62,830,258.20</w:t>
            </w:r>
          </w:p>
        </w:tc>
        <w:tc>
          <w:tcPr>
            <w:tcW w:type="dxa" w:w="2251"/>
            <w:hMerge/>
            <w:vAlign w:val="center"/>
          </w:tcPr>
          <w:p w:rsidP="00AC6DDA" w:rsidR="008F704B" w:rsidRDefault="008F704B" w:rsidRPr="005C672D">
            <w:pPr>
              <w:spacing w:before="29" w:line="288" w:lineRule="auto"/>
              <w:jc w:val="right"/>
              <w:rPr>
                <w:b/>
                <w:color w:val="000000"/>
                <w:sz w:val="24"/>
              </w:rPr>
            </w:pPr>
            <w:r w:rsidRPr="005C672D">
              <w:rPr>
                <w:b/>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hMerge/>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4501"/>
            <w:hMerge w:val="restart"/>
            <w:vAlign w:val="center"/>
          </w:tcPr>
          <w:p w:rsidP="00AC6DDA" w:rsidR="008F704B" w:rsidRDefault="008F704B" w:rsidRPr="005C672D">
            <w:pPr>
              <w:spacing w:before="29" w:line="288" w:lineRule="auto"/>
              <w:jc w:val="right"/>
              <w:rPr>
                <w:b/>
                <w:color w:val="000000"/>
                <w:sz w:val="24"/>
              </w:rPr>
            </w:pPr>
            <w:r w:rsidRPr="005C672D">
              <w:rPr>
                <w:b/>
                <w:color w:val="000000"/>
                <w:sz w:val="24"/>
              </w:rPr>
              <w:t>62,830,258.20</w:t>
            </w:r>
          </w:p>
        </w:tc>
        <w:tc>
          <w:tcPr>
            <w:tcW w:type="dxa" w:w="2251"/>
            <w:hMerge/>
            <w:vAlign w:val="center"/>
          </w:tcPr>
          <w:p w:rsidP="00AC6DDA" w:rsidR="008F704B" w:rsidRDefault="008F704B" w:rsidRPr="005C672D">
            <w:pPr>
              <w:spacing w:before="29" w:line="288" w:lineRule="auto"/>
              <w:jc w:val="right"/>
              <w:rPr>
                <w:b/>
                <w:color w:val="000000"/>
                <w:sz w:val="24"/>
              </w:rPr>
            </w:pPr>
            <w:r w:rsidRPr="005C672D">
              <w:rPr>
                <w:b/>
                <w:color w:val="000000"/>
                <w:sz w:val="24"/>
              </w:rPr>
              <w:t>-</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交银施罗德创新成长混合型证券投资基金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338,152,944.00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-2,647,049.10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335,505,894.90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62,830,258.20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62,830,258.20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-232,831,141.24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-33,700,267.91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-266,531,409.15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37,581,490.69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8,040,902.77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45,622,393.46</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-270,412,631.93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-41,741,170.68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-312,153,802.61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105,321,802.76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26,482,941.19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131,804,743.95</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创新成长混合型证券投资基金(以下简称“本基金”)经中国证券监督管理委员会(以下简称“中国证监会”)证监许可[2018]第1125号《关于准予交银施罗德创新成长混合型证券投资基金变更注册的批复》核准，由交银施罗德基金管理有限公司依照《中华人民共和国证券投资基金法》和《交银施罗德创新成长混合型证券投资基金基金合同》负责公开募集。本基金为契约型开放式，存续期限不定，首次设立募集不包括认购资金利息共募集人民币363,949,473.90元，业经普华永道中天会计师事务所(特殊普通合伙)普华永道中天验字(2018)第0609号验资报告予以验证。经向中国证监会备案，《交银施罗德创新成长混合型证券投资基金基金合同》于2018年9月27日正式生效，基金合同生效日的基金份额总额为364,241,070.86份基金份额，其中认购资金利息折合291,596.96份基金份额。本基金的基金管理人为交银施罗德基金管理有限公司，基金托管人为中信银行股份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创新成长混合型证券投资基金基金合同》的有关规定，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比例为50%-95%(其中，投资于内地依法发行上市的股票的比例占基金资产的50-95%，投资于港股通标的股票的比例占股票资产的0-50%)，其中投资于创新成长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本基金的业绩比较基准为：沪深300指数收益率×50%+恒生指数收益率×30%+中证综合债券指数收益率×20%。</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创新成长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[2014]81号《财政部国家税务总局证监会关于沪港股票市场交易互联互通机制试点有关税收政策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基金通过沪港通投资香港联交所上市H股取得的股息红利，H股公司应向中国证券登记结算有限责任公司(以下简称“中国结算”)提出申请，由中国结算向H股公司提供内地个人投资者名册，H股公司按照20%的税率代扣个人所得税。基金通过沪港通投资香港联交所上市的非H股取得的股息红利，由中国结算按照20%的税率代扣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(4)基金卖出股票按0.1%的税率缴纳股票交易印花税，买入股票不征收股票交易印花税。基金通过沪港通买卖、继承、赠与联交所上市股票，按照香港特别行政区现行税法规定缴纳印花税。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中信银行股份有限公司(“中信银行”)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5314"/>
            <w:h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hMerge/>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5314"/>
            <w:hMerge w:val="restart"/>
            <w:vAlign w:val="center"/>
          </w:tcPr>
          <w:p w:rsidP="00AC6DDA" w:rsidR="001548F9" w:rsidRDefault="001548F9" w:rsidRPr="005C672D">
            <w:pPr>
              <w:spacing w:before="29" w:line="288" w:lineRule="auto"/>
              <w:jc w:val="right"/>
              <w:rPr>
                <w:sz w:val="24"/>
              </w:rPr>
            </w:pPr>
            <w:r w:rsidRPr="005C672D">
              <w:rPr>
                <w:sz w:val="24"/>
              </w:rPr>
              <w:t>1,496,030.46</w:t>
            </w:r>
          </w:p>
        </w:tc>
        <w:tc>
          <w:tcPr>
            <w:tcW w:type="dxa" w:w="2657"/>
            <w:hMerge/>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5314"/>
            <w:hMerge w:val="restart"/>
            <w:vAlign w:val="center"/>
          </w:tcPr>
          <w:p w:rsidP="00AC6DDA" w:rsidR="001548F9" w:rsidRDefault="001548F9" w:rsidRPr="005C672D">
            <w:pPr>
              <w:spacing w:before="29" w:line="288" w:lineRule="auto"/>
              <w:jc w:val="right"/>
              <w:rPr>
                <w:sz w:val="24"/>
              </w:rPr>
            </w:pPr>
            <w:r w:rsidRPr="005C672D">
              <w:rPr>
                <w:sz w:val="24"/>
              </w:rPr>
              <w:t>595,585.69</w:t>
            </w:r>
          </w:p>
        </w:tc>
        <w:tc>
          <w:tcPr>
            <w:tcW w:type="dxa" w:w="2657"/>
            <w:hMerge/>
            <w:vAlign w:val="center"/>
          </w:tcPr>
          <w:p w:rsidP="00AC6DDA" w:rsidR="001548F9" w:rsidRDefault="001548F9" w:rsidRPr="005C672D">
            <w:pPr>
              <w:spacing w:before="29" w:line="288" w:lineRule="auto"/>
              <w:jc w:val="right"/>
              <w:rPr>
                <w:sz w:val="24"/>
              </w:rPr>
            </w:pPr>
            <w:r w:rsidRPr="005C672D">
              <w:rPr>
                <w:sz w:val="24"/>
              </w:rPr>
              <w:t>-</w:t>
            </w:r>
          </w:p>
        </w:tc>
      </w:tr>
    </w:tbl>
    <w:p>
      <w:pPr>
        <w:tabs>
          <w:tab w:pos="426" w:val="left"/>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日管理人报酬＝前一日基金资产净值×1.50%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5314"/>
            <w:h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hMerge/>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5314"/>
            <w:hMerge w:val="restart"/>
            <w:vAlign w:val="center"/>
          </w:tcPr>
          <w:p w:rsidP="00AC6DDA" w:rsidR="001548F9" w:rsidRDefault="001548F9" w:rsidRPr="005C672D">
            <w:pPr>
              <w:spacing w:before="29" w:line="288" w:lineRule="auto"/>
              <w:jc w:val="right"/>
              <w:rPr>
                <w:color w:val="000000"/>
                <w:kern w:val="0"/>
                <w:sz w:val="24"/>
              </w:rPr>
            </w:pPr>
            <w:r w:rsidRPr="005C672D">
              <w:rPr>
                <w:sz w:val="24"/>
              </w:rPr>
              <w:t>249,338.38</w:t>
            </w:r>
          </w:p>
        </w:tc>
        <w:tc>
          <w:tcPr>
            <w:tcW w:type="dxa" w:w="2657"/>
            <w:hMerge/>
            <w:vAlign w:val="center"/>
          </w:tcPr>
          <w:p w:rsidP="00AC6DDA" w:rsidR="001548F9" w:rsidRDefault="001548F9" w:rsidRPr="005C672D">
            <w:pPr>
              <w:spacing w:before="29" w:line="288" w:lineRule="auto"/>
              <w:jc w:val="right"/>
              <w:rPr>
                <w:color w:val="000000"/>
                <w:sz w:val="24"/>
              </w:rPr>
            </w:pPr>
            <w:r w:rsidRPr="005C672D">
              <w:rPr>
                <w:sz w:val="24"/>
              </w:rPr>
              <w:t>-</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694"/>
        <w:gridCol w:w="3153"/>
        <w:gridCol w:w="3153"/>
      </w:tblGrid>
      <w:tr w:rsidR="00300128" w:rsidRPr="005C672D" w:rsidTr="00C17210">
        <w:tc>
          <w:tcPr>
            <w:tcW w:type="dxa" w:w="2694"/>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6306"/>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2019年1月1日</w:t>
            </w:r>
            <w:r w:rsidRPr="005C672D">
              <w:rPr>
                <w:color w:val="000000"/>
                <w:sz w:val="24"/>
              </w:rPr>
              <w:t>至</w:t>
            </w:r>
            <w:r w:rsidRPr="005C672D">
              <w:rPr>
                <w:color w:val="000000"/>
                <w:sz w:val="24"/>
              </w:rPr>
              <w:t>2019年6月30日</w:t>
            </w:r>
          </w:p>
        </w:tc>
      </w:tr>
      <w:tr w:rsidR="00300128" w:rsidRPr="005C672D" w:rsidTr="00C17210">
        <w:tc>
          <w:tcPr>
            <w:tcW w:type="dxa" w:w="2694"/>
            <w:vMerge/>
            <w:vAlign w:val="center"/>
          </w:tcPr>
          <w:p w:rsidP="00AC6DDA" w:rsidR="00300128" w:rsidRDefault="00300128" w:rsidRPr="005C672D">
            <w:pPr>
              <w:widowControl/>
              <w:spacing w:before="29" w:line="288" w:lineRule="auto"/>
              <w:jc w:val="left"/>
              <w:rPr>
                <w:color w:val="000000"/>
                <w:sz w:val="24"/>
              </w:rPr>
            </w:pPr>
          </w:p>
        </w:tc>
        <w:tc>
          <w:tcPr>
            <w:tcW w:type="dxa" w:w="315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3153"/>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中信银行股份有限公司</w:t>
            </w:r>
          </w:p>
        </w:tc>
        <w:tc>
          <w:tcPr>
            <w:vAlign w:val="center"/>
          </w:tcPr>
          <w:p>
            <w:pPr>
              <w:jc w:val="right"/>
            </w:pPr>
            <w:r>
              <w:rPr>
                <w:sz w:val="24"/>
              </w:rPr>
              <w:t>7,779,177.61</w:t>
            </w:r>
          </w:p>
        </w:tc>
        <w:tc>
          <w:tcPr>
            <w:vAlign w:val="center"/>
          </w:tcPr>
          <w:p>
            <w:pPr>
              <w:jc w:val="right"/>
            </w:pPr>
            <w:r>
              <w:rPr>
                <w:sz w:val="24"/>
              </w:rPr>
              <w:t>77,887.14</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121,803,012.05</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91.31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121,803,012.05</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91.31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499,600.00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0.37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499,600.00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0.37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8,154,056.34</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6.11</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2,933,406.35</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2.20</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133,390,074.74</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2,134,817.90</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1.62</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46,974,593.16</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35.64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3,482,500.00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2.64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2,581,000.00</w:t>
            </w:r>
          </w:p>
        </w:tc>
        <w:tc>
          <w:tcPr>
            <w:tcW w:type="dxa" w:w="2160"/>
            <w:vAlign w:val="center"/>
          </w:tcPr>
          <w:p w:rsidP="00AC6DDA" w:rsidR="001548F9" w:rsidRDefault="001548F9" w:rsidRPr="005C672D">
            <w:pPr>
              <w:spacing w:before="29" w:line="288" w:lineRule="auto"/>
              <w:jc w:val="right"/>
              <w:rPr>
                <w:sz w:val="24"/>
              </w:rPr>
            </w:pPr>
            <w:r w:rsidRPr="005C672D">
              <w:rPr>
                <w:sz w:val="24"/>
              </w:rPr>
              <w:t>1.96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11,663,500.00</w:t>
            </w:r>
          </w:p>
        </w:tc>
        <w:tc>
          <w:tcPr>
            <w:tcW w:type="dxa" w:w="2160"/>
            <w:vAlign w:val="center"/>
          </w:tcPr>
          <w:p w:rsidP="00AC6DDA" w:rsidR="001548F9" w:rsidRDefault="001548F9" w:rsidRPr="005C672D">
            <w:pPr>
              <w:spacing w:before="29" w:line="288" w:lineRule="auto"/>
              <w:jc w:val="right"/>
              <w:rPr>
                <w:sz w:val="24"/>
              </w:rPr>
            </w:pPr>
            <w:r w:rsidRPr="005C672D">
              <w:rPr>
                <w:sz w:val="24"/>
              </w:rPr>
              <w:t>8.85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23,722,528.72</w:t>
            </w:r>
          </w:p>
        </w:tc>
        <w:tc>
          <w:tcPr>
            <w:tcW w:type="dxa" w:w="2160"/>
            <w:vAlign w:val="center"/>
          </w:tcPr>
          <w:p w:rsidP="00AC6DDA" w:rsidR="001548F9" w:rsidRDefault="001548F9" w:rsidRPr="005C672D">
            <w:pPr>
              <w:spacing w:before="29" w:line="288" w:lineRule="auto"/>
              <w:jc w:val="right"/>
              <w:rPr>
                <w:sz w:val="24"/>
              </w:rPr>
            </w:pPr>
            <w:r w:rsidRPr="005C672D">
              <w:rPr>
                <w:sz w:val="24"/>
              </w:rPr>
              <w:t>18.00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9,341,169.94</w:t>
            </w:r>
          </w:p>
        </w:tc>
        <w:tc>
          <w:tcPr>
            <w:tcW w:type="dxa" w:w="2160"/>
            <w:vAlign w:val="center"/>
          </w:tcPr>
          <w:p w:rsidP="00AC6DDA" w:rsidR="001548F9" w:rsidRDefault="001548F9" w:rsidRPr="005C672D">
            <w:pPr>
              <w:spacing w:before="29" w:line="288" w:lineRule="auto"/>
              <w:jc w:val="right"/>
              <w:rPr>
                <w:sz w:val="24"/>
              </w:rPr>
            </w:pPr>
            <w:r w:rsidRPr="005C672D">
              <w:rPr>
                <w:sz w:val="24"/>
              </w:rPr>
              <w:t>7.09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6,099,053.90</w:t>
            </w:r>
          </w:p>
        </w:tc>
        <w:tc>
          <w:tcPr>
            <w:tcW w:type="dxa" w:w="2160"/>
            <w:vAlign w:val="center"/>
          </w:tcPr>
          <w:p w:rsidP="00AC6DDA" w:rsidR="001548F9" w:rsidRDefault="001548F9" w:rsidRPr="005C672D">
            <w:pPr>
              <w:spacing w:before="29" w:line="288" w:lineRule="auto"/>
              <w:jc w:val="right"/>
              <w:rPr>
                <w:sz w:val="24"/>
              </w:rPr>
            </w:pPr>
            <w:r w:rsidRPr="005C672D">
              <w:rPr>
                <w:sz w:val="24"/>
              </w:rPr>
              <w:t>4.63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2,692,665.74</w:t>
            </w:r>
          </w:p>
        </w:tc>
        <w:tc>
          <w:tcPr>
            <w:tcW w:type="dxa" w:w="2160"/>
            <w:vAlign w:val="center"/>
          </w:tcPr>
          <w:p w:rsidP="00AC6DDA" w:rsidR="001548F9" w:rsidRDefault="001548F9" w:rsidRPr="005C672D">
            <w:pPr>
              <w:spacing w:before="29" w:line="288" w:lineRule="auto"/>
              <w:jc w:val="right"/>
              <w:rPr>
                <w:sz w:val="24"/>
              </w:rPr>
            </w:pPr>
            <w:r w:rsidRPr="005C672D">
              <w:rPr>
                <w:sz w:val="24"/>
              </w:rPr>
              <w:t>2.04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5,492,000.00</w:t>
            </w:r>
          </w:p>
        </w:tc>
        <w:tc>
          <w:tcPr>
            <w:tcW w:type="dxa" w:w="2160"/>
            <w:vAlign w:val="center"/>
          </w:tcPr>
          <w:p w:rsidP="00AC6DDA" w:rsidR="001548F9" w:rsidRDefault="001548F9" w:rsidRPr="005C672D">
            <w:pPr>
              <w:spacing w:before="29" w:line="288" w:lineRule="auto"/>
              <w:jc w:val="right"/>
              <w:rPr>
                <w:sz w:val="24"/>
              </w:rPr>
            </w:pPr>
            <w:r w:rsidRPr="005C672D">
              <w:rPr>
                <w:sz w:val="24"/>
              </w:rPr>
              <w:t>4.17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2,013,050.00</w:t>
            </w:r>
          </w:p>
        </w:tc>
        <w:tc>
          <w:tcPr>
            <w:tcW w:type="dxa" w:w="2160"/>
            <w:vAlign w:val="center"/>
          </w:tcPr>
          <w:p w:rsidP="00AC6DDA" w:rsidR="001548F9" w:rsidRDefault="001548F9" w:rsidRPr="005C672D">
            <w:pPr>
              <w:spacing w:before="29" w:line="288" w:lineRule="auto"/>
              <w:jc w:val="right"/>
              <w:rPr>
                <w:sz w:val="24"/>
              </w:rPr>
            </w:pPr>
            <w:r w:rsidRPr="005C672D">
              <w:rPr>
                <w:sz w:val="24"/>
              </w:rPr>
              <w:t>1.53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116,219,985.96</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88.18</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tbl>
      <w:tblPr>
        <w:tblW w:type="dxa" w:w="8981"/>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653"/>
        <w:gridCol w:w="3119"/>
        <w:gridCol w:w="3209"/>
      </w:tblGrid>
      <w:tr w:rsidR="001C16A1" w:rsidRPr="00282C32" w:rsidTr="00986F4D">
        <w:trPr>
          <w:jc w:val="center"/>
        </w:trPr>
        <w:tc>
          <w:tcPr>
            <w:tcW w:type="dxa" w:w="2653"/>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行业类别</w:t>
            </w:r>
            <w:r w:rsidRPr="00D52A9B">
              <w:rPr>
                <w:color w:val="000000"/>
                <w:sz w:val="24"/>
              </w:rPr>
              <w:t/>
            </w:r>
          </w:p>
        </w:tc>
        <w:tc>
          <w:tcPr>
            <w:tcW w:type="dxa" w:w="3119"/>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公允价值（人民币）</w:t>
            </w:r>
          </w:p>
        </w:tc>
        <w:tc>
          <w:tcPr>
            <w:tcW w:type="dxa" w:w="3209"/>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占基金资产净值比例（</w:t>
            </w:r>
            <w:r w:rsidRPr="00D52A9B">
              <w:rPr>
                <w:rFonts w:hint="eastAsia"/>
                <w:color w:val="000000"/>
                <w:sz w:val="24"/>
              </w:rPr>
              <w:t>%</w:t>
            </w:r>
            <w:r w:rsidRPr="00D52A9B">
              <w:rPr>
                <w:rFonts w:hint="eastAsia"/>
                <w:color w:val="000000"/>
                <w:sz w:val="24"/>
              </w:rPr>
              <w:t>）</w:t>
            </w:r>
          </w:p>
        </w:tc>
      </w:tr>
      <w:tr>
        <w:tc>
          <w:tcPr>
            <w:vAlign w:val="center"/>
          </w:tcPr>
          <w:p>
            <w:pPr>
              <w:jc w:val="center"/>
            </w:pPr>
            <w:r>
              <w:rPr>
                <w:color w:val="000000"/>
                <w:sz w:val="24"/>
              </w:rPr>
              <w:t>通讯服务</w:t>
            </w:r>
          </w:p>
        </w:tc>
        <w:tc>
          <w:tcPr>
            <w:vAlign w:val="center"/>
          </w:tcPr>
          <w:p>
            <w:pPr>
              <w:jc w:val="center"/>
            </w:pPr>
            <w:r>
              <w:rPr>
                <w:color w:val="000000"/>
                <w:sz w:val="24"/>
              </w:rPr>
              <w:t>5,583,026.09</w:t>
            </w:r>
          </w:p>
        </w:tc>
        <w:tc>
          <w:tcPr>
            <w:vAlign w:val="center"/>
          </w:tcPr>
          <w:p>
            <w:pPr>
              <w:jc w:val="center"/>
            </w:pPr>
            <w:r>
              <w:rPr>
                <w:color w:val="000000"/>
                <w:sz w:val="24"/>
              </w:rPr>
              <w:t>4.24</w:t>
            </w:r>
          </w:p>
        </w:tc>
      </w:tr>
      <w:tr w:rsidR="001C16A1" w:rsidRPr="00282C32" w:rsidTr="00986F4D">
        <w:trPr>
          <w:jc w:val="center"/>
        </w:trPr>
        <w:tc>
          <w:tcPr>
            <w:tcW w:type="dxa" w:w="2653"/>
            <w:vAlign w:val="center"/>
          </w:tcPr>
          <w:p w:rsidP="00986F4D" w:rsidR="001C16A1" w:rsidRDefault="001C16A1" w:rsidRPr="00D52A9B">
            <w:pPr>
              <w:spacing w:before="29" w:line="288" w:lineRule="auto"/>
              <w:ind w:left="17"/>
              <w:jc w:val="center"/>
              <w:rPr>
                <w:color w:val="000000"/>
                <w:sz w:val="24"/>
              </w:rPr>
            </w:pPr>
            <w:r w:rsidRPr="00D52A9B">
              <w:rPr>
                <w:rFonts w:hint="eastAsia"/>
                <w:color w:val="000000"/>
                <w:sz w:val="24"/>
              </w:rPr>
              <w:t>合计</w:t>
            </w:r>
          </w:p>
        </w:tc>
        <w:tc>
          <w:tcPr>
            <w:tcW w:type="dxa" w:w="3119"/>
            <w:vAlign w:val="center"/>
          </w:tcPr>
          <w:p w:rsidP="00986F4D" w:rsidR="001C16A1" w:rsidRDefault="001C16A1" w:rsidRPr="00D52A9B">
            <w:pPr>
              <w:adjustRightInd w:val="0"/>
              <w:snapToGrid w:val="0"/>
              <w:spacing w:line="288" w:lineRule="auto"/>
              <w:jc w:val="center"/>
              <w:rPr>
                <w:color w:val="000000"/>
                <w:sz w:val="24"/>
              </w:rPr>
            </w:pPr>
            <w:r w:rsidRPr="00D52A9B">
              <w:rPr>
                <w:rFonts w:hint="eastAsia"/>
                <w:color w:val="000000"/>
                <w:sz w:val="24"/>
              </w:rPr>
              <w:t/>
            </w:r>
            <w:r w:rsidRPr="00D52A9B">
              <w:rPr>
                <w:color w:val="000000"/>
                <w:sz w:val="24"/>
              </w:rPr>
              <w:t/>
            </w:r>
            <w:r w:rsidRPr="00D52A9B">
              <w:rPr>
                <w:rFonts w:hint="eastAsia"/>
                <w:color w:val="000000"/>
                <w:sz w:val="24"/>
              </w:rPr>
              <w:t>5,583,026.09</w:t>
            </w:r>
          </w:p>
        </w:tc>
        <w:tc>
          <w:tcPr>
            <w:tcW w:type="dxa" w:w="3209"/>
            <w:vAlign w:val="center"/>
          </w:tcPr>
          <w:p w:rsidP="00986F4D" w:rsidR="001C16A1" w:rsidRDefault="001C16A1" w:rsidRPr="00D52A9B">
            <w:pPr>
              <w:adjustRightInd w:val="0"/>
              <w:snapToGrid w:val="0"/>
              <w:spacing w:line="288" w:lineRule="auto"/>
              <w:jc w:val="center"/>
              <w:rPr>
                <w:color w:val="000000"/>
                <w:sz w:val="24"/>
              </w:rPr>
            </w:pPr>
            <w:r w:rsidRPr="00D52A9B">
              <w:rPr>
                <w:rFonts w:hint="eastAsia"/>
                <w:color w:val="000000"/>
                <w:sz w:val="24"/>
              </w:rPr>
              <w:t/>
            </w:r>
            <w:r w:rsidRPr="00D52A9B">
              <w:rPr>
                <w:color w:val="000000"/>
                <w:sz w:val="24"/>
              </w:rPr>
              <w:t/>
            </w:r>
            <w:r w:rsidRPr="00D52A9B">
              <w:rPr>
                <w:rFonts w:hint="eastAsia"/>
                <w:color w:val="000000"/>
                <w:sz w:val="24"/>
              </w:rPr>
              <w:t>4.24</w:t>
            </w:r>
          </w:p>
        </w:tc>
      </w:tr>
    </w:tbl>
    <w:p w:rsidP="001C16A1" w:rsidR="001C16A1" w:rsidRDefault="001C16A1" w:rsidRPr="00D52A9B">
      <w:pPr>
        <w:tabs>
          <w:tab w:pos="426" w:val="left"/>
        </w:tabs>
        <w:spacing w:line="360" w:lineRule="auto"/>
        <w:jc w:val="left"/>
        <w:rPr>
          <w:kern w:val="0"/>
          <w:sz w:val="24"/>
        </w:rPr>
      </w:pPr>
      <w:r w:rsidRPr="00D52A9B">
        <w:rPr>
          <w:kern w:val="0"/>
          <w:sz w:val="24"/>
        </w:rPr>
        <w:t>注：以上分类采用全球行业分类标准（GICS）。</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H00700</w:t>
            </w:r>
          </w:p>
        </w:tc>
        <w:tc>
          <w:tcPr>
            <w:vAlign w:val="center"/>
          </w:tcPr>
          <w:p>
            <w:pPr>
              <w:jc w:val="center"/>
            </w:pPr>
            <w:r>
              <w:rPr>
                <w:color w:val="000000"/>
                <w:sz w:val="24"/>
              </w:rPr>
              <w:t>腾讯控股</w:t>
            </w:r>
          </w:p>
        </w:tc>
        <w:tc>
          <w:tcPr>
            <w:vAlign w:val="center"/>
          </w:tcPr>
          <w:p>
            <w:pPr>
              <w:jc w:val="right"/>
            </w:pPr>
            <w:r>
              <w:rPr>
                <w:color w:val="000000"/>
                <w:sz w:val="24"/>
              </w:rPr>
              <w:t>18,000</w:t>
            </w:r>
          </w:p>
        </w:tc>
        <w:tc>
          <w:tcPr>
            <w:vAlign w:val="center"/>
          </w:tcPr>
          <w:p>
            <w:pPr>
              <w:jc w:val="right"/>
            </w:pPr>
            <w:r>
              <w:rPr>
                <w:color w:val="000000"/>
                <w:sz w:val="24"/>
              </w:rPr>
              <w:t>5,583,026.09</w:t>
            </w:r>
          </w:p>
        </w:tc>
        <w:tc>
          <w:tcPr>
            <w:vAlign w:val="center"/>
          </w:tcPr>
          <w:p>
            <w:pPr>
              <w:jc w:val="right"/>
            </w:pPr>
            <w:r>
              <w:rPr>
                <w:color w:val="000000"/>
                <w:sz w:val="24"/>
              </w:rPr>
              <w:t>4.24</w:t>
            </w:r>
          </w:p>
        </w:tc>
      </w:tr>
      <w:tr>
        <w:tc>
          <w:tcPr>
            <w:vAlign w:val="center"/>
          </w:tcPr>
          <w:p>
            <w:pPr>
              <w:jc w:val="center"/>
            </w:pPr>
            <w:r>
              <w:rPr>
                <w:color w:val="000000"/>
                <w:sz w:val="24"/>
              </w:rPr>
              <w:t>2</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400,000</w:t>
            </w:r>
          </w:p>
        </w:tc>
        <w:tc>
          <w:tcPr>
            <w:vAlign w:val="center"/>
          </w:tcPr>
          <w:p>
            <w:pPr>
              <w:jc w:val="right"/>
            </w:pPr>
            <w:r>
              <w:rPr>
                <w:color w:val="000000"/>
                <w:sz w:val="24"/>
              </w:rPr>
              <w:t>5,492,000.00</w:t>
            </w:r>
          </w:p>
        </w:tc>
        <w:tc>
          <w:tcPr>
            <w:vAlign w:val="center"/>
          </w:tcPr>
          <w:p>
            <w:pPr>
              <w:jc w:val="right"/>
            </w:pPr>
            <w:r>
              <w:rPr>
                <w:color w:val="000000"/>
                <w:sz w:val="24"/>
              </w:rPr>
              <w:t>4.17</w:t>
            </w:r>
          </w:p>
        </w:tc>
      </w:tr>
      <w:tr>
        <w:tc>
          <w:tcPr>
            <w:vAlign w:val="center"/>
          </w:tcPr>
          <w:p>
            <w:pPr>
              <w:jc w:val="center"/>
            </w:pPr>
            <w:r>
              <w:rPr>
                <w:color w:val="000000"/>
                <w:sz w:val="24"/>
              </w:rPr>
              <w:t>3</w:t>
            </w:r>
          </w:p>
        </w:tc>
        <w:tc>
          <w:tcPr>
            <w:vAlign w:val="center"/>
          </w:tcPr>
          <w:p>
            <w:pPr>
              <w:jc w:val="center"/>
            </w:pPr>
            <w:r>
              <w:rPr>
                <w:color w:val="000000"/>
                <w:sz w:val="24"/>
              </w:rPr>
              <w:t>600004</w:t>
            </w:r>
          </w:p>
        </w:tc>
        <w:tc>
          <w:tcPr>
            <w:vAlign w:val="center"/>
          </w:tcPr>
          <w:p>
            <w:pPr>
              <w:jc w:val="center"/>
            </w:pPr>
            <w:r>
              <w:rPr>
                <w:color w:val="000000"/>
                <w:sz w:val="24"/>
              </w:rPr>
              <w:t>白云机场</w:t>
            </w:r>
          </w:p>
        </w:tc>
        <w:tc>
          <w:tcPr>
            <w:vAlign w:val="center"/>
          </w:tcPr>
          <w:p>
            <w:pPr>
              <w:jc w:val="right"/>
            </w:pPr>
            <w:r>
              <w:rPr>
                <w:color w:val="000000"/>
                <w:sz w:val="24"/>
              </w:rPr>
              <w:t>300,000</w:t>
            </w:r>
          </w:p>
        </w:tc>
        <w:tc>
          <w:tcPr>
            <w:vAlign w:val="center"/>
          </w:tcPr>
          <w:p>
            <w:pPr>
              <w:jc w:val="right"/>
            </w:pPr>
            <w:r>
              <w:rPr>
                <w:color w:val="000000"/>
                <w:sz w:val="24"/>
              </w:rPr>
              <w:t>5,460,000.00</w:t>
            </w:r>
          </w:p>
        </w:tc>
        <w:tc>
          <w:tcPr>
            <w:vAlign w:val="center"/>
          </w:tcPr>
          <w:p>
            <w:pPr>
              <w:jc w:val="right"/>
            </w:pPr>
            <w:r>
              <w:rPr>
                <w:color w:val="000000"/>
                <w:sz w:val="24"/>
              </w:rPr>
              <w:t>4.14</w:t>
            </w:r>
          </w:p>
        </w:tc>
      </w:tr>
      <w:tr>
        <w:tc>
          <w:tcPr>
            <w:vAlign w:val="center"/>
          </w:tcPr>
          <w:p>
            <w:pPr>
              <w:jc w:val="center"/>
            </w:pPr>
            <w:r>
              <w:rPr>
                <w:color w:val="000000"/>
                <w:sz w:val="24"/>
              </w:rPr>
              <w:t>4</w:t>
            </w:r>
          </w:p>
        </w:tc>
        <w:tc>
          <w:tcPr>
            <w:vAlign w:val="center"/>
          </w:tcPr>
          <w:p>
            <w:pPr>
              <w:jc w:val="center"/>
            </w:pPr>
            <w:r>
              <w:rPr>
                <w:color w:val="000000"/>
                <w:sz w:val="24"/>
              </w:rPr>
              <w:t>300014</w:t>
            </w:r>
          </w:p>
        </w:tc>
        <w:tc>
          <w:tcPr>
            <w:vAlign w:val="center"/>
          </w:tcPr>
          <w:p>
            <w:pPr>
              <w:jc w:val="center"/>
            </w:pPr>
            <w:r>
              <w:rPr>
                <w:color w:val="000000"/>
                <w:sz w:val="24"/>
              </w:rPr>
              <w:t>亿纬锂能</w:t>
            </w:r>
          </w:p>
        </w:tc>
        <w:tc>
          <w:tcPr>
            <w:vAlign w:val="center"/>
          </w:tcPr>
          <w:p>
            <w:pPr>
              <w:jc w:val="right"/>
            </w:pPr>
            <w:r>
              <w:rPr>
                <w:color w:val="000000"/>
                <w:sz w:val="24"/>
              </w:rPr>
              <w:t>170,000</w:t>
            </w:r>
          </w:p>
        </w:tc>
        <w:tc>
          <w:tcPr>
            <w:vAlign w:val="center"/>
          </w:tcPr>
          <w:p>
            <w:pPr>
              <w:jc w:val="right"/>
            </w:pPr>
            <w:r>
              <w:rPr>
                <w:color w:val="000000"/>
                <w:sz w:val="24"/>
              </w:rPr>
              <w:t>5,178,200.00</w:t>
            </w:r>
          </w:p>
        </w:tc>
        <w:tc>
          <w:tcPr>
            <w:vAlign w:val="center"/>
          </w:tcPr>
          <w:p>
            <w:pPr>
              <w:jc w:val="right"/>
            </w:pPr>
            <w:r>
              <w:rPr>
                <w:color w:val="000000"/>
                <w:sz w:val="24"/>
              </w:rPr>
              <w:t>3.93</w:t>
            </w:r>
          </w:p>
        </w:tc>
      </w:tr>
      <w:tr>
        <w:tc>
          <w:tcPr>
            <w:vAlign w:val="center"/>
          </w:tcPr>
          <w:p>
            <w:pPr>
              <w:jc w:val="center"/>
            </w:pPr>
            <w:r>
              <w:rPr>
                <w:color w:val="000000"/>
                <w:sz w:val="24"/>
              </w:rPr>
              <w:t>5</w:t>
            </w:r>
          </w:p>
        </w:tc>
        <w:tc>
          <w:tcPr>
            <w:vAlign w:val="center"/>
          </w:tcPr>
          <w:p>
            <w:pPr>
              <w:jc w:val="center"/>
            </w:pPr>
            <w:r>
              <w:rPr>
                <w:color w:val="000000"/>
                <w:sz w:val="24"/>
              </w:rPr>
              <w:t>002216</w:t>
            </w:r>
          </w:p>
        </w:tc>
        <w:tc>
          <w:tcPr>
            <w:vAlign w:val="center"/>
          </w:tcPr>
          <w:p>
            <w:pPr>
              <w:jc w:val="center"/>
            </w:pPr>
            <w:r>
              <w:rPr>
                <w:color w:val="000000"/>
                <w:sz w:val="24"/>
              </w:rPr>
              <w:t>三全食品</w:t>
            </w:r>
          </w:p>
        </w:tc>
        <w:tc>
          <w:tcPr>
            <w:vAlign w:val="center"/>
          </w:tcPr>
          <w:p>
            <w:pPr>
              <w:jc w:val="right"/>
            </w:pPr>
            <w:r>
              <w:rPr>
                <w:color w:val="000000"/>
                <w:sz w:val="24"/>
              </w:rPr>
              <w:t>500,000</w:t>
            </w:r>
          </w:p>
        </w:tc>
        <w:tc>
          <w:tcPr>
            <w:vAlign w:val="center"/>
          </w:tcPr>
          <w:p>
            <w:pPr>
              <w:jc w:val="right"/>
            </w:pPr>
            <w:r>
              <w:rPr>
                <w:color w:val="000000"/>
                <w:sz w:val="24"/>
              </w:rPr>
              <w:t>5,110,000.00</w:t>
            </w:r>
          </w:p>
        </w:tc>
        <w:tc>
          <w:tcPr>
            <w:vAlign w:val="center"/>
          </w:tcPr>
          <w:p>
            <w:pPr>
              <w:jc w:val="right"/>
            </w:pPr>
            <w:r>
              <w:rPr>
                <w:color w:val="000000"/>
                <w:sz w:val="24"/>
              </w:rPr>
              <w:t>3.88</w:t>
            </w:r>
          </w:p>
        </w:tc>
      </w:tr>
      <w:tr>
        <w:tc>
          <w:tcPr>
            <w:vAlign w:val="center"/>
          </w:tcPr>
          <w:p>
            <w:pPr>
              <w:jc w:val="center"/>
            </w:pPr>
            <w:r>
              <w:rPr>
                <w:color w:val="000000"/>
                <w:sz w:val="24"/>
              </w:rPr>
              <w:t>6</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150,000</w:t>
            </w:r>
          </w:p>
        </w:tc>
        <w:tc>
          <w:tcPr>
            <w:vAlign w:val="center"/>
          </w:tcPr>
          <w:p>
            <w:pPr>
              <w:jc w:val="right"/>
            </w:pPr>
            <w:r>
              <w:rPr>
                <w:color w:val="000000"/>
                <w:sz w:val="24"/>
              </w:rPr>
              <w:t>4,986,000.00</w:t>
            </w:r>
          </w:p>
        </w:tc>
        <w:tc>
          <w:tcPr>
            <w:vAlign w:val="center"/>
          </w:tcPr>
          <w:p>
            <w:pPr>
              <w:jc w:val="right"/>
            </w:pPr>
            <w:r>
              <w:rPr>
                <w:color w:val="000000"/>
                <w:sz w:val="24"/>
              </w:rPr>
              <w:t>3.78</w:t>
            </w:r>
          </w:p>
        </w:tc>
      </w:tr>
      <w:tr>
        <w:tc>
          <w:tcPr>
            <w:vAlign w:val="center"/>
          </w:tcPr>
          <w:p>
            <w:pPr>
              <w:jc w:val="center"/>
            </w:pPr>
            <w:r>
              <w:rPr>
                <w:color w:val="000000"/>
                <w:sz w:val="24"/>
              </w:rPr>
              <w:t>7</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90,000</w:t>
            </w:r>
          </w:p>
        </w:tc>
        <w:tc>
          <w:tcPr>
            <w:vAlign w:val="center"/>
          </w:tcPr>
          <w:p>
            <w:pPr>
              <w:jc w:val="right"/>
            </w:pPr>
            <w:r>
              <w:rPr>
                <w:color w:val="000000"/>
                <w:sz w:val="24"/>
              </w:rPr>
              <w:t>4,950,000.00</w:t>
            </w:r>
          </w:p>
        </w:tc>
        <w:tc>
          <w:tcPr>
            <w:vAlign w:val="center"/>
          </w:tcPr>
          <w:p>
            <w:pPr>
              <w:jc w:val="right"/>
            </w:pPr>
            <w:r>
              <w:rPr>
                <w:color w:val="000000"/>
                <w:sz w:val="24"/>
              </w:rPr>
              <w:t>3.76</w:t>
            </w:r>
          </w:p>
        </w:tc>
      </w:tr>
      <w:tr>
        <w:tc>
          <w:tcPr>
            <w:vAlign w:val="center"/>
          </w:tcPr>
          <w:p>
            <w:pPr>
              <w:jc w:val="center"/>
            </w:pPr>
            <w:r>
              <w:rPr>
                <w:color w:val="000000"/>
                <w:sz w:val="24"/>
              </w:rPr>
              <w:t>8</w:t>
            </w:r>
          </w:p>
        </w:tc>
        <w:tc>
          <w:tcPr>
            <w:vAlign w:val="center"/>
          </w:tcPr>
          <w:p>
            <w:pPr>
              <w:jc w:val="center"/>
            </w:pPr>
            <w:r>
              <w:rPr>
                <w:color w:val="000000"/>
                <w:sz w:val="24"/>
              </w:rPr>
              <w:t>600570</w:t>
            </w:r>
          </w:p>
        </w:tc>
        <w:tc>
          <w:tcPr>
            <w:vAlign w:val="center"/>
          </w:tcPr>
          <w:p>
            <w:pPr>
              <w:jc w:val="center"/>
            </w:pPr>
            <w:r>
              <w:rPr>
                <w:color w:val="000000"/>
                <w:sz w:val="24"/>
              </w:rPr>
              <w:t>恒生电子</w:t>
            </w:r>
          </w:p>
        </w:tc>
        <w:tc>
          <w:tcPr>
            <w:vAlign w:val="center"/>
          </w:tcPr>
          <w:p>
            <w:pPr>
              <w:jc w:val="right"/>
            </w:pPr>
            <w:r>
              <w:rPr>
                <w:color w:val="000000"/>
                <w:sz w:val="24"/>
              </w:rPr>
              <w:t>69,990</w:t>
            </w:r>
          </w:p>
        </w:tc>
        <w:tc>
          <w:tcPr>
            <w:vAlign w:val="center"/>
          </w:tcPr>
          <w:p>
            <w:pPr>
              <w:jc w:val="right"/>
            </w:pPr>
            <w:r>
              <w:rPr>
                <w:color w:val="000000"/>
                <w:sz w:val="24"/>
              </w:rPr>
              <w:t>4,769,818.50</w:t>
            </w:r>
          </w:p>
        </w:tc>
        <w:tc>
          <w:tcPr>
            <w:vAlign w:val="center"/>
          </w:tcPr>
          <w:p>
            <w:pPr>
              <w:jc w:val="right"/>
            </w:pPr>
            <w:r>
              <w:rPr>
                <w:color w:val="000000"/>
                <w:sz w:val="24"/>
              </w:rPr>
              <w:t>3.62</w:t>
            </w:r>
          </w:p>
        </w:tc>
      </w:tr>
      <w:tr>
        <w:tc>
          <w:tcPr>
            <w:vAlign w:val="center"/>
          </w:tcPr>
          <w:p>
            <w:pPr>
              <w:jc w:val="center"/>
            </w:pPr>
            <w:r>
              <w:rPr>
                <w:color w:val="000000"/>
                <w:sz w:val="24"/>
              </w:rPr>
              <w:t>9</w:t>
            </w:r>
          </w:p>
        </w:tc>
        <w:tc>
          <w:tcPr>
            <w:vAlign w:val="center"/>
          </w:tcPr>
          <w:p>
            <w:pPr>
              <w:jc w:val="center"/>
            </w:pPr>
            <w:r>
              <w:rPr>
                <w:color w:val="000000"/>
                <w:sz w:val="24"/>
              </w:rPr>
              <w:t>603713</w:t>
            </w:r>
          </w:p>
        </w:tc>
        <w:tc>
          <w:tcPr>
            <w:vAlign w:val="center"/>
          </w:tcPr>
          <w:p>
            <w:pPr>
              <w:jc w:val="center"/>
            </w:pPr>
            <w:r>
              <w:rPr>
                <w:color w:val="000000"/>
                <w:sz w:val="24"/>
              </w:rPr>
              <w:t>密尔克卫</w:t>
            </w:r>
          </w:p>
        </w:tc>
        <w:tc>
          <w:tcPr>
            <w:vAlign w:val="center"/>
          </w:tcPr>
          <w:p>
            <w:pPr>
              <w:jc w:val="right"/>
            </w:pPr>
            <w:r>
              <w:rPr>
                <w:color w:val="000000"/>
                <w:sz w:val="24"/>
              </w:rPr>
              <w:t>130,000</w:t>
            </w:r>
          </w:p>
        </w:tc>
        <w:tc>
          <w:tcPr>
            <w:vAlign w:val="center"/>
          </w:tcPr>
          <w:p>
            <w:pPr>
              <w:jc w:val="right"/>
            </w:pPr>
            <w:r>
              <w:rPr>
                <w:color w:val="000000"/>
                <w:sz w:val="24"/>
              </w:rPr>
              <w:t>4,527,900.00</w:t>
            </w:r>
          </w:p>
        </w:tc>
        <w:tc>
          <w:tcPr>
            <w:vAlign w:val="center"/>
          </w:tcPr>
          <w:p>
            <w:pPr>
              <w:jc w:val="right"/>
            </w:pPr>
            <w:r>
              <w:rPr>
                <w:color w:val="000000"/>
                <w:sz w:val="24"/>
              </w:rPr>
              <w:t>3.44</w:t>
            </w:r>
          </w:p>
        </w:tc>
      </w:tr>
      <w:tr>
        <w:tc>
          <w:tcPr>
            <w:vAlign w:val="center"/>
          </w:tcPr>
          <w:p>
            <w:pPr>
              <w:jc w:val="center"/>
            </w:pPr>
            <w:r>
              <w:rPr>
                <w:color w:val="000000"/>
                <w:sz w:val="24"/>
              </w:rPr>
              <w:t>10</w:t>
            </w:r>
          </w:p>
        </w:tc>
        <w:tc>
          <w:tcPr>
            <w:vAlign w:val="center"/>
          </w:tcPr>
          <w:p>
            <w:pPr>
              <w:jc w:val="center"/>
            </w:pPr>
            <w:r>
              <w:rPr>
                <w:color w:val="000000"/>
                <w:sz w:val="24"/>
              </w:rPr>
              <w:t>603707</w:t>
            </w:r>
          </w:p>
        </w:tc>
        <w:tc>
          <w:tcPr>
            <w:vAlign w:val="center"/>
          </w:tcPr>
          <w:p>
            <w:pPr>
              <w:jc w:val="center"/>
            </w:pPr>
            <w:r>
              <w:rPr>
                <w:color w:val="000000"/>
                <w:sz w:val="24"/>
              </w:rPr>
              <w:t>健友股份</w:t>
            </w:r>
          </w:p>
        </w:tc>
        <w:tc>
          <w:tcPr>
            <w:vAlign w:val="center"/>
          </w:tcPr>
          <w:p>
            <w:pPr>
              <w:jc w:val="right"/>
            </w:pPr>
            <w:r>
              <w:rPr>
                <w:color w:val="000000"/>
                <w:sz w:val="24"/>
              </w:rPr>
              <w:t>120,000</w:t>
            </w:r>
          </w:p>
        </w:tc>
        <w:tc>
          <w:tcPr>
            <w:vAlign w:val="center"/>
          </w:tcPr>
          <w:p>
            <w:pPr>
              <w:jc w:val="right"/>
            </w:pPr>
            <w:r>
              <w:rPr>
                <w:color w:val="000000"/>
                <w:sz w:val="24"/>
              </w:rPr>
              <w:t>4,242,000.00</w:t>
            </w:r>
          </w:p>
        </w:tc>
        <w:tc>
          <w:tcPr>
            <w:vAlign w:val="center"/>
          </w:tcPr>
          <w:p>
            <w:pPr>
              <w:jc w:val="right"/>
            </w:pPr>
            <w:r>
              <w:rPr>
                <w:color w:val="000000"/>
                <w:sz w:val="24"/>
              </w:rPr>
              <w:t>3.22</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601336</w:t>
            </w:r>
          </w:p>
        </w:tc>
        <w:tc>
          <w:tcPr>
            <w:vAlign w:val="center"/>
          </w:tcPr>
          <w:p>
            <w:pPr>
              <w:jc w:val="center"/>
            </w:pPr>
            <w:r>
              <w:rPr>
                <w:sz w:val="24"/>
              </w:rPr>
              <w:t>新华保险</w:t>
            </w:r>
          </w:p>
        </w:tc>
        <w:tc>
          <w:tcPr>
            <w:vAlign w:val="center"/>
          </w:tcPr>
          <w:p>
            <w:pPr>
              <w:jc w:val="right"/>
            </w:pPr>
            <w:r>
              <w:rPr>
                <w:sz w:val="24"/>
              </w:rPr>
              <w:t>13,920,450.06</w:t>
            </w:r>
          </w:p>
        </w:tc>
        <w:tc>
          <w:tcPr>
            <w:vAlign w:val="center"/>
          </w:tcPr>
          <w:p>
            <w:pPr>
              <w:jc w:val="right"/>
            </w:pPr>
            <w:r>
              <w:rPr>
                <w:sz w:val="24"/>
              </w:rPr>
              <w:t>4.15</w:t>
            </w:r>
          </w:p>
        </w:tc>
      </w:tr>
      <w:tr>
        <w:tc>
          <w:tcPr>
            <w:vAlign w:val="center"/>
          </w:tcPr>
          <w:p>
            <w:pPr>
              <w:jc w:val="center"/>
            </w:pPr>
            <w:r>
              <w:rPr>
                <w:sz w:val="24"/>
              </w:rPr>
              <w:t>2</w:t>
            </w:r>
          </w:p>
        </w:tc>
        <w:tc>
          <w:tcPr>
            <w:vAlign w:val="center"/>
          </w:tcPr>
          <w:p>
            <w:pPr>
              <w:jc w:val="center"/>
            </w:pPr>
            <w:r>
              <w:rPr>
                <w:sz w:val="24"/>
              </w:rPr>
              <w:t>000651</w:t>
            </w:r>
          </w:p>
        </w:tc>
        <w:tc>
          <w:tcPr>
            <w:vAlign w:val="center"/>
          </w:tcPr>
          <w:p>
            <w:pPr>
              <w:jc w:val="center"/>
            </w:pPr>
            <w:r>
              <w:rPr>
                <w:sz w:val="24"/>
              </w:rPr>
              <w:t>格力电器</w:t>
            </w:r>
          </w:p>
        </w:tc>
        <w:tc>
          <w:tcPr>
            <w:vAlign w:val="center"/>
          </w:tcPr>
          <w:p>
            <w:pPr>
              <w:jc w:val="right"/>
            </w:pPr>
            <w:r>
              <w:rPr>
                <w:sz w:val="24"/>
              </w:rPr>
              <w:t>11,924,428.47</w:t>
            </w:r>
          </w:p>
        </w:tc>
        <w:tc>
          <w:tcPr>
            <w:vAlign w:val="center"/>
          </w:tcPr>
          <w:p>
            <w:pPr>
              <w:jc w:val="right"/>
            </w:pPr>
            <w:r>
              <w:rPr>
                <w:sz w:val="24"/>
              </w:rPr>
              <w:t>3.55</w:t>
            </w:r>
          </w:p>
        </w:tc>
      </w:tr>
      <w:tr>
        <w:tc>
          <w:tcPr>
            <w:vAlign w:val="center"/>
          </w:tcPr>
          <w:p>
            <w:pPr>
              <w:jc w:val="center"/>
            </w:pPr>
            <w:r>
              <w:rPr>
                <w:sz w:val="24"/>
              </w:rPr>
              <w:t>3</w:t>
            </w:r>
          </w:p>
        </w:tc>
        <w:tc>
          <w:tcPr>
            <w:vAlign w:val="center"/>
          </w:tcPr>
          <w:p>
            <w:pPr>
              <w:jc w:val="center"/>
            </w:pPr>
            <w:r>
              <w:rPr>
                <w:sz w:val="24"/>
              </w:rPr>
              <w:t>601288</w:t>
            </w:r>
          </w:p>
        </w:tc>
        <w:tc>
          <w:tcPr>
            <w:vAlign w:val="center"/>
          </w:tcPr>
          <w:p>
            <w:pPr>
              <w:jc w:val="center"/>
            </w:pPr>
            <w:r>
              <w:rPr>
                <w:sz w:val="24"/>
              </w:rPr>
              <w:t>农业银行</w:t>
            </w:r>
          </w:p>
        </w:tc>
        <w:tc>
          <w:tcPr>
            <w:vAlign w:val="center"/>
          </w:tcPr>
          <w:p>
            <w:pPr>
              <w:jc w:val="right"/>
            </w:pPr>
            <w:r>
              <w:rPr>
                <w:sz w:val="24"/>
              </w:rPr>
              <w:t>11,260,000.00</w:t>
            </w:r>
          </w:p>
        </w:tc>
        <w:tc>
          <w:tcPr>
            <w:vAlign w:val="center"/>
          </w:tcPr>
          <w:p>
            <w:pPr>
              <w:jc w:val="right"/>
            </w:pPr>
            <w:r>
              <w:rPr>
                <w:sz w:val="24"/>
              </w:rPr>
              <w:t>3.36</w:t>
            </w:r>
          </w:p>
        </w:tc>
      </w:tr>
      <w:tr>
        <w:tc>
          <w:tcPr>
            <w:vAlign w:val="center"/>
          </w:tcPr>
          <w:p>
            <w:pPr>
              <w:jc w:val="center"/>
            </w:pPr>
            <w:r>
              <w:rPr>
                <w:sz w:val="24"/>
              </w:rPr>
              <w:t>4</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10,861,105.80</w:t>
            </w:r>
          </w:p>
        </w:tc>
        <w:tc>
          <w:tcPr>
            <w:vAlign w:val="center"/>
          </w:tcPr>
          <w:p>
            <w:pPr>
              <w:jc w:val="right"/>
            </w:pPr>
            <w:r>
              <w:rPr>
                <w:sz w:val="24"/>
              </w:rPr>
              <w:t>3.24</w:t>
            </w:r>
          </w:p>
        </w:tc>
      </w:tr>
      <w:tr>
        <w:tc>
          <w:tcPr>
            <w:vAlign w:val="center"/>
          </w:tcPr>
          <w:p>
            <w:pPr>
              <w:jc w:val="center"/>
            </w:pPr>
            <w:r>
              <w:rPr>
                <w:sz w:val="24"/>
              </w:rPr>
              <w:t>5</w:t>
            </w:r>
          </w:p>
        </w:tc>
        <w:tc>
          <w:tcPr>
            <w:vAlign w:val="center"/>
          </w:tcPr>
          <w:p>
            <w:pPr>
              <w:jc w:val="center"/>
            </w:pPr>
            <w:r>
              <w:rPr>
                <w:sz w:val="24"/>
              </w:rPr>
              <w:t>300059</w:t>
            </w:r>
          </w:p>
        </w:tc>
        <w:tc>
          <w:tcPr>
            <w:vAlign w:val="center"/>
          </w:tcPr>
          <w:p>
            <w:pPr>
              <w:jc w:val="center"/>
            </w:pPr>
            <w:r>
              <w:rPr>
                <w:sz w:val="24"/>
              </w:rPr>
              <w:t>东方财富</w:t>
            </w:r>
          </w:p>
        </w:tc>
        <w:tc>
          <w:tcPr>
            <w:vAlign w:val="center"/>
          </w:tcPr>
          <w:p>
            <w:pPr>
              <w:jc w:val="right"/>
            </w:pPr>
            <w:r>
              <w:rPr>
                <w:sz w:val="24"/>
              </w:rPr>
              <w:t>9,209,428.60</w:t>
            </w:r>
          </w:p>
        </w:tc>
        <w:tc>
          <w:tcPr>
            <w:vAlign w:val="center"/>
          </w:tcPr>
          <w:p>
            <w:pPr>
              <w:jc w:val="right"/>
            </w:pPr>
            <w:r>
              <w:rPr>
                <w:sz w:val="24"/>
              </w:rPr>
              <w:t>2.74</w:t>
            </w:r>
          </w:p>
        </w:tc>
      </w:tr>
      <w:tr>
        <w:tc>
          <w:tcPr>
            <w:vAlign w:val="center"/>
          </w:tcPr>
          <w:p>
            <w:pPr>
              <w:jc w:val="center"/>
            </w:pPr>
            <w:r>
              <w:rPr>
                <w:sz w:val="24"/>
              </w:rPr>
              <w:t>6</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8,395,042.00</w:t>
            </w:r>
          </w:p>
        </w:tc>
        <w:tc>
          <w:tcPr>
            <w:vAlign w:val="center"/>
          </w:tcPr>
          <w:p>
            <w:pPr>
              <w:jc w:val="right"/>
            </w:pPr>
            <w:r>
              <w:rPr>
                <w:sz w:val="24"/>
              </w:rPr>
              <w:t>2.50</w:t>
            </w:r>
          </w:p>
        </w:tc>
      </w:tr>
      <w:tr>
        <w:tc>
          <w:tcPr>
            <w:vAlign w:val="center"/>
          </w:tcPr>
          <w:p>
            <w:pPr>
              <w:jc w:val="center"/>
            </w:pPr>
            <w:r>
              <w:rPr>
                <w:sz w:val="24"/>
              </w:rPr>
              <w:t>7</w:t>
            </w:r>
          </w:p>
        </w:tc>
        <w:tc>
          <w:tcPr>
            <w:vAlign w:val="center"/>
          </w:tcPr>
          <w:p>
            <w:pPr>
              <w:jc w:val="center"/>
            </w:pPr>
            <w:r>
              <w:rPr>
                <w:sz w:val="24"/>
              </w:rPr>
              <w:t>600519</w:t>
            </w:r>
          </w:p>
        </w:tc>
        <w:tc>
          <w:tcPr>
            <w:vAlign w:val="center"/>
          </w:tcPr>
          <w:p>
            <w:pPr>
              <w:jc w:val="center"/>
            </w:pPr>
            <w:r>
              <w:rPr>
                <w:sz w:val="24"/>
              </w:rPr>
              <w:t>贵州茅台</w:t>
            </w:r>
          </w:p>
        </w:tc>
        <w:tc>
          <w:tcPr>
            <w:vAlign w:val="center"/>
          </w:tcPr>
          <w:p>
            <w:pPr>
              <w:jc w:val="right"/>
            </w:pPr>
            <w:r>
              <w:rPr>
                <w:sz w:val="24"/>
              </w:rPr>
              <w:t>8,298,635.98</w:t>
            </w:r>
          </w:p>
        </w:tc>
        <w:tc>
          <w:tcPr>
            <w:vAlign w:val="center"/>
          </w:tcPr>
          <w:p>
            <w:pPr>
              <w:jc w:val="right"/>
            </w:pPr>
            <w:r>
              <w:rPr>
                <w:sz w:val="24"/>
              </w:rPr>
              <w:t>2.47</w:t>
            </w:r>
          </w:p>
        </w:tc>
      </w:tr>
      <w:tr>
        <w:tc>
          <w:tcPr>
            <w:vAlign w:val="center"/>
          </w:tcPr>
          <w:p>
            <w:pPr>
              <w:jc w:val="center"/>
            </w:pPr>
            <w:r>
              <w:rPr>
                <w:sz w:val="24"/>
              </w:rPr>
              <w:t>8</w:t>
            </w:r>
          </w:p>
        </w:tc>
        <w:tc>
          <w:tcPr>
            <w:vAlign w:val="center"/>
          </w:tcPr>
          <w:p>
            <w:pPr>
              <w:jc w:val="center"/>
            </w:pPr>
            <w:r>
              <w:rPr>
                <w:sz w:val="24"/>
              </w:rPr>
              <w:t>600585</w:t>
            </w:r>
          </w:p>
        </w:tc>
        <w:tc>
          <w:tcPr>
            <w:vAlign w:val="center"/>
          </w:tcPr>
          <w:p>
            <w:pPr>
              <w:jc w:val="center"/>
            </w:pPr>
            <w:r>
              <w:rPr>
                <w:sz w:val="24"/>
              </w:rPr>
              <w:t>海螺水泥</w:t>
            </w:r>
          </w:p>
        </w:tc>
        <w:tc>
          <w:tcPr>
            <w:vAlign w:val="center"/>
          </w:tcPr>
          <w:p>
            <w:pPr>
              <w:jc w:val="right"/>
            </w:pPr>
            <w:r>
              <w:rPr>
                <w:sz w:val="24"/>
              </w:rPr>
              <w:t>8,046,856.08</w:t>
            </w:r>
          </w:p>
        </w:tc>
        <w:tc>
          <w:tcPr>
            <w:vAlign w:val="center"/>
          </w:tcPr>
          <w:p>
            <w:pPr>
              <w:jc w:val="right"/>
            </w:pPr>
            <w:r>
              <w:rPr>
                <w:sz w:val="24"/>
              </w:rPr>
              <w:t>2.40</w:t>
            </w:r>
          </w:p>
        </w:tc>
      </w:tr>
      <w:tr>
        <w:tc>
          <w:tcPr>
            <w:vAlign w:val="center"/>
          </w:tcPr>
          <w:p>
            <w:pPr>
              <w:jc w:val="center"/>
            </w:pPr>
            <w:r>
              <w:rPr>
                <w:sz w:val="24"/>
              </w:rPr>
              <w:t>9</w:t>
            </w:r>
          </w:p>
        </w:tc>
        <w:tc>
          <w:tcPr>
            <w:vAlign w:val="center"/>
          </w:tcPr>
          <w:p>
            <w:pPr>
              <w:jc w:val="center"/>
            </w:pPr>
            <w:r>
              <w:rPr>
                <w:sz w:val="24"/>
              </w:rPr>
              <w:t>600340</w:t>
            </w:r>
          </w:p>
        </w:tc>
        <w:tc>
          <w:tcPr>
            <w:vAlign w:val="center"/>
          </w:tcPr>
          <w:p>
            <w:pPr>
              <w:jc w:val="center"/>
            </w:pPr>
            <w:r>
              <w:rPr>
                <w:sz w:val="24"/>
              </w:rPr>
              <w:t>华夏幸福</w:t>
            </w:r>
          </w:p>
        </w:tc>
        <w:tc>
          <w:tcPr>
            <w:vAlign w:val="center"/>
          </w:tcPr>
          <w:p>
            <w:pPr>
              <w:jc w:val="right"/>
            </w:pPr>
            <w:r>
              <w:rPr>
                <w:sz w:val="24"/>
              </w:rPr>
              <w:t>8,010,398.00</w:t>
            </w:r>
          </w:p>
        </w:tc>
        <w:tc>
          <w:tcPr>
            <w:vAlign w:val="center"/>
          </w:tcPr>
          <w:p>
            <w:pPr>
              <w:jc w:val="right"/>
            </w:pPr>
            <w:r>
              <w:rPr>
                <w:sz w:val="24"/>
              </w:rPr>
              <w:t>2.39</w:t>
            </w:r>
          </w:p>
        </w:tc>
      </w:tr>
      <w:tr>
        <w:tc>
          <w:tcPr>
            <w:vAlign w:val="center"/>
          </w:tcPr>
          <w:p>
            <w:pPr>
              <w:jc w:val="center"/>
            </w:pPr>
            <w:r>
              <w:rPr>
                <w:sz w:val="24"/>
              </w:rPr>
              <w:t>10</w:t>
            </w:r>
          </w:p>
        </w:tc>
        <w:tc>
          <w:tcPr>
            <w:vAlign w:val="center"/>
          </w:tcPr>
          <w:p>
            <w:pPr>
              <w:jc w:val="center"/>
            </w:pPr>
            <w:r>
              <w:rPr>
                <w:sz w:val="24"/>
              </w:rPr>
              <w:t>603043</w:t>
            </w:r>
          </w:p>
        </w:tc>
        <w:tc>
          <w:tcPr>
            <w:vAlign w:val="center"/>
          </w:tcPr>
          <w:p>
            <w:pPr>
              <w:jc w:val="center"/>
            </w:pPr>
            <w:r>
              <w:rPr>
                <w:sz w:val="24"/>
              </w:rPr>
              <w:t>广州酒家</w:t>
            </w:r>
          </w:p>
        </w:tc>
        <w:tc>
          <w:tcPr>
            <w:vAlign w:val="center"/>
          </w:tcPr>
          <w:p>
            <w:pPr>
              <w:jc w:val="right"/>
            </w:pPr>
            <w:r>
              <w:rPr>
                <w:sz w:val="24"/>
              </w:rPr>
              <w:t>7,971,076.00</w:t>
            </w:r>
          </w:p>
        </w:tc>
        <w:tc>
          <w:tcPr>
            <w:vAlign w:val="center"/>
          </w:tcPr>
          <w:p>
            <w:pPr>
              <w:jc w:val="right"/>
            </w:pPr>
            <w:r>
              <w:rPr>
                <w:sz w:val="24"/>
              </w:rPr>
              <w:t>2.38</w:t>
            </w:r>
          </w:p>
        </w:tc>
      </w:tr>
      <w:tr>
        <w:tc>
          <w:tcPr>
            <w:vAlign w:val="center"/>
          </w:tcPr>
          <w:p>
            <w:pPr>
              <w:jc w:val="center"/>
            </w:pPr>
            <w:r>
              <w:rPr>
                <w:sz w:val="24"/>
              </w:rPr>
              <w:t>11</w:t>
            </w:r>
          </w:p>
        </w:tc>
        <w:tc>
          <w:tcPr>
            <w:vAlign w:val="center"/>
          </w:tcPr>
          <w:p>
            <w:pPr>
              <w:jc w:val="center"/>
            </w:pPr>
            <w:r>
              <w:rPr>
                <w:sz w:val="24"/>
              </w:rPr>
              <w:t>601766</w:t>
            </w:r>
          </w:p>
        </w:tc>
        <w:tc>
          <w:tcPr>
            <w:vAlign w:val="center"/>
          </w:tcPr>
          <w:p>
            <w:pPr>
              <w:jc w:val="center"/>
            </w:pPr>
            <w:r>
              <w:rPr>
                <w:sz w:val="24"/>
              </w:rPr>
              <w:t>中国中车</w:t>
            </w:r>
          </w:p>
        </w:tc>
        <w:tc>
          <w:tcPr>
            <w:vAlign w:val="center"/>
          </w:tcPr>
          <w:p>
            <w:pPr>
              <w:jc w:val="right"/>
            </w:pPr>
            <w:r>
              <w:rPr>
                <w:sz w:val="24"/>
              </w:rPr>
              <w:t>7,812,842.00</w:t>
            </w:r>
          </w:p>
        </w:tc>
        <w:tc>
          <w:tcPr>
            <w:vAlign w:val="center"/>
          </w:tcPr>
          <w:p>
            <w:pPr>
              <w:jc w:val="right"/>
            </w:pPr>
            <w:r>
              <w:rPr>
                <w:sz w:val="24"/>
              </w:rPr>
              <w:t>2.33</w:t>
            </w:r>
          </w:p>
        </w:tc>
      </w:tr>
      <w:tr>
        <w:tc>
          <w:tcPr>
            <w:vAlign w:val="center"/>
          </w:tcPr>
          <w:p>
            <w:pPr>
              <w:jc w:val="center"/>
            </w:pPr>
            <w:r>
              <w:rPr>
                <w:sz w:val="24"/>
              </w:rPr>
              <w:t>12</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7,767,416.20</w:t>
            </w:r>
          </w:p>
        </w:tc>
        <w:tc>
          <w:tcPr>
            <w:vAlign w:val="center"/>
          </w:tcPr>
          <w:p>
            <w:pPr>
              <w:jc w:val="right"/>
            </w:pPr>
            <w:r>
              <w:rPr>
                <w:sz w:val="24"/>
              </w:rPr>
              <w:t>2.32</w:t>
            </w:r>
          </w:p>
        </w:tc>
      </w:tr>
      <w:tr>
        <w:tc>
          <w:tcPr>
            <w:vAlign w:val="center"/>
          </w:tcPr>
          <w:p>
            <w:pPr>
              <w:jc w:val="center"/>
            </w:pPr>
            <w:r>
              <w:rPr>
                <w:sz w:val="24"/>
              </w:rPr>
              <w:t>13</w:t>
            </w:r>
          </w:p>
        </w:tc>
        <w:tc>
          <w:tcPr>
            <w:vAlign w:val="center"/>
          </w:tcPr>
          <w:p>
            <w:pPr>
              <w:jc w:val="center"/>
            </w:pPr>
            <w:r>
              <w:rPr>
                <w:sz w:val="24"/>
              </w:rPr>
              <w:t>002415</w:t>
            </w:r>
          </w:p>
        </w:tc>
        <w:tc>
          <w:tcPr>
            <w:vAlign w:val="center"/>
          </w:tcPr>
          <w:p>
            <w:pPr>
              <w:jc w:val="center"/>
            </w:pPr>
            <w:r>
              <w:rPr>
                <w:sz w:val="24"/>
              </w:rPr>
              <w:t>海康威视</w:t>
            </w:r>
          </w:p>
        </w:tc>
        <w:tc>
          <w:tcPr>
            <w:vAlign w:val="center"/>
          </w:tcPr>
          <w:p>
            <w:pPr>
              <w:jc w:val="right"/>
            </w:pPr>
            <w:r>
              <w:rPr>
                <w:sz w:val="24"/>
              </w:rPr>
              <w:t>7,666,215.00</w:t>
            </w:r>
          </w:p>
        </w:tc>
        <w:tc>
          <w:tcPr>
            <w:vAlign w:val="center"/>
          </w:tcPr>
          <w:p>
            <w:pPr>
              <w:jc w:val="right"/>
            </w:pPr>
            <w:r>
              <w:rPr>
                <w:sz w:val="24"/>
              </w:rPr>
              <w:t>2.28</w:t>
            </w:r>
          </w:p>
        </w:tc>
      </w:tr>
      <w:tr>
        <w:tc>
          <w:tcPr>
            <w:vAlign w:val="center"/>
          </w:tcPr>
          <w:p>
            <w:pPr>
              <w:jc w:val="center"/>
            </w:pPr>
            <w:r>
              <w:rPr>
                <w:sz w:val="24"/>
              </w:rPr>
              <w:t>14</w:t>
            </w:r>
          </w:p>
        </w:tc>
        <w:tc>
          <w:tcPr>
            <w:vAlign w:val="center"/>
          </w:tcPr>
          <w:p>
            <w:pPr>
              <w:jc w:val="center"/>
            </w:pPr>
            <w:r>
              <w:rPr>
                <w:sz w:val="24"/>
              </w:rPr>
              <w:t>600958</w:t>
            </w:r>
          </w:p>
        </w:tc>
        <w:tc>
          <w:tcPr>
            <w:vAlign w:val="center"/>
          </w:tcPr>
          <w:p>
            <w:pPr>
              <w:jc w:val="center"/>
            </w:pPr>
            <w:r>
              <w:rPr>
                <w:sz w:val="24"/>
              </w:rPr>
              <w:t>东方证券</w:t>
            </w:r>
          </w:p>
        </w:tc>
        <w:tc>
          <w:tcPr>
            <w:vAlign w:val="center"/>
          </w:tcPr>
          <w:p>
            <w:pPr>
              <w:jc w:val="right"/>
            </w:pPr>
            <w:r>
              <w:rPr>
                <w:sz w:val="24"/>
              </w:rPr>
              <w:t>7,513,675.56</w:t>
            </w:r>
          </w:p>
        </w:tc>
        <w:tc>
          <w:tcPr>
            <w:vAlign w:val="center"/>
          </w:tcPr>
          <w:p>
            <w:pPr>
              <w:jc w:val="right"/>
            </w:pPr>
            <w:r>
              <w:rPr>
                <w:sz w:val="24"/>
              </w:rPr>
              <w:t>2.24</w:t>
            </w:r>
          </w:p>
        </w:tc>
      </w:tr>
      <w:tr>
        <w:tc>
          <w:tcPr>
            <w:vAlign w:val="center"/>
          </w:tcPr>
          <w:p>
            <w:pPr>
              <w:jc w:val="center"/>
            </w:pPr>
            <w:r>
              <w:rPr>
                <w:sz w:val="24"/>
              </w:rPr>
              <w:t>15</w:t>
            </w:r>
          </w:p>
        </w:tc>
        <w:tc>
          <w:tcPr>
            <w:vAlign w:val="center"/>
          </w:tcPr>
          <w:p>
            <w:pPr>
              <w:jc w:val="center"/>
            </w:pPr>
            <w:r>
              <w:rPr>
                <w:sz w:val="24"/>
              </w:rPr>
              <w:t>600196</w:t>
            </w:r>
          </w:p>
        </w:tc>
        <w:tc>
          <w:tcPr>
            <w:vAlign w:val="center"/>
          </w:tcPr>
          <w:p>
            <w:pPr>
              <w:jc w:val="center"/>
            </w:pPr>
            <w:r>
              <w:rPr>
                <w:sz w:val="24"/>
              </w:rPr>
              <w:t>复星医药</w:t>
            </w:r>
          </w:p>
        </w:tc>
        <w:tc>
          <w:tcPr>
            <w:vAlign w:val="center"/>
          </w:tcPr>
          <w:p>
            <w:pPr>
              <w:jc w:val="right"/>
            </w:pPr>
            <w:r>
              <w:rPr>
                <w:sz w:val="24"/>
              </w:rPr>
              <w:t>7,488,038.00</w:t>
            </w:r>
          </w:p>
        </w:tc>
        <w:tc>
          <w:tcPr>
            <w:vAlign w:val="center"/>
          </w:tcPr>
          <w:p>
            <w:pPr>
              <w:jc w:val="right"/>
            </w:pPr>
            <w:r>
              <w:rPr>
                <w:sz w:val="24"/>
              </w:rPr>
              <w:t>2.23</w:t>
            </w:r>
          </w:p>
        </w:tc>
      </w:tr>
      <w:tr>
        <w:tc>
          <w:tcPr>
            <w:vAlign w:val="center"/>
          </w:tcPr>
          <w:p>
            <w:pPr>
              <w:jc w:val="center"/>
            </w:pPr>
            <w:r>
              <w:rPr>
                <w:sz w:val="24"/>
              </w:rPr>
              <w:t>16</w:t>
            </w:r>
          </w:p>
        </w:tc>
        <w:tc>
          <w:tcPr>
            <w:vAlign w:val="center"/>
          </w:tcPr>
          <w:p>
            <w:pPr>
              <w:jc w:val="center"/>
            </w:pPr>
            <w:r>
              <w:rPr>
                <w:sz w:val="24"/>
              </w:rPr>
              <w:t>00700</w:t>
            </w:r>
          </w:p>
        </w:tc>
        <w:tc>
          <w:tcPr>
            <w:vAlign w:val="center"/>
          </w:tcPr>
          <w:p>
            <w:pPr>
              <w:jc w:val="center"/>
            </w:pPr>
            <w:r>
              <w:rPr>
                <w:sz w:val="24"/>
              </w:rPr>
              <w:t>腾讯控股</w:t>
            </w:r>
          </w:p>
        </w:tc>
        <w:tc>
          <w:tcPr>
            <w:vAlign w:val="center"/>
          </w:tcPr>
          <w:p>
            <w:pPr>
              <w:jc w:val="right"/>
            </w:pPr>
            <w:r>
              <w:rPr>
                <w:sz w:val="24"/>
              </w:rPr>
              <w:t>7,269,524.69</w:t>
            </w:r>
          </w:p>
        </w:tc>
        <w:tc>
          <w:tcPr>
            <w:vAlign w:val="center"/>
          </w:tcPr>
          <w:p>
            <w:pPr>
              <w:jc w:val="right"/>
            </w:pPr>
            <w:r>
              <w:rPr>
                <w:sz w:val="24"/>
              </w:rPr>
              <w:t>2.17</w:t>
            </w:r>
          </w:p>
        </w:tc>
      </w:tr>
      <w:tr>
        <w:tc>
          <w:tcPr>
            <w:vAlign w:val="center"/>
          </w:tcPr>
          <w:p>
            <w:pPr>
              <w:jc w:val="center"/>
            </w:pPr>
            <w:r>
              <w:rPr>
                <w:sz w:val="24"/>
              </w:rPr>
              <w:t>17</w:t>
            </w:r>
          </w:p>
        </w:tc>
        <w:tc>
          <w:tcPr>
            <w:vAlign w:val="center"/>
          </w:tcPr>
          <w:p>
            <w:pPr>
              <w:jc w:val="center"/>
            </w:pPr>
            <w:r>
              <w:rPr>
                <w:sz w:val="24"/>
              </w:rPr>
              <w:t>601009</w:t>
            </w:r>
          </w:p>
        </w:tc>
        <w:tc>
          <w:tcPr>
            <w:vAlign w:val="center"/>
          </w:tcPr>
          <w:p>
            <w:pPr>
              <w:jc w:val="center"/>
            </w:pPr>
            <w:r>
              <w:rPr>
                <w:sz w:val="24"/>
              </w:rPr>
              <w:t>南京银行</w:t>
            </w:r>
          </w:p>
        </w:tc>
        <w:tc>
          <w:tcPr>
            <w:vAlign w:val="center"/>
          </w:tcPr>
          <w:p>
            <w:pPr>
              <w:jc w:val="right"/>
            </w:pPr>
            <w:r>
              <w:rPr>
                <w:sz w:val="24"/>
              </w:rPr>
              <w:t>7,055,000.00</w:t>
            </w:r>
          </w:p>
        </w:tc>
        <w:tc>
          <w:tcPr>
            <w:vAlign w:val="center"/>
          </w:tcPr>
          <w:p>
            <w:pPr>
              <w:jc w:val="right"/>
            </w:pPr>
            <w:r>
              <w:rPr>
                <w:sz w:val="24"/>
              </w:rPr>
              <w:t>2.10</w:t>
            </w:r>
          </w:p>
        </w:tc>
      </w:tr>
      <w:tr>
        <w:tc>
          <w:tcPr>
            <w:vAlign w:val="center"/>
          </w:tcPr>
          <w:p>
            <w:pPr>
              <w:jc w:val="center"/>
            </w:pPr>
            <w:r>
              <w:rPr>
                <w:sz w:val="24"/>
              </w:rPr>
              <w:t>18</w:t>
            </w:r>
          </w:p>
        </w:tc>
        <w:tc>
          <w:tcPr>
            <w:vAlign w:val="center"/>
          </w:tcPr>
          <w:p>
            <w:pPr>
              <w:jc w:val="center"/>
            </w:pPr>
            <w:r>
              <w:rPr>
                <w:sz w:val="24"/>
              </w:rPr>
              <w:t>002739</w:t>
            </w:r>
          </w:p>
        </w:tc>
        <w:tc>
          <w:tcPr>
            <w:vAlign w:val="center"/>
          </w:tcPr>
          <w:p>
            <w:pPr>
              <w:jc w:val="center"/>
            </w:pPr>
            <w:r>
              <w:rPr>
                <w:sz w:val="24"/>
              </w:rPr>
              <w:t>万达电影</w:t>
            </w:r>
          </w:p>
        </w:tc>
        <w:tc>
          <w:tcPr>
            <w:vAlign w:val="center"/>
          </w:tcPr>
          <w:p>
            <w:pPr>
              <w:jc w:val="right"/>
            </w:pPr>
            <w:r>
              <w:rPr>
                <w:sz w:val="24"/>
              </w:rPr>
              <w:t>6,694,718.10</w:t>
            </w:r>
          </w:p>
        </w:tc>
        <w:tc>
          <w:tcPr>
            <w:vAlign w:val="center"/>
          </w:tcPr>
          <w:p>
            <w:pPr>
              <w:jc w:val="right"/>
            </w:pPr>
            <w:r>
              <w:rPr>
                <w:sz w:val="24"/>
              </w:rPr>
              <w:t>2.00</w:t>
            </w:r>
          </w:p>
        </w:tc>
      </w:tr>
      <w:tr>
        <w:tc>
          <w:tcPr>
            <w:vAlign w:val="center"/>
          </w:tcPr>
          <w:p>
            <w:pPr>
              <w:jc w:val="center"/>
            </w:pPr>
            <w:r>
              <w:rPr>
                <w:sz w:val="24"/>
              </w:rPr>
              <w:t>19</w:t>
            </w:r>
          </w:p>
        </w:tc>
        <w:tc>
          <w:tcPr>
            <w:vAlign w:val="center"/>
          </w:tcPr>
          <w:p>
            <w:pPr>
              <w:jc w:val="center"/>
            </w:pPr>
            <w:r>
              <w:rPr>
                <w:sz w:val="24"/>
              </w:rPr>
              <w:t>300365</w:t>
            </w:r>
          </w:p>
        </w:tc>
        <w:tc>
          <w:tcPr>
            <w:vAlign w:val="center"/>
          </w:tcPr>
          <w:p>
            <w:pPr>
              <w:jc w:val="center"/>
            </w:pPr>
            <w:r>
              <w:rPr>
                <w:sz w:val="24"/>
              </w:rPr>
              <w:t>恒华科技</w:t>
            </w:r>
          </w:p>
        </w:tc>
        <w:tc>
          <w:tcPr>
            <w:vAlign w:val="center"/>
          </w:tcPr>
          <w:p>
            <w:pPr>
              <w:jc w:val="right"/>
            </w:pPr>
            <w:r>
              <w:rPr>
                <w:sz w:val="24"/>
              </w:rPr>
              <w:t>6,633,499.00</w:t>
            </w:r>
          </w:p>
        </w:tc>
        <w:tc>
          <w:tcPr>
            <w:vAlign w:val="center"/>
          </w:tcPr>
          <w:p>
            <w:pPr>
              <w:jc w:val="right"/>
            </w:pPr>
            <w:r>
              <w:rPr>
                <w:sz w:val="24"/>
              </w:rPr>
              <w:t>1.98</w:t>
            </w:r>
          </w:p>
        </w:tc>
      </w:tr>
      <w:tr>
        <w:tc>
          <w:tcPr>
            <w:vAlign w:val="center"/>
          </w:tcPr>
          <w:p>
            <w:pPr>
              <w:jc w:val="center"/>
            </w:pPr>
            <w:r>
              <w:rPr>
                <w:sz w:val="24"/>
              </w:rPr>
              <w:t>20</w:t>
            </w:r>
          </w:p>
        </w:tc>
        <w:tc>
          <w:tcPr>
            <w:vAlign w:val="center"/>
          </w:tcPr>
          <w:p>
            <w:pPr>
              <w:jc w:val="center"/>
            </w:pPr>
            <w:r>
              <w:rPr>
                <w:sz w:val="24"/>
              </w:rPr>
              <w:t>601006</w:t>
            </w:r>
          </w:p>
        </w:tc>
        <w:tc>
          <w:tcPr>
            <w:vAlign w:val="center"/>
          </w:tcPr>
          <w:p>
            <w:pPr>
              <w:jc w:val="center"/>
            </w:pPr>
            <w:r>
              <w:rPr>
                <w:sz w:val="24"/>
              </w:rPr>
              <w:t>大秦铁路</w:t>
            </w:r>
          </w:p>
        </w:tc>
        <w:tc>
          <w:tcPr>
            <w:vAlign w:val="center"/>
          </w:tcPr>
          <w:p>
            <w:pPr>
              <w:jc w:val="right"/>
            </w:pPr>
            <w:r>
              <w:rPr>
                <w:sz w:val="24"/>
              </w:rPr>
              <w:t>6,496,000.00</w:t>
            </w:r>
          </w:p>
        </w:tc>
        <w:tc>
          <w:tcPr>
            <w:vAlign w:val="center"/>
          </w:tcPr>
          <w:p>
            <w:pPr>
              <w:jc w:val="right"/>
            </w:pPr>
            <w:r>
              <w:rPr>
                <w:sz w:val="24"/>
              </w:rPr>
              <w:t>1.94</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601336</w:t>
            </w:r>
          </w:p>
        </w:tc>
        <w:tc>
          <w:tcPr>
            <w:vAlign w:val="center"/>
          </w:tcPr>
          <w:p>
            <w:pPr>
              <w:jc w:val="center"/>
            </w:pPr>
            <w:r>
              <w:rPr>
                <w:rFonts w:ascii="Times New Roman" w:hAnsi="Times New Roman"/>
                <w:kern w:val="2"/>
              </w:rPr>
              <w:t>新华保险</w:t>
            </w:r>
          </w:p>
        </w:tc>
        <w:tc>
          <w:tcPr>
            <w:vAlign w:val="center"/>
          </w:tcPr>
          <w:p>
            <w:pPr>
              <w:jc w:val="right"/>
            </w:pPr>
            <w:r>
              <w:rPr>
                <w:rFonts w:ascii="Times New Roman" w:hAnsi="Times New Roman"/>
                <w:kern w:val="2"/>
              </w:rPr>
              <w:t>15,614,173.00</w:t>
            </w:r>
          </w:p>
        </w:tc>
        <w:tc>
          <w:tcPr>
            <w:vAlign w:val="center"/>
          </w:tcPr>
          <w:p>
            <w:pPr>
              <w:jc w:val="right"/>
            </w:pPr>
            <w:r>
              <w:rPr>
                <w:rFonts w:ascii="Times New Roman" w:hAnsi="Times New Roman"/>
                <w:kern w:val="2"/>
              </w:rPr>
              <w:t>4.65</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13,767,966.80</w:t>
            </w:r>
          </w:p>
        </w:tc>
        <w:tc>
          <w:tcPr>
            <w:vAlign w:val="center"/>
          </w:tcPr>
          <w:p>
            <w:pPr>
              <w:jc w:val="right"/>
            </w:pPr>
            <w:r>
              <w:rPr>
                <w:rFonts w:ascii="Times New Roman" w:hAnsi="Times New Roman"/>
                <w:kern w:val="2"/>
              </w:rPr>
              <w:t>4.10</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601766</w:t>
            </w:r>
          </w:p>
        </w:tc>
        <w:tc>
          <w:tcPr>
            <w:vAlign w:val="center"/>
          </w:tcPr>
          <w:p>
            <w:pPr>
              <w:jc w:val="center"/>
            </w:pPr>
            <w:r>
              <w:rPr>
                <w:rFonts w:ascii="Times New Roman" w:hAnsi="Times New Roman"/>
                <w:kern w:val="2"/>
              </w:rPr>
              <w:t>中国中车</w:t>
            </w:r>
          </w:p>
        </w:tc>
        <w:tc>
          <w:tcPr>
            <w:vAlign w:val="center"/>
          </w:tcPr>
          <w:p>
            <w:pPr>
              <w:jc w:val="right"/>
            </w:pPr>
            <w:r>
              <w:rPr>
                <w:rFonts w:ascii="Times New Roman" w:hAnsi="Times New Roman"/>
                <w:kern w:val="2"/>
              </w:rPr>
              <w:t>13,294,124.00</w:t>
            </w:r>
          </w:p>
        </w:tc>
        <w:tc>
          <w:tcPr>
            <w:vAlign w:val="center"/>
          </w:tcPr>
          <w:p>
            <w:pPr>
              <w:jc w:val="right"/>
            </w:pPr>
            <w:r>
              <w:rPr>
                <w:rFonts w:ascii="Times New Roman" w:hAnsi="Times New Roman"/>
                <w:kern w:val="2"/>
              </w:rPr>
              <w:t>3.96</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600340</w:t>
            </w:r>
          </w:p>
        </w:tc>
        <w:tc>
          <w:tcPr>
            <w:vAlign w:val="center"/>
          </w:tcPr>
          <w:p>
            <w:pPr>
              <w:jc w:val="center"/>
            </w:pPr>
            <w:r>
              <w:rPr>
                <w:rFonts w:ascii="Times New Roman" w:hAnsi="Times New Roman"/>
                <w:kern w:val="2"/>
              </w:rPr>
              <w:t>华夏幸福</w:t>
            </w:r>
          </w:p>
        </w:tc>
        <w:tc>
          <w:tcPr>
            <w:vAlign w:val="center"/>
          </w:tcPr>
          <w:p>
            <w:pPr>
              <w:jc w:val="right"/>
            </w:pPr>
            <w:r>
              <w:rPr>
                <w:rFonts w:ascii="Times New Roman" w:hAnsi="Times New Roman"/>
                <w:kern w:val="2"/>
              </w:rPr>
              <w:t>12,803,209.52</w:t>
            </w:r>
          </w:p>
        </w:tc>
        <w:tc>
          <w:tcPr>
            <w:vAlign w:val="center"/>
          </w:tcPr>
          <w:p>
            <w:pPr>
              <w:jc w:val="right"/>
            </w:pPr>
            <w:r>
              <w:rPr>
                <w:rFonts w:ascii="Times New Roman" w:hAnsi="Times New Roman"/>
                <w:kern w:val="2"/>
              </w:rPr>
              <w:t>3.82</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601288</w:t>
            </w:r>
          </w:p>
        </w:tc>
        <w:tc>
          <w:tcPr>
            <w:vAlign w:val="center"/>
          </w:tcPr>
          <w:p>
            <w:pPr>
              <w:jc w:val="center"/>
            </w:pPr>
            <w:r>
              <w:rPr>
                <w:rFonts w:ascii="Times New Roman" w:hAnsi="Times New Roman"/>
                <w:kern w:val="2"/>
              </w:rPr>
              <w:t>农业银行</w:t>
            </w:r>
          </w:p>
        </w:tc>
        <w:tc>
          <w:tcPr>
            <w:vAlign w:val="center"/>
          </w:tcPr>
          <w:p>
            <w:pPr>
              <w:jc w:val="right"/>
            </w:pPr>
            <w:r>
              <w:rPr>
                <w:rFonts w:ascii="Times New Roman" w:hAnsi="Times New Roman"/>
                <w:kern w:val="2"/>
              </w:rPr>
              <w:t>11,090,000.00</w:t>
            </w:r>
          </w:p>
        </w:tc>
        <w:tc>
          <w:tcPr>
            <w:vAlign w:val="center"/>
          </w:tcPr>
          <w:p>
            <w:pPr>
              <w:jc w:val="right"/>
            </w:pPr>
            <w:r>
              <w:rPr>
                <w:rFonts w:ascii="Times New Roman" w:hAnsi="Times New Roman"/>
                <w:kern w:val="2"/>
              </w:rPr>
              <w:t>3.31</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300579</w:t>
            </w:r>
          </w:p>
        </w:tc>
        <w:tc>
          <w:tcPr>
            <w:vAlign w:val="center"/>
          </w:tcPr>
          <w:p>
            <w:pPr>
              <w:jc w:val="center"/>
            </w:pPr>
            <w:r>
              <w:rPr>
                <w:rFonts w:ascii="Times New Roman" w:hAnsi="Times New Roman"/>
                <w:kern w:val="2"/>
              </w:rPr>
              <w:t>数字认证</w:t>
            </w:r>
          </w:p>
        </w:tc>
        <w:tc>
          <w:tcPr>
            <w:vAlign w:val="center"/>
          </w:tcPr>
          <w:p>
            <w:pPr>
              <w:jc w:val="right"/>
            </w:pPr>
            <w:r>
              <w:rPr>
                <w:rFonts w:ascii="Times New Roman" w:hAnsi="Times New Roman"/>
                <w:kern w:val="2"/>
              </w:rPr>
              <w:t>10,519,594.30</w:t>
            </w:r>
          </w:p>
        </w:tc>
        <w:tc>
          <w:tcPr>
            <w:vAlign w:val="center"/>
          </w:tcPr>
          <w:p>
            <w:pPr>
              <w:jc w:val="right"/>
            </w:pPr>
            <w:r>
              <w:rPr>
                <w:rFonts w:ascii="Times New Roman" w:hAnsi="Times New Roman"/>
                <w:kern w:val="2"/>
              </w:rPr>
              <w:t>3.14</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600958</w:t>
            </w:r>
          </w:p>
        </w:tc>
        <w:tc>
          <w:tcPr>
            <w:vAlign w:val="center"/>
          </w:tcPr>
          <w:p>
            <w:pPr>
              <w:jc w:val="center"/>
            </w:pPr>
            <w:r>
              <w:rPr>
                <w:rFonts w:ascii="Times New Roman" w:hAnsi="Times New Roman"/>
                <w:kern w:val="2"/>
              </w:rPr>
              <w:t>东方证券</w:t>
            </w:r>
          </w:p>
        </w:tc>
        <w:tc>
          <w:tcPr>
            <w:vAlign w:val="center"/>
          </w:tcPr>
          <w:p>
            <w:pPr>
              <w:jc w:val="right"/>
            </w:pPr>
            <w:r>
              <w:rPr>
                <w:rFonts w:ascii="Times New Roman" w:hAnsi="Times New Roman"/>
                <w:kern w:val="2"/>
              </w:rPr>
              <w:t>10,066,639.00</w:t>
            </w:r>
          </w:p>
        </w:tc>
        <w:tc>
          <w:tcPr>
            <w:vAlign w:val="center"/>
          </w:tcPr>
          <w:p>
            <w:pPr>
              <w:jc w:val="right"/>
            </w:pPr>
            <w:r>
              <w:rPr>
                <w:rFonts w:ascii="Times New Roman" w:hAnsi="Times New Roman"/>
                <w:kern w:val="2"/>
              </w:rPr>
              <w:t>3.00</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601021</w:t>
            </w:r>
          </w:p>
        </w:tc>
        <w:tc>
          <w:tcPr>
            <w:vAlign w:val="center"/>
          </w:tcPr>
          <w:p>
            <w:pPr>
              <w:jc w:val="center"/>
            </w:pPr>
            <w:r>
              <w:rPr>
                <w:rFonts w:ascii="Times New Roman" w:hAnsi="Times New Roman"/>
                <w:kern w:val="2"/>
              </w:rPr>
              <w:t>春秋航空</w:t>
            </w:r>
          </w:p>
        </w:tc>
        <w:tc>
          <w:tcPr>
            <w:vAlign w:val="center"/>
          </w:tcPr>
          <w:p>
            <w:pPr>
              <w:jc w:val="right"/>
            </w:pPr>
            <w:r>
              <w:rPr>
                <w:rFonts w:ascii="Times New Roman" w:hAnsi="Times New Roman"/>
                <w:kern w:val="2"/>
              </w:rPr>
              <w:t>8,779,577.20</w:t>
            </w:r>
          </w:p>
        </w:tc>
        <w:tc>
          <w:tcPr>
            <w:vAlign w:val="center"/>
          </w:tcPr>
          <w:p>
            <w:pPr>
              <w:jc w:val="right"/>
            </w:pPr>
            <w:r>
              <w:rPr>
                <w:rFonts w:ascii="Times New Roman" w:hAnsi="Times New Roman"/>
                <w:kern w:val="2"/>
              </w:rPr>
              <w:t>2.62</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600196</w:t>
            </w:r>
          </w:p>
        </w:tc>
        <w:tc>
          <w:tcPr>
            <w:vAlign w:val="center"/>
          </w:tcPr>
          <w:p>
            <w:pPr>
              <w:jc w:val="center"/>
            </w:pPr>
            <w:r>
              <w:rPr>
                <w:rFonts w:ascii="Times New Roman" w:hAnsi="Times New Roman"/>
                <w:kern w:val="2"/>
              </w:rPr>
              <w:t>复星医药</w:t>
            </w:r>
          </w:p>
        </w:tc>
        <w:tc>
          <w:tcPr>
            <w:vAlign w:val="center"/>
          </w:tcPr>
          <w:p>
            <w:pPr>
              <w:jc w:val="right"/>
            </w:pPr>
            <w:r>
              <w:rPr>
                <w:rFonts w:ascii="Times New Roman" w:hAnsi="Times New Roman"/>
                <w:kern w:val="2"/>
              </w:rPr>
              <w:t>8,714,762.80</w:t>
            </w:r>
          </w:p>
        </w:tc>
        <w:tc>
          <w:tcPr>
            <w:vAlign w:val="center"/>
          </w:tcPr>
          <w:p>
            <w:pPr>
              <w:jc w:val="right"/>
            </w:pPr>
            <w:r>
              <w:rPr>
                <w:rFonts w:ascii="Times New Roman" w:hAnsi="Times New Roman"/>
                <w:kern w:val="2"/>
              </w:rPr>
              <w:t>2.60</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600585</w:t>
            </w:r>
          </w:p>
        </w:tc>
        <w:tc>
          <w:tcPr>
            <w:vAlign w:val="center"/>
          </w:tcPr>
          <w:p>
            <w:pPr>
              <w:jc w:val="center"/>
            </w:pPr>
            <w:r>
              <w:rPr>
                <w:rFonts w:ascii="Times New Roman" w:hAnsi="Times New Roman"/>
                <w:kern w:val="2"/>
              </w:rPr>
              <w:t>海螺水泥</w:t>
            </w:r>
          </w:p>
        </w:tc>
        <w:tc>
          <w:tcPr>
            <w:vAlign w:val="center"/>
          </w:tcPr>
          <w:p>
            <w:pPr>
              <w:jc w:val="right"/>
            </w:pPr>
            <w:r>
              <w:rPr>
                <w:rFonts w:ascii="Times New Roman" w:hAnsi="Times New Roman"/>
                <w:kern w:val="2"/>
              </w:rPr>
              <w:t>8,664,524.53</w:t>
            </w:r>
          </w:p>
        </w:tc>
        <w:tc>
          <w:tcPr>
            <w:vAlign w:val="center"/>
          </w:tcPr>
          <w:p>
            <w:pPr>
              <w:jc w:val="right"/>
            </w:pPr>
            <w:r>
              <w:rPr>
                <w:rFonts w:ascii="Times New Roman" w:hAnsi="Times New Roman"/>
                <w:kern w:val="2"/>
              </w:rPr>
              <w:t>2.58</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000651</w:t>
            </w:r>
          </w:p>
        </w:tc>
        <w:tc>
          <w:tcPr>
            <w:vAlign w:val="center"/>
          </w:tcPr>
          <w:p>
            <w:pPr>
              <w:jc w:val="center"/>
            </w:pPr>
            <w:r>
              <w:rPr>
                <w:rFonts w:ascii="Times New Roman" w:hAnsi="Times New Roman"/>
                <w:kern w:val="2"/>
              </w:rPr>
              <w:t>格力电器</w:t>
            </w:r>
          </w:p>
        </w:tc>
        <w:tc>
          <w:tcPr>
            <w:vAlign w:val="center"/>
          </w:tcPr>
          <w:p>
            <w:pPr>
              <w:jc w:val="right"/>
            </w:pPr>
            <w:r>
              <w:rPr>
                <w:rFonts w:ascii="Times New Roman" w:hAnsi="Times New Roman"/>
                <w:kern w:val="2"/>
              </w:rPr>
              <w:t>8,011,047.29</w:t>
            </w:r>
          </w:p>
        </w:tc>
        <w:tc>
          <w:tcPr>
            <w:vAlign w:val="center"/>
          </w:tcPr>
          <w:p>
            <w:pPr>
              <w:jc w:val="right"/>
            </w:pPr>
            <w:r>
              <w:rPr>
                <w:rFonts w:ascii="Times New Roman" w:hAnsi="Times New Roman"/>
                <w:kern w:val="2"/>
              </w:rPr>
              <w:t>2.39</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601186</w:t>
            </w:r>
          </w:p>
        </w:tc>
        <w:tc>
          <w:tcPr>
            <w:vAlign w:val="center"/>
          </w:tcPr>
          <w:p>
            <w:pPr>
              <w:jc w:val="center"/>
            </w:pPr>
            <w:r>
              <w:rPr>
                <w:rFonts w:ascii="Times New Roman" w:hAnsi="Times New Roman"/>
                <w:kern w:val="2"/>
              </w:rPr>
              <w:t>中国铁建</w:t>
            </w:r>
          </w:p>
        </w:tc>
        <w:tc>
          <w:tcPr>
            <w:vAlign w:val="center"/>
          </w:tcPr>
          <w:p>
            <w:pPr>
              <w:jc w:val="right"/>
            </w:pPr>
            <w:r>
              <w:rPr>
                <w:rFonts w:ascii="Times New Roman" w:hAnsi="Times New Roman"/>
                <w:kern w:val="2"/>
              </w:rPr>
              <w:t>7,972,509.99</w:t>
            </w:r>
          </w:p>
        </w:tc>
        <w:tc>
          <w:tcPr>
            <w:vAlign w:val="center"/>
          </w:tcPr>
          <w:p>
            <w:pPr>
              <w:jc w:val="right"/>
            </w:pPr>
            <w:r>
              <w:rPr>
                <w:rFonts w:ascii="Times New Roman" w:hAnsi="Times New Roman"/>
                <w:kern w:val="2"/>
              </w:rPr>
              <w:t>2.38</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7,487,587.00</w:t>
            </w:r>
          </w:p>
        </w:tc>
        <w:tc>
          <w:tcPr>
            <w:vAlign w:val="center"/>
          </w:tcPr>
          <w:p>
            <w:pPr>
              <w:jc w:val="right"/>
            </w:pPr>
            <w:r>
              <w:rPr>
                <w:rFonts w:ascii="Times New Roman" w:hAnsi="Times New Roman"/>
                <w:kern w:val="2"/>
              </w:rPr>
              <w:t>2.23</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000625</w:t>
            </w:r>
          </w:p>
        </w:tc>
        <w:tc>
          <w:tcPr>
            <w:vAlign w:val="center"/>
          </w:tcPr>
          <w:p>
            <w:pPr>
              <w:jc w:val="center"/>
            </w:pPr>
            <w:r>
              <w:rPr>
                <w:rFonts w:ascii="Times New Roman" w:hAnsi="Times New Roman"/>
                <w:kern w:val="2"/>
              </w:rPr>
              <w:t>长安汽车</w:t>
            </w:r>
          </w:p>
        </w:tc>
        <w:tc>
          <w:tcPr>
            <w:vAlign w:val="center"/>
          </w:tcPr>
          <w:p>
            <w:pPr>
              <w:jc w:val="right"/>
            </w:pPr>
            <w:r>
              <w:rPr>
                <w:rFonts w:ascii="Times New Roman" w:hAnsi="Times New Roman"/>
                <w:kern w:val="2"/>
              </w:rPr>
              <w:t>7,378,153.00</w:t>
            </w:r>
          </w:p>
        </w:tc>
        <w:tc>
          <w:tcPr>
            <w:vAlign w:val="center"/>
          </w:tcPr>
          <w:p>
            <w:pPr>
              <w:jc w:val="right"/>
            </w:pPr>
            <w:r>
              <w:rPr>
                <w:rFonts w:ascii="Times New Roman" w:hAnsi="Times New Roman"/>
                <w:kern w:val="2"/>
              </w:rPr>
              <w:t>2.20</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002415</w:t>
            </w:r>
          </w:p>
        </w:tc>
        <w:tc>
          <w:tcPr>
            <w:vAlign w:val="center"/>
          </w:tcPr>
          <w:p>
            <w:pPr>
              <w:jc w:val="center"/>
            </w:pPr>
            <w:r>
              <w:rPr>
                <w:rFonts w:ascii="Times New Roman" w:hAnsi="Times New Roman"/>
                <w:kern w:val="2"/>
              </w:rPr>
              <w:t>海康威视</w:t>
            </w:r>
          </w:p>
        </w:tc>
        <w:tc>
          <w:tcPr>
            <w:vAlign w:val="center"/>
          </w:tcPr>
          <w:p>
            <w:pPr>
              <w:jc w:val="right"/>
            </w:pPr>
            <w:r>
              <w:rPr>
                <w:rFonts w:ascii="Times New Roman" w:hAnsi="Times New Roman"/>
                <w:kern w:val="2"/>
              </w:rPr>
              <w:t>7,312,034.36</w:t>
            </w:r>
          </w:p>
        </w:tc>
        <w:tc>
          <w:tcPr>
            <w:vAlign w:val="center"/>
          </w:tcPr>
          <w:p>
            <w:pPr>
              <w:jc w:val="right"/>
            </w:pPr>
            <w:r>
              <w:rPr>
                <w:rFonts w:ascii="Times New Roman" w:hAnsi="Times New Roman"/>
                <w:kern w:val="2"/>
              </w:rPr>
              <w:t>2.18</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600519</w:t>
            </w:r>
          </w:p>
        </w:tc>
        <w:tc>
          <w:tcPr>
            <w:vAlign w:val="center"/>
          </w:tcPr>
          <w:p>
            <w:pPr>
              <w:jc w:val="center"/>
            </w:pPr>
            <w:r>
              <w:rPr>
                <w:rFonts w:ascii="Times New Roman" w:hAnsi="Times New Roman"/>
                <w:kern w:val="2"/>
              </w:rPr>
              <w:t>贵州茅台</w:t>
            </w:r>
          </w:p>
        </w:tc>
        <w:tc>
          <w:tcPr>
            <w:vAlign w:val="center"/>
          </w:tcPr>
          <w:p>
            <w:pPr>
              <w:jc w:val="right"/>
            </w:pPr>
            <w:r>
              <w:rPr>
                <w:rFonts w:ascii="Times New Roman" w:hAnsi="Times New Roman"/>
                <w:kern w:val="2"/>
              </w:rPr>
              <w:t>7,234,255.00</w:t>
            </w:r>
          </w:p>
        </w:tc>
        <w:tc>
          <w:tcPr>
            <w:vAlign w:val="center"/>
          </w:tcPr>
          <w:p>
            <w:pPr>
              <w:jc w:val="right"/>
            </w:pPr>
            <w:r>
              <w:rPr>
                <w:rFonts w:ascii="Times New Roman" w:hAnsi="Times New Roman"/>
                <w:kern w:val="2"/>
              </w:rPr>
              <w:t>2.16</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601009</w:t>
            </w:r>
          </w:p>
        </w:tc>
        <w:tc>
          <w:tcPr>
            <w:vAlign w:val="center"/>
          </w:tcPr>
          <w:p>
            <w:pPr>
              <w:jc w:val="center"/>
            </w:pPr>
            <w:r>
              <w:rPr>
                <w:rFonts w:ascii="Times New Roman" w:hAnsi="Times New Roman"/>
                <w:kern w:val="2"/>
              </w:rPr>
              <w:t>南京银行</w:t>
            </w:r>
          </w:p>
        </w:tc>
        <w:tc>
          <w:tcPr>
            <w:vAlign w:val="center"/>
          </w:tcPr>
          <w:p>
            <w:pPr>
              <w:jc w:val="right"/>
            </w:pPr>
            <w:r>
              <w:rPr>
                <w:rFonts w:ascii="Times New Roman" w:hAnsi="Times New Roman"/>
                <w:kern w:val="2"/>
              </w:rPr>
              <w:t>7,093,201.00</w:t>
            </w:r>
          </w:p>
        </w:tc>
        <w:tc>
          <w:tcPr>
            <w:vAlign w:val="center"/>
          </w:tcPr>
          <w:p>
            <w:pPr>
              <w:jc w:val="right"/>
            </w:pPr>
            <w:r>
              <w:rPr>
                <w:rFonts w:ascii="Times New Roman" w:hAnsi="Times New Roman"/>
                <w:kern w:val="2"/>
              </w:rPr>
              <w:t>2.11</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603707</w:t>
            </w:r>
          </w:p>
        </w:tc>
        <w:tc>
          <w:tcPr>
            <w:vAlign w:val="center"/>
          </w:tcPr>
          <w:p>
            <w:pPr>
              <w:jc w:val="center"/>
            </w:pPr>
            <w:r>
              <w:rPr>
                <w:rFonts w:ascii="Times New Roman" w:hAnsi="Times New Roman"/>
                <w:kern w:val="2"/>
              </w:rPr>
              <w:t>健友股份</w:t>
            </w:r>
          </w:p>
        </w:tc>
        <w:tc>
          <w:tcPr>
            <w:vAlign w:val="center"/>
          </w:tcPr>
          <w:p>
            <w:pPr>
              <w:jc w:val="right"/>
            </w:pPr>
            <w:r>
              <w:rPr>
                <w:rFonts w:ascii="Times New Roman" w:hAnsi="Times New Roman"/>
                <w:kern w:val="2"/>
              </w:rPr>
              <w:t>7,052,537.40</w:t>
            </w:r>
          </w:p>
        </w:tc>
        <w:tc>
          <w:tcPr>
            <w:vAlign w:val="center"/>
          </w:tcPr>
          <w:p>
            <w:pPr>
              <w:jc w:val="right"/>
            </w:pPr>
            <w:r>
              <w:rPr>
                <w:rFonts w:ascii="Times New Roman" w:hAnsi="Times New Roman"/>
                <w:kern w:val="2"/>
              </w:rPr>
              <w:t>2.10</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601006</w:t>
            </w:r>
          </w:p>
        </w:tc>
        <w:tc>
          <w:tcPr>
            <w:vAlign w:val="center"/>
          </w:tcPr>
          <w:p>
            <w:pPr>
              <w:jc w:val="center"/>
            </w:pPr>
            <w:r>
              <w:rPr>
                <w:rFonts w:ascii="Times New Roman" w:hAnsi="Times New Roman"/>
                <w:kern w:val="2"/>
              </w:rPr>
              <w:t>大秦铁路</w:t>
            </w:r>
          </w:p>
        </w:tc>
        <w:tc>
          <w:tcPr>
            <w:vAlign w:val="center"/>
          </w:tcPr>
          <w:p>
            <w:pPr>
              <w:jc w:val="right"/>
            </w:pPr>
            <w:r>
              <w:rPr>
                <w:rFonts w:ascii="Times New Roman" w:hAnsi="Times New Roman"/>
                <w:kern w:val="2"/>
              </w:rPr>
              <w:t>7,028,477.01</w:t>
            </w:r>
          </w:p>
        </w:tc>
        <w:tc>
          <w:tcPr>
            <w:vAlign w:val="center"/>
          </w:tcPr>
          <w:p>
            <w:pPr>
              <w:jc w:val="right"/>
            </w:pPr>
            <w:r>
              <w:rPr>
                <w:rFonts w:ascii="Times New Roman" w:hAnsi="Times New Roman"/>
                <w:kern w:val="2"/>
              </w:rPr>
              <w:t>2.09</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000001</w:t>
            </w:r>
          </w:p>
        </w:tc>
        <w:tc>
          <w:tcPr>
            <w:vAlign w:val="center"/>
          </w:tcPr>
          <w:p>
            <w:pPr>
              <w:jc w:val="center"/>
            </w:pPr>
            <w:r>
              <w:rPr>
                <w:rFonts w:ascii="Times New Roman" w:hAnsi="Times New Roman"/>
                <w:kern w:val="2"/>
              </w:rPr>
              <w:t>平安银行</w:t>
            </w:r>
          </w:p>
        </w:tc>
        <w:tc>
          <w:tcPr>
            <w:vAlign w:val="center"/>
          </w:tcPr>
          <w:p>
            <w:pPr>
              <w:jc w:val="right"/>
            </w:pPr>
            <w:r>
              <w:rPr>
                <w:rFonts w:ascii="Times New Roman" w:hAnsi="Times New Roman"/>
                <w:kern w:val="2"/>
              </w:rPr>
              <w:t>6,450,586.00</w:t>
            </w:r>
          </w:p>
        </w:tc>
        <w:tc>
          <w:tcPr>
            <w:vAlign w:val="center"/>
          </w:tcPr>
          <w:p>
            <w:pPr>
              <w:jc w:val="right"/>
            </w:pPr>
            <w:r>
              <w:rPr>
                <w:rFonts w:ascii="Times New Roman" w:hAnsi="Times New Roman"/>
                <w:kern w:val="2"/>
              </w:rPr>
              <w:t>1.92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524,248,846.68</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590,417,400.34</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499,600.00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0.38</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499,600.00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0.38</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019611</w:t>
            </w:r>
          </w:p>
        </w:tc>
        <w:tc>
          <w:tcPr>
            <w:vAlign w:val="center"/>
          </w:tcPr>
          <w:p>
            <w:pPr>
              <w:jc w:val="center"/>
            </w:pPr>
            <w:r>
              <w:rPr>
                <w:color w:val="000000"/>
                <w:sz w:val="24"/>
              </w:rPr>
              <w:t>19国债01</w:t>
            </w:r>
          </w:p>
        </w:tc>
        <w:tc>
          <w:tcPr>
            <w:vAlign w:val="center"/>
          </w:tcPr>
          <w:p>
            <w:pPr>
              <w:jc w:val="right"/>
            </w:pPr>
            <w:r>
              <w:rPr>
                <w:color w:val="000000"/>
                <w:sz w:val="24"/>
              </w:rPr>
              <w:t>5,000</w:t>
            </w:r>
          </w:p>
        </w:tc>
        <w:tc>
          <w:tcPr>
            <w:vAlign w:val="center"/>
          </w:tcPr>
          <w:p>
            <w:pPr>
              <w:jc w:val="right"/>
            </w:pPr>
            <w:r>
              <w:rPr>
                <w:color w:val="000000"/>
                <w:sz w:val="24"/>
              </w:rPr>
              <w:t>499,600.00</w:t>
            </w:r>
          </w:p>
        </w:tc>
        <w:tc>
          <w:tcPr>
            <w:vAlign w:val="center"/>
          </w:tcPr>
          <w:p>
            <w:pPr>
              <w:jc w:val="right"/>
            </w:pPr>
            <w:r>
              <w:rPr>
                <w:color w:val="000000"/>
                <w:sz w:val="24"/>
              </w:rPr>
              <w:t>0.38</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341,009.56</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2,393,617.57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28,126.72</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6,276.83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164,375.67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2,933,406.35</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3,708</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3,708</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28,403.94</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105,321,802.76</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100.00%</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1,298,437.18</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1.23%</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&gt;100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2018年9月27日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364,241,070.86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338,152,944.00</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37,581,490.69</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270,412,631.93</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105,321,802.76</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报告期内，经中信银行股份有限公司董事会会议审议通过，聘任方合英先生为中信银行行长，任职资格于2019年3月29日获中国银行保险监督管理委员批复核准。孙德顺先生因年龄原因不再担任执行董事、行长等职务。根据工作需要，任命杨璋琪先生担任资产托管部副总经理，主持资产托管部相关工作。</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中泰证券股份有限公司</w:t>
            </w:r>
          </w:p>
        </w:tc>
        <w:tc>
          <w:tcPr>
            <w:vAlign w:val="center"/>
          </w:tcPr>
          <w:p>
            <w:pPr>
              <w:jc w:val="center"/>
            </w:pPr>
            <w:r>
              <w:rPr>
                <w:color w:val="000000"/>
                <w:sz w:val="24"/>
              </w:rPr>
              <w:t>3</w:t>
            </w:r>
          </w:p>
        </w:tc>
        <w:tc>
          <w:tcPr>
            <w:vAlign w:val="center"/>
          </w:tcPr>
          <w:p>
            <w:pPr>
              <w:jc w:val="right"/>
            </w:pPr>
            <w:r>
              <w:rPr>
                <w:color w:val="000000"/>
                <w:sz w:val="24"/>
              </w:rPr>
              <w:t>45,237,783.49</w:t>
            </w:r>
          </w:p>
        </w:tc>
        <w:tc>
          <w:tcPr>
            <w:vAlign w:val="center"/>
          </w:tcPr>
          <w:p>
            <w:pPr>
              <w:jc w:val="right"/>
            </w:pPr>
            <w:r>
              <w:rPr>
                <w:color w:val="000000"/>
                <w:sz w:val="24"/>
              </w:rPr>
              <w:t>4.06%</w:t>
            </w:r>
          </w:p>
        </w:tc>
        <w:tc>
          <w:tcPr>
            <w:vAlign w:val="center"/>
          </w:tcPr>
          <w:p>
            <w:pPr>
              <w:jc w:val="right"/>
            </w:pPr>
            <w:r>
              <w:rPr>
                <w:color w:val="000000"/>
                <w:sz w:val="24"/>
              </w:rPr>
              <w:t>42,129.96</w:t>
            </w:r>
          </w:p>
        </w:tc>
        <w:tc>
          <w:tcPr>
            <w:vAlign w:val="center"/>
          </w:tcPr>
          <w:p>
            <w:pPr>
              <w:jc w:val="right"/>
            </w:pPr>
            <w:r>
              <w:rPr>
                <w:color w:val="000000"/>
                <w:sz w:val="24"/>
              </w:rPr>
              <w:t>4.07%</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1,057,689,954.82</w:t>
            </w:r>
          </w:p>
        </w:tc>
        <w:tc>
          <w:tcPr>
            <w:vAlign w:val="center"/>
          </w:tcPr>
          <w:p>
            <w:pPr>
              <w:jc w:val="right"/>
            </w:pPr>
            <w:r>
              <w:rPr>
                <w:color w:val="000000"/>
                <w:sz w:val="24"/>
              </w:rPr>
              <w:t>95.02%</w:t>
            </w:r>
          </w:p>
        </w:tc>
        <w:tc>
          <w:tcPr>
            <w:vAlign w:val="center"/>
          </w:tcPr>
          <w:p>
            <w:pPr>
              <w:jc w:val="right"/>
            </w:pPr>
            <w:r>
              <w:rPr>
                <w:color w:val="000000"/>
                <w:sz w:val="24"/>
              </w:rPr>
              <w:t>982,277.97</w:t>
            </w:r>
          </w:p>
        </w:tc>
        <w:tc>
          <w:tcPr>
            <w:vAlign w:val="center"/>
          </w:tcPr>
          <w:p>
            <w:pPr>
              <w:jc w:val="right"/>
            </w:pPr>
            <w:r>
              <w:rPr>
                <w:color w:val="000000"/>
                <w:sz w:val="24"/>
              </w:rPr>
              <w:t>95.01%</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10,192,702.28</w:t>
            </w:r>
          </w:p>
        </w:tc>
        <w:tc>
          <w:tcPr>
            <w:vAlign w:val="center"/>
          </w:tcPr>
          <w:p>
            <w:pPr>
              <w:jc w:val="right"/>
            </w:pPr>
            <w:r>
              <w:rPr>
                <w:color w:val="000000"/>
                <w:sz w:val="24"/>
              </w:rPr>
              <w:t>0.92%</w:t>
            </w:r>
          </w:p>
        </w:tc>
        <w:tc>
          <w:tcPr>
            <w:vAlign w:val="center"/>
          </w:tcPr>
          <w:p>
            <w:pPr>
              <w:jc w:val="right"/>
            </w:pPr>
            <w:r>
              <w:rPr>
                <w:color w:val="000000"/>
                <w:sz w:val="24"/>
              </w:rPr>
              <w:t>9,492.45</w:t>
            </w:r>
          </w:p>
        </w:tc>
        <w:tc>
          <w:tcPr>
            <w:vAlign w:val="center"/>
          </w:tcPr>
          <w:p>
            <w:pPr>
              <w:jc w:val="right"/>
            </w:pPr>
            <w:r>
              <w:rPr>
                <w:color w:val="000000"/>
                <w:sz w:val="24"/>
              </w:rPr>
              <w:t>0.92%</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安信证券股份有限公司</w:t>
            </w:r>
          </w:p>
        </w:tc>
        <w:tc>
          <w:tcPr>
            <w:vAlign w:val="center"/>
          </w:tcPr>
          <w:p>
            <w:pPr>
              <w:jc w:val="right"/>
            </w:pPr>
            <w:r>
              <w:rPr>
                <w:color w:val="000000"/>
                <w:sz w:val="24"/>
              </w:rPr>
              <w:t>1,381,507.96</w:t>
            </w:r>
          </w:p>
        </w:tc>
        <w:tc>
          <w:tcPr>
            <w:vAlign w:val="center"/>
          </w:tcPr>
          <w:p>
            <w:pPr>
              <w:jc w:val="right"/>
            </w:pPr>
            <w:r>
              <w:rPr>
                <w:color w:val="000000"/>
                <w:sz w:val="24"/>
              </w:rPr>
              <w:t>100.00%</w:t>
            </w:r>
          </w:p>
        </w:tc>
        <w:tc>
          <w:tcPr>
            <w:vAlign w:val="center"/>
          </w:tcPr>
          <w:p>
            <w:pPr>
              <w:jc w:val="right"/>
            </w:pPr>
            <w:r>
              <w:rPr>
                <w:color w:val="000000"/>
                <w:sz w:val="24"/>
              </w:rPr>
              <w:t>92,000,000.00</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注：1、报告期内，本基金新增加交易单元为国盛证券有限责任公司，其它交易单元未发生变化；</w:t>
      </w:r>
    </w:p>
    <w:p>
      <w:pPr>
        <w:autoSpaceDE w:val="0"/>
        <w:autoSpaceDN w:val="0"/>
        <w:adjustRightInd w:val="0"/>
        <w:spacing w:before="29" w:line="288" w:lineRule="auto"/>
        <w:jc w:val="left"/>
        <w:rPr>
          <w:color w:val="000000"/>
          <w:sz w:val="24"/>
        </w:rPr>
      </w:pPr>
      <w:r>
        <w:rPr>
          <w:color w:val="000000"/>
          <w:sz w:val="24"/>
        </w:rPr>
        <w:t>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交银施罗德创新成长混合型证券投资基金2019年半年度报告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