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交银施罗德恒益灵活配置混合型证券投资基金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中国农业银行股份有限公司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交银恒益灵活配置混合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004975</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004975</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2017年9月15日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中国农业银行股份有限公司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306,452,768.25</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本基金在有效控制投资风险的前提下，通过积极主动的投资管理，力争获取超越业绩比较基准的投资收益，追求基金资产的长期稳定增值。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沪深300指数收益率×40%+中证综合债券指数收益率×60%</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5,081,325.51</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13,695,395.84</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0.0990</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8.47%</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0.0236</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313,684,038.57</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1.0236</w:t>
            </w:r>
          </w:p>
        </w:tc>
      </w:tr>
    </w:tbl>
    <w:bookmarkEnd w:id="14"/>
    <w:bookmarkEnd w:id="15"/>
    <w:p>
      <w:pPr>
        <w:tabs>
          <w:tab w:pos="426" w:val="left"/>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rsidP="00AC6DDA" w:rsidR="001548F9" w:rsidRDefault="001548F9" w:rsidRPr="005C672D">
      <w:pPr>
        <w:tabs>
          <w:tab w:pos="426" w:val="left"/>
        </w:tabs>
        <w:spacing w:before="29" w:line="288" w:lineRule="auto"/>
        <w:jc w:val="left"/>
        <w:rPr>
          <w:kern w:val="0"/>
          <w:sz w:val="24"/>
        </w:rPr>
      </w:pPr>
      <w:r w:rsidRPr="005C672D">
        <w:rPr>
          <w:kern w:val="0"/>
          <w:sz w:val="24"/>
        </w:rPr>
        <w:t>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0.10%</w:t>
            </w:r>
          </w:p>
        </w:tc>
        <w:tc>
          <w:tcPr>
            <w:vAlign w:val="center"/>
          </w:tcPr>
          <w:p>
            <w:pPr>
              <w:jc w:val="center"/>
            </w:pPr>
            <w:r>
              <w:rPr>
                <w:color w:val="000000"/>
                <w:sz w:val="24"/>
              </w:rPr>
              <w:t>0.28%</w:t>
            </w:r>
          </w:p>
        </w:tc>
        <w:tc>
          <w:tcPr>
            <w:vAlign w:val="center"/>
          </w:tcPr>
          <w:p>
            <w:pPr>
              <w:jc w:val="center"/>
            </w:pPr>
            <w:r>
              <w:rPr>
                <w:color w:val="000000"/>
                <w:sz w:val="24"/>
              </w:rPr>
              <w:t>2.48%</w:t>
            </w:r>
          </w:p>
        </w:tc>
        <w:tc>
          <w:tcPr>
            <w:vAlign w:val="center"/>
          </w:tcPr>
          <w:p>
            <w:pPr>
              <w:jc w:val="center"/>
            </w:pPr>
            <w:r>
              <w:rPr>
                <w:color w:val="000000"/>
                <w:sz w:val="24"/>
              </w:rPr>
              <w:t>0.46%</w:t>
            </w:r>
          </w:p>
        </w:tc>
        <w:tc>
          <w:tcPr>
            <w:vAlign w:val="center"/>
          </w:tcPr>
          <w:p>
            <w:pPr>
              <w:jc w:val="center"/>
            </w:pPr>
            <w:r>
              <w:rPr>
                <w:color w:val="000000"/>
                <w:sz w:val="24"/>
              </w:rPr>
              <w:t>-2.38%</w:t>
            </w:r>
          </w:p>
        </w:tc>
        <w:tc>
          <w:tcPr>
            <w:vAlign w:val="center"/>
          </w:tcPr>
          <w:p>
            <w:pPr>
              <w:jc w:val="center"/>
            </w:pPr>
            <w:r>
              <w:rPr>
                <w:color w:val="000000"/>
                <w:sz w:val="24"/>
              </w:rPr>
              <w:t>-0.18%</w:t>
            </w:r>
          </w:p>
        </w:tc>
      </w:tr>
      <w:tr>
        <w:tc>
          <w:tcPr>
            <w:vAlign w:val="center"/>
          </w:tcPr>
          <w:p>
            <w:pPr>
              <w:jc w:val="left"/>
            </w:pPr>
            <w:r>
              <w:rPr>
                <w:color w:val="000000"/>
                <w:sz w:val="24"/>
              </w:rPr>
              <w:t>过去三个月</w:t>
            </w:r>
          </w:p>
        </w:tc>
        <w:tc>
          <w:tcPr>
            <w:vAlign w:val="center"/>
          </w:tcPr>
          <w:p>
            <w:pPr>
              <w:jc w:val="center"/>
            </w:pPr>
            <w:r>
              <w:rPr>
                <w:color w:val="000000"/>
                <w:sz w:val="24"/>
              </w:rPr>
              <w:t>-4.24%</w:t>
            </w:r>
          </w:p>
        </w:tc>
        <w:tc>
          <w:tcPr>
            <w:vAlign w:val="center"/>
          </w:tcPr>
          <w:p>
            <w:pPr>
              <w:jc w:val="center"/>
            </w:pPr>
            <w:r>
              <w:rPr>
                <w:color w:val="000000"/>
                <w:sz w:val="24"/>
              </w:rPr>
              <w:t>0.63%</w:t>
            </w:r>
          </w:p>
        </w:tc>
        <w:tc>
          <w:tcPr>
            <w:vAlign w:val="center"/>
          </w:tcPr>
          <w:p>
            <w:pPr>
              <w:jc w:val="center"/>
            </w:pPr>
            <w:r>
              <w:rPr>
                <w:color w:val="000000"/>
                <w:sz w:val="24"/>
              </w:rPr>
              <w:t>0.07%</w:t>
            </w:r>
          </w:p>
        </w:tc>
        <w:tc>
          <w:tcPr>
            <w:vAlign w:val="center"/>
          </w:tcPr>
          <w:p>
            <w:pPr>
              <w:jc w:val="center"/>
            </w:pPr>
            <w:r>
              <w:rPr>
                <w:color w:val="000000"/>
                <w:sz w:val="24"/>
              </w:rPr>
              <w:t>0.60%</w:t>
            </w:r>
          </w:p>
        </w:tc>
        <w:tc>
          <w:tcPr>
            <w:vAlign w:val="center"/>
          </w:tcPr>
          <w:p>
            <w:pPr>
              <w:jc w:val="center"/>
            </w:pPr>
            <w:r>
              <w:rPr>
                <w:color w:val="000000"/>
                <w:sz w:val="24"/>
              </w:rPr>
              <w:t>-4.31%</w:t>
            </w:r>
          </w:p>
        </w:tc>
        <w:tc>
          <w:tcPr>
            <w:vAlign w:val="center"/>
          </w:tcPr>
          <w:p>
            <w:pPr>
              <w:jc w:val="center"/>
            </w:pPr>
            <w:r>
              <w:rPr>
                <w:color w:val="000000"/>
                <w:sz w:val="24"/>
              </w:rPr>
              <w:t>0.03%</w:t>
            </w:r>
          </w:p>
        </w:tc>
      </w:tr>
      <w:tr>
        <w:tc>
          <w:tcPr>
            <w:vAlign w:val="center"/>
          </w:tcPr>
          <w:p>
            <w:pPr>
              <w:jc w:val="left"/>
            </w:pPr>
            <w:r>
              <w:rPr>
                <w:color w:val="000000"/>
                <w:sz w:val="24"/>
              </w:rPr>
              <w:t>过去六个月</w:t>
            </w:r>
          </w:p>
        </w:tc>
        <w:tc>
          <w:tcPr>
            <w:vAlign w:val="center"/>
          </w:tcPr>
          <w:p>
            <w:pPr>
              <w:jc w:val="center"/>
            </w:pPr>
            <w:r>
              <w:rPr>
                <w:color w:val="000000"/>
                <w:sz w:val="24"/>
              </w:rPr>
              <w:t>8.47%</w:t>
            </w:r>
          </w:p>
        </w:tc>
        <w:tc>
          <w:tcPr>
            <w:vAlign w:val="center"/>
          </w:tcPr>
          <w:p>
            <w:pPr>
              <w:jc w:val="center"/>
            </w:pPr>
            <w:r>
              <w:rPr>
                <w:color w:val="000000"/>
                <w:sz w:val="24"/>
              </w:rPr>
              <w:t>0.63%</w:t>
            </w:r>
          </w:p>
        </w:tc>
        <w:tc>
          <w:tcPr>
            <w:vAlign w:val="center"/>
          </w:tcPr>
          <w:p>
            <w:pPr>
              <w:jc w:val="center"/>
            </w:pPr>
            <w:r>
              <w:rPr>
                <w:color w:val="000000"/>
                <w:sz w:val="24"/>
              </w:rPr>
              <w:t>11.77%</w:t>
            </w:r>
          </w:p>
        </w:tc>
        <w:tc>
          <w:tcPr>
            <w:vAlign w:val="center"/>
          </w:tcPr>
          <w:p>
            <w:pPr>
              <w:jc w:val="center"/>
            </w:pPr>
            <w:r>
              <w:rPr>
                <w:color w:val="000000"/>
                <w:sz w:val="24"/>
              </w:rPr>
              <w:t>0.61%</w:t>
            </w:r>
          </w:p>
        </w:tc>
        <w:tc>
          <w:tcPr>
            <w:vAlign w:val="center"/>
          </w:tcPr>
          <w:p>
            <w:pPr>
              <w:jc w:val="center"/>
            </w:pPr>
            <w:r>
              <w:rPr>
                <w:color w:val="000000"/>
                <w:sz w:val="24"/>
              </w:rPr>
              <w:t>-3.30%</w:t>
            </w:r>
          </w:p>
        </w:tc>
        <w:tc>
          <w:tcPr>
            <w:vAlign w:val="center"/>
          </w:tcPr>
          <w:p>
            <w:pPr>
              <w:jc w:val="center"/>
            </w:pPr>
            <w:r>
              <w:rPr>
                <w:color w:val="000000"/>
                <w:sz w:val="24"/>
              </w:rPr>
              <w:t>0.02%</w:t>
            </w:r>
          </w:p>
        </w:tc>
      </w:tr>
      <w:tr>
        <w:tc>
          <w:tcPr>
            <w:vAlign w:val="center"/>
          </w:tcPr>
          <w:p>
            <w:pPr>
              <w:jc w:val="left"/>
            </w:pPr>
            <w:r>
              <w:rPr>
                <w:color w:val="000000"/>
                <w:sz w:val="24"/>
              </w:rPr>
              <w:t>过去一年</w:t>
            </w:r>
          </w:p>
        </w:tc>
        <w:tc>
          <w:tcPr>
            <w:vAlign w:val="center"/>
          </w:tcPr>
          <w:p>
            <w:pPr>
              <w:jc w:val="center"/>
            </w:pPr>
            <w:r>
              <w:rPr>
                <w:color w:val="000000"/>
                <w:sz w:val="24"/>
              </w:rPr>
              <w:t>-0.73%</w:t>
            </w:r>
          </w:p>
        </w:tc>
        <w:tc>
          <w:tcPr>
            <w:vAlign w:val="center"/>
          </w:tcPr>
          <w:p>
            <w:pPr>
              <w:jc w:val="center"/>
            </w:pPr>
            <w:r>
              <w:rPr>
                <w:color w:val="000000"/>
                <w:sz w:val="24"/>
              </w:rPr>
              <w:t>0.54%</w:t>
            </w:r>
          </w:p>
        </w:tc>
        <w:tc>
          <w:tcPr>
            <w:vAlign w:val="center"/>
          </w:tcPr>
          <w:p>
            <w:pPr>
              <w:jc w:val="center"/>
            </w:pPr>
            <w:r>
              <w:rPr>
                <w:color w:val="000000"/>
                <w:sz w:val="24"/>
              </w:rPr>
              <w:t>7.93%</w:t>
            </w:r>
          </w:p>
        </w:tc>
        <w:tc>
          <w:tcPr>
            <w:vAlign w:val="center"/>
          </w:tcPr>
          <w:p>
            <w:pPr>
              <w:jc w:val="center"/>
            </w:pPr>
            <w:r>
              <w:rPr>
                <w:color w:val="000000"/>
                <w:sz w:val="24"/>
              </w:rPr>
              <w:t>0.60%</w:t>
            </w:r>
          </w:p>
        </w:tc>
        <w:tc>
          <w:tcPr>
            <w:vAlign w:val="center"/>
          </w:tcPr>
          <w:p>
            <w:pPr>
              <w:jc w:val="center"/>
            </w:pPr>
            <w:r>
              <w:rPr>
                <w:color w:val="000000"/>
                <w:sz w:val="24"/>
              </w:rPr>
              <w:t>-8.66%</w:t>
            </w:r>
          </w:p>
        </w:tc>
        <w:tc>
          <w:tcPr>
            <w:vAlign w:val="center"/>
          </w:tcPr>
          <w:p>
            <w:pPr>
              <w:jc w:val="center"/>
            </w:pPr>
            <w:r>
              <w:rPr>
                <w:color w:val="000000"/>
                <w:sz w:val="24"/>
              </w:rPr>
              <w:t>-0.06%</w:t>
            </w:r>
          </w:p>
        </w:tc>
      </w:tr>
      <w:tr>
        <w:tc>
          <w:tcPr>
            <w:vAlign w:val="center"/>
          </w:tcPr>
          <w:p>
            <w:pPr>
              <w:jc w:val="left"/>
            </w:pPr>
            <w:r>
              <w:rPr>
                <w:color w:val="000000"/>
                <w:sz w:val="24"/>
              </w:rPr>
              <w:t>自基金合同生效起至今</w:t>
            </w:r>
          </w:p>
        </w:tc>
        <w:tc>
          <w:tcPr>
            <w:vAlign w:val="center"/>
          </w:tcPr>
          <w:p>
            <w:pPr>
              <w:jc w:val="center"/>
            </w:pPr>
            <w:r>
              <w:rPr>
                <w:color w:val="000000"/>
                <w:sz w:val="24"/>
              </w:rPr>
              <w:t>2.36%</w:t>
            </w:r>
          </w:p>
        </w:tc>
        <w:tc>
          <w:tcPr>
            <w:vAlign w:val="center"/>
          </w:tcPr>
          <w:p>
            <w:pPr>
              <w:jc w:val="center"/>
            </w:pPr>
            <w:r>
              <w:rPr>
                <w:color w:val="000000"/>
                <w:sz w:val="24"/>
              </w:rPr>
              <w:t>0.53%</w:t>
            </w:r>
          </w:p>
        </w:tc>
        <w:tc>
          <w:tcPr>
            <w:vAlign w:val="center"/>
          </w:tcPr>
          <w:p>
            <w:pPr>
              <w:jc w:val="center"/>
            </w:pPr>
            <w:r>
              <w:rPr>
                <w:color w:val="000000"/>
                <w:sz w:val="24"/>
              </w:rPr>
              <w:t>6.83%</w:t>
            </w:r>
          </w:p>
        </w:tc>
        <w:tc>
          <w:tcPr>
            <w:vAlign w:val="center"/>
          </w:tcPr>
          <w:p>
            <w:pPr>
              <w:jc w:val="center"/>
            </w:pPr>
            <w:r>
              <w:rPr>
                <w:color w:val="000000"/>
                <w:sz w:val="24"/>
              </w:rPr>
              <w:t>0.53%</w:t>
            </w:r>
          </w:p>
        </w:tc>
        <w:tc>
          <w:tcPr>
            <w:vAlign w:val="center"/>
          </w:tcPr>
          <w:p>
            <w:pPr>
              <w:jc w:val="center"/>
            </w:pPr>
            <w:r>
              <w:rPr>
                <w:color w:val="000000"/>
                <w:sz w:val="24"/>
              </w:rPr>
              <w:t>-4.47%</w:t>
            </w:r>
          </w:p>
        </w:tc>
        <w:tc>
          <w:tcPr>
            <w:vAlign w:val="center"/>
          </w:tcPr>
          <w:p>
            <w:pPr>
              <w:jc w:val="center"/>
            </w:pPr>
            <w:r>
              <w:rPr>
                <w:color w:val="000000"/>
                <w:sz w:val="24"/>
              </w:rPr>
              <w:t>0.00%</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注：本基金的业绩比较基准为沪深300指数收益率×40%+中证综合债券指数收益率×60%，每日进行再平衡过程。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交银施罗德恒益灵活配置混合型证券投资基金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2017年9月15日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王少成</w:t>
            </w:r>
          </w:p>
        </w:tc>
        <w:tc>
          <w:tcPr>
            <w:vAlign w:val="center"/>
          </w:tcPr>
          <w:p>
            <w:pPr>
              <w:jc w:val="center"/>
            </w:pPr>
            <w:r>
              <w:rPr>
                <w:color w:val="000000"/>
                <w:sz w:val="24"/>
              </w:rPr>
              <w:t>交银成长混合、交银蓝筹混合、交银恒益灵活配置混合的基金经理，公司权益投资总监</w:t>
            </w:r>
          </w:p>
        </w:tc>
        <w:tc>
          <w:tcPr>
            <w:vAlign w:val="center"/>
          </w:tcPr>
          <w:p>
            <w:pPr>
              <w:jc w:val="center"/>
            </w:pPr>
            <w:r>
              <w:rPr>
                <w:color w:val="000000"/>
                <w:sz w:val="24"/>
              </w:rPr>
              <w:t>2018-08-24</w:t>
            </w:r>
          </w:p>
        </w:tc>
        <w:tc>
          <w:tcPr>
            <w:vAlign w:val="center"/>
          </w:tcPr>
          <w:p>
            <w:pPr>
              <w:jc w:val="center"/>
            </w:pPr>
            <w:r>
              <w:rPr>
                <w:color w:val="000000"/>
                <w:sz w:val="24"/>
              </w:rPr>
              <w:t>-</w:t>
            </w:r>
          </w:p>
        </w:tc>
        <w:tc>
          <w:tcPr>
            <w:vAlign w:val="center"/>
          </w:tcPr>
          <w:p>
            <w:pPr>
              <w:jc w:val="center"/>
            </w:pPr>
            <w:r>
              <w:rPr>
                <w:color w:val="000000"/>
                <w:sz w:val="24"/>
              </w:rPr>
              <w:t>15年</w:t>
            </w:r>
          </w:p>
        </w:tc>
        <w:tc>
          <w:tcPr>
            <w:vAlign w:val="center"/>
          </w:tcPr>
          <w:p>
            <w:pPr>
              <w:jc w:val="both"/>
            </w:pPr>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2013年7月2日至2019年6月17日担任交银施罗德成长30混合型证券投资基金的基金经理。</w:t>
            </w: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2019-06-18</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王艺伟</w:t>
            </w:r>
          </w:p>
        </w:tc>
        <w:tc>
          <w:tcPr>
            <w:vAlign w:val="center"/>
          </w:tcPr>
          <w:p>
            <w:pPr>
              <w:jc w:val="center"/>
            </w:pPr>
            <w:r>
              <w:rPr>
                <w:color w:val="000000"/>
                <w:sz w:val="24"/>
              </w:rPr>
              <w:t>交银信用添利债券(LOF)、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vAlign w:val="center"/>
          </w:tcPr>
          <w:p>
            <w:pPr>
              <w:jc w:val="center"/>
            </w:pPr>
            <w:r>
              <w:rPr>
                <w:color w:val="000000"/>
                <w:sz w:val="24"/>
              </w:rPr>
              <w:t>2019-06-27</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王艺伟女士，北京大学经济学硕士，吉林大学经济学学士、理学学士。2012年-2014年任光大证券研究所宏观分析师。2014年9月加入交银施罗德基金管理有限公司，历任研究员、研究部助理总经理。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本报告期内，2019年初社融拐点及春节错位令经济增长预期一度过高，后在经济环比自然回落、海外风险以及资金面三个因素的影响下，债市短端收益率基本回到三月底低位，长端呈现上行后震荡走平的格局。五月伴随季末来临，银行间流动性中性分化，短久期债券收益率上行，信用传导预期受阻，信用利差明显走廓。随着跨季资金流动性走宽，短端收益率下行，中高等级信用债收益率也出现回落，但中低等级信用债成交依然不多。</w:t>
      </w:r>
    </w:p>
    <w:p>
      <w:pPr>
        <w:spacing w:before="29" w:line="288" w:lineRule="auto"/>
        <w:ind w:firstLine="480" w:firstLineChars="200"/>
        <w:rPr>
          <w:color w:val="000000"/>
          <w:sz w:val="24"/>
        </w:rPr>
      </w:pPr>
      <w:r>
        <w:rPr>
          <w:color w:val="000000"/>
          <w:sz w:val="24"/>
        </w:rPr>
        <w:t>权益市场方面，年初受益于宏观经济逐步企稳，全球货币政策宽松预期渐浓，权益市场普遍上行，小盘股涨幅更为明显。至三月底，多数板块估值相对偏高。在经济增速环比回落，中美贸易争端再度演绎等事件影响下，大盘自四月中下旬震荡下行。行业层面看，部分消费及金融有一定绝对收益，TMT及强周期等板块相对偏弱。</w:t>
      </w:r>
    </w:p>
    <w:p w:rsidP="00AC6DDA" w:rsidR="00C02A8F" w:rsidRDefault="00C02A8F" w:rsidRPr="005C672D">
      <w:pPr>
        <w:spacing w:before="29" w:line="288" w:lineRule="auto"/>
        <w:ind w:firstLine="480" w:firstLineChars="200"/>
        <w:rPr>
          <w:color w:val="000000"/>
          <w:sz w:val="24"/>
        </w:rPr>
      </w:pPr>
      <w:r w:rsidRPr="005C672D">
        <w:rPr>
          <w:color w:val="000000"/>
          <w:sz w:val="24"/>
        </w:rPr>
        <w:t>组合操作策略方面，一季度基金权益仓位保持在中性偏高水平，二季度组合重点关注净值的稳定性以及一级市场投资机会，仓位适度调降，并增配盈利较为稳定、估值接近历史底部的权益持仓，以期增厚组合收益。</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展望2019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 2019年 1 月 1 日至 2019年6月30日基金的投资运作，进行了认真、独立的会计核算和必要的投资监督，认真履行了托管人的义务，没有从事任何损害基金份额持有人利益的行为。</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 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交银施罗德恒益灵活配置混合型证券投资基金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116,945,533.41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87,600,634.44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114,139.66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41,464.29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14,298.88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146,867,898.80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40,672,850.24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106,659,898.80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23,665,891.88</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40,208,000.00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17,006,958.36</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80,000,000.00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58,534.29</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521,557.81</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46,847.10</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309.54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698.95</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344,549,437.80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128,335,329.61</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30,134,457.05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156,558.34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971.46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316,087.81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166,056.96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52,681.30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27,676.16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107,748.31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15,798.00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752.18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97,114.24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129,300.61</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30,865,399.23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339,803.19</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306,452,768.25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135,633,319.50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7,231,270.32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-7,637,793.08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313,684,038.57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127,995,526.42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344,549,437.80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128,335,329.61</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报告截止日2019年6月30日，基金份额净值1.0236元，基金份额总额306,452,768.25份。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交银施罗德恒益灵活配置混合型证券投资基金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15,334,745.07</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9,074,751.25</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415,623.42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1,140,699.37</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325,699.73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350,501.32</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70,273.20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598,447.46</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19,650.49</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191,750.59</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6,264,831.52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11,778,331.62</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5,568,494.08</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12,076,570.27</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309,972.94</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-468,745.76</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386,364.50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170,507.11</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8,614,070.33</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-4,197,887.00</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40,219.80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353,607.26</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1,639,349.23</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2,319,335.80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1,029,828.03</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1,620,872.52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171,638.02</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270,145.41</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329,409.78</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256,439.04</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74.54</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154.64</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108,398.86</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171,724.19</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13,695,395.84</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6,755,415.45</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13,695,395.84</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6,755,415.45</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交银施罗德恒益灵活配置混合型证券投资基金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135,633,319.50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-7,637,793.08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127,995,526.42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13,695,395.84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13,695,395.84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170,819,448.75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1,173,667.56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171,993,116.31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228,092,260.64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3,534,339.31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231,626,599.95</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-57,272,811.89</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-2,360,671.75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-59,633,483.64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306,452,768.25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7,231,270.32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313,684,038.57</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322,057,015.26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3,680,620.33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325,737,635.59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6,755,415.45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6,755,415.45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-165,829,518.29</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-5,577,954.31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-171,407,472.60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2,259,534.83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63,670.94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2,323,205.77</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-168,089,053.12</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-5,641,625.25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-173,730,678.37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156,227,496.97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4,858,081.47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161,085,578.44</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恒益灵活配置混合型证券投资基金(以下简称“本基金”)经中国证券监督管理委员会(以下简称“中国证监会”)证监许可[2017]1179号文《关于准予交银施罗德恒益灵活配置混合型证券投资基金注册的批复》核准，由交银施罗德基金管理有限公司依照《中华人民共和国证券投资基金法》和《交银施罗德恒益灵活配置混合型证券投资基金基金合同》负责公开募集。本基金为契约型开放式，存续期限不定期，首次设立募集不包括认购资金利息共募集人民币426,657,795.78元，业经普华永道中天会计师事务所(特殊普通合伙)普华永道中天验字(2017)第876号验资报告予以验证。经向中国证监会备案，《交银施罗德恒益灵活配置混合型证券投资基金基金合同》于2017年9月15日正式生效，基金合同生效日的基金份额总额为426,824,248.14份基金份额，其中认购资金利息折合166,452.36份基金份额。本基金的基金管理人为交银施罗德基金管理有限公司，基金托管人为中国农业银行股份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恒益灵活配置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基金的投资组合比例为：股票资产占基金资产的0%-95%，每个交易日日终在扣除股指期货合约需缴纳的交易保证金后，本基金保留的现金或者投资于到期日在一年以内的政府债券的比例合计不低于基金资产净值的5%，其中现金不包括结算备付金、存出保证金和应收申购款等；本基金的业绩比较基准为沪深300指数收益率×40%+中证综合债券指数收益率×60%。</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恒益灵活配置混合型证券投资基金基金合同》和在财务报表附注6.4.4所列示的中国证监会、中国基金业协会发布的有关规定及允许的基金行业实务操作编制。</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中国农业银行股份有限公司（“中国农业银行”）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1,029,828.03</w:t>
            </w:r>
          </w:p>
        </w:tc>
        <w:tc>
          <w:tcPr>
            <w:tcW w:type="dxa" w:w="2657"/>
            <w:vAlign w:val="center"/>
          </w:tcPr>
          <w:p w:rsidP="00AC6DDA" w:rsidR="001548F9" w:rsidRDefault="001548F9" w:rsidRPr="005C672D">
            <w:pPr>
              <w:spacing w:before="29" w:line="288" w:lineRule="auto"/>
              <w:jc w:val="right"/>
              <w:rPr>
                <w:sz w:val="24"/>
              </w:rPr>
            </w:pPr>
            <w:r w:rsidRPr="005C672D">
              <w:rPr>
                <w:sz w:val="24"/>
              </w:rPr>
              <w:t>1,620,872.52</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360,448.69</w:t>
            </w:r>
          </w:p>
        </w:tc>
        <w:tc>
          <w:tcPr>
            <w:tcW w:type="dxa" w:w="2657"/>
            <w:vAlign w:val="center"/>
          </w:tcPr>
          <w:p w:rsidP="00AC6DDA" w:rsidR="001548F9" w:rsidRDefault="001548F9" w:rsidRPr="005C672D">
            <w:pPr>
              <w:spacing w:before="29" w:line="288" w:lineRule="auto"/>
              <w:jc w:val="right"/>
              <w:rPr>
                <w:sz w:val="24"/>
              </w:rPr>
            </w:pPr>
            <w:r w:rsidRPr="005C672D">
              <w:rPr>
                <w:sz w:val="24"/>
              </w:rPr>
              <w:t>715,420.70</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注：支付基金管理人的管理人报酬按前一日基金资产净值1.5%的年费率计提，逐日累计至每月月底，按月支付。其计算公式为： 日管理人报酬＝前一日基金资产净值×1.5%÷当年天数。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171,638.02</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270,145.41</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注：支付基金托管人的托管费按前一日基金资产净值0.25%的年费率计提，逐日累计至每月月底，按月支付。其计算公式为： 日托管费＝前一日基金资产净值×0.25%÷当年天数。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pPr>
        <w:tabs>
          <w:tab w:pos="426" w:val="left"/>
        </w:tabs>
        <w:spacing w:before="29" w:line="288" w:lineRule="auto"/>
        <w:jc w:val="left"/>
        <w:rPr>
          <w:kern w:val="0"/>
          <w:sz w:val="24"/>
        </w:rPr>
      </w:pPr>
      <w:r>
        <w:rPr>
          <w:kern w:val="0"/>
          <w:sz w:val="24"/>
        </w:rPr>
        <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中国农业银行股份有限公司</w:t>
            </w:r>
          </w:p>
        </w:tc>
        <w:tc>
          <w:tcPr>
            <w:vAlign w:val="center"/>
          </w:tcPr>
          <w:p>
            <w:pPr>
              <w:jc w:val="right"/>
            </w:pPr>
            <w:r>
              <w:rPr>
                <w:sz w:val="24"/>
              </w:rPr>
              <w:t>116,945,533.41</w:t>
            </w:r>
          </w:p>
        </w:tc>
        <w:tc>
          <w:tcPr>
            <w:vAlign w:val="center"/>
          </w:tcPr>
          <w:p>
            <w:pPr>
              <w:jc w:val="right"/>
            </w:pPr>
            <w:r>
              <w:rPr>
                <w:sz w:val="24"/>
              </w:rPr>
              <w:t>324,290.32</w:t>
            </w:r>
          </w:p>
        </w:tc>
        <w:tc>
          <w:tcPr>
            <w:vAlign w:val="center"/>
          </w:tcPr>
          <w:p>
            <w:pPr>
              <w:jc w:val="right"/>
            </w:pPr>
            <w:r>
              <w:rPr>
                <w:sz w:val="24"/>
              </w:rPr>
              <w:t>109,973,370.25</w:t>
            </w:r>
          </w:p>
        </w:tc>
        <w:tc>
          <w:tcPr>
            <w:vAlign w:val="center"/>
          </w:tcPr>
          <w:p>
            <w:pPr>
              <w:jc w:val="right"/>
            </w:pPr>
            <w:r>
              <w:rPr>
                <w:sz w:val="24"/>
              </w:rPr>
              <w:t>344,191.49</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ind w:firstLine="480" w:firstLineChars="200"/>
        <w:rPr>
          <w:bCs/>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106,659,898.80</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30.96</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106,659,898.80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30.96</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40,208,000.00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11.67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40,208,000.00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11.67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80,000,000.00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23.22</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117,059,673.07</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33.97</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621,865.93</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0.18</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344,549,437.80</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175,284.80</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0.06</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21,520,000.46</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6.86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8,511,450.00</w:t>
            </w:r>
          </w:p>
        </w:tc>
        <w:tc>
          <w:tcPr>
            <w:tcW w:type="dxa" w:w="2160"/>
            <w:vAlign w:val="center"/>
          </w:tcPr>
          <w:p w:rsidP="00AC6DDA" w:rsidR="001548F9" w:rsidRDefault="001548F9" w:rsidRPr="005C672D">
            <w:pPr>
              <w:spacing w:before="29" w:line="288" w:lineRule="auto"/>
              <w:jc w:val="right"/>
              <w:rPr>
                <w:sz w:val="24"/>
              </w:rPr>
            </w:pPr>
            <w:r w:rsidRPr="005C672D">
              <w:rPr>
                <w:sz w:val="24"/>
              </w:rPr>
              <w:t>2.71</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1,544,381.00</w:t>
            </w:r>
          </w:p>
        </w:tc>
        <w:tc>
          <w:tcPr>
            <w:tcW w:type="dxa" w:w="2160"/>
            <w:vAlign w:val="center"/>
          </w:tcPr>
          <w:p w:rsidP="00AC6DDA" w:rsidR="001548F9" w:rsidRDefault="001548F9" w:rsidRPr="005C672D">
            <w:pPr>
              <w:spacing w:before="29" w:line="288" w:lineRule="auto"/>
              <w:jc w:val="right"/>
              <w:rPr>
                <w:sz w:val="24"/>
              </w:rPr>
            </w:pPr>
            <w:r w:rsidRPr="005C672D">
              <w:rPr>
                <w:sz w:val="24"/>
              </w:rPr>
              <w:t>0.49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54,873,096.94</w:t>
            </w:r>
          </w:p>
        </w:tc>
        <w:tc>
          <w:tcPr>
            <w:tcW w:type="dxa" w:w="2160"/>
            <w:vAlign w:val="center"/>
          </w:tcPr>
          <w:p w:rsidP="00AC6DDA" w:rsidR="001548F9" w:rsidRDefault="001548F9" w:rsidRPr="005C672D">
            <w:pPr>
              <w:spacing w:before="29" w:line="288" w:lineRule="auto"/>
              <w:jc w:val="right"/>
              <w:rPr>
                <w:sz w:val="24"/>
              </w:rPr>
            </w:pPr>
            <w:r w:rsidRPr="005C672D">
              <w:rPr>
                <w:sz w:val="24"/>
              </w:rPr>
              <w:t>17.49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10,424,920.00</w:t>
            </w:r>
          </w:p>
        </w:tc>
        <w:tc>
          <w:tcPr>
            <w:tcW w:type="dxa" w:w="2160"/>
            <w:vAlign w:val="center"/>
          </w:tcPr>
          <w:p w:rsidP="00AC6DDA" w:rsidR="001548F9" w:rsidRDefault="001548F9" w:rsidRPr="005C672D">
            <w:pPr>
              <w:spacing w:before="29" w:line="288" w:lineRule="auto"/>
              <w:jc w:val="right"/>
              <w:rPr>
                <w:sz w:val="24"/>
              </w:rPr>
            </w:pPr>
            <w:r w:rsidRPr="005C672D">
              <w:rPr>
                <w:sz w:val="24"/>
              </w:rPr>
              <w:t>3.32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9,587,659.00</w:t>
            </w:r>
          </w:p>
        </w:tc>
        <w:tc>
          <w:tcPr>
            <w:tcW w:type="dxa" w:w="2160"/>
            <w:vAlign w:val="center"/>
          </w:tcPr>
          <w:p w:rsidP="00AC6DDA" w:rsidR="001548F9" w:rsidRDefault="001548F9" w:rsidRPr="005C672D">
            <w:pPr>
              <w:spacing w:before="29" w:line="288" w:lineRule="auto"/>
              <w:jc w:val="right"/>
              <w:rPr>
                <w:sz w:val="24"/>
              </w:rPr>
            </w:pPr>
            <w:r w:rsidRPr="005C672D">
              <w:rPr>
                <w:sz w:val="24"/>
              </w:rPr>
              <w:t>3.06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23,106.60</w:t>
            </w:r>
          </w:p>
        </w:tc>
        <w:tc>
          <w:tcPr>
            <w:tcW w:type="dxa" w:w="2160"/>
            <w:vAlign w:val="center"/>
          </w:tcPr>
          <w:p w:rsidP="00AC6DDA" w:rsidR="001548F9" w:rsidRDefault="001548F9" w:rsidRPr="005C672D">
            <w:pPr>
              <w:spacing w:before="29" w:line="288" w:lineRule="auto"/>
              <w:jc w:val="right"/>
              <w:rPr>
                <w:sz w:val="24"/>
              </w:rPr>
            </w:pPr>
            <w:r w:rsidRPr="005C672D">
              <w:rPr>
                <w:sz w:val="24"/>
              </w:rPr>
              <w:t>0.01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106,659,898.80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34.00</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3,476,200</w:t>
            </w:r>
          </w:p>
        </w:tc>
        <w:tc>
          <w:tcPr>
            <w:vAlign w:val="center"/>
          </w:tcPr>
          <w:p>
            <w:pPr>
              <w:jc w:val="right"/>
            </w:pPr>
            <w:r>
              <w:rPr>
                <w:color w:val="000000"/>
                <w:sz w:val="24"/>
              </w:rPr>
              <w:t>20,474,818.00</w:t>
            </w:r>
          </w:p>
        </w:tc>
        <w:tc>
          <w:tcPr>
            <w:vAlign w:val="center"/>
          </w:tcPr>
          <w:p>
            <w:pPr>
              <w:jc w:val="right"/>
            </w:pPr>
            <w:r>
              <w:rPr>
                <w:color w:val="000000"/>
                <w:sz w:val="24"/>
              </w:rPr>
              <w:t>6.53</w:t>
            </w:r>
          </w:p>
        </w:tc>
      </w:tr>
      <w:tr>
        <w:tc>
          <w:tcPr>
            <w:vAlign w:val="center"/>
          </w:tcPr>
          <w:p>
            <w:pPr>
              <w:jc w:val="center"/>
            </w:pPr>
            <w:r>
              <w:rPr>
                <w:color w:val="000000"/>
                <w:sz w:val="24"/>
              </w:rPr>
              <w:t>2</w:t>
            </w:r>
          </w:p>
        </w:tc>
        <w:tc>
          <w:tcPr>
            <w:vAlign w:val="center"/>
          </w:tcPr>
          <w:p>
            <w:pPr>
              <w:jc w:val="center"/>
            </w:pPr>
            <w:r>
              <w:rPr>
                <w:color w:val="000000"/>
                <w:sz w:val="24"/>
              </w:rPr>
              <w:t>601939</w:t>
            </w:r>
          </w:p>
        </w:tc>
        <w:tc>
          <w:tcPr>
            <w:vAlign w:val="center"/>
          </w:tcPr>
          <w:p>
            <w:pPr>
              <w:jc w:val="center"/>
            </w:pPr>
            <w:r>
              <w:rPr>
                <w:color w:val="000000"/>
                <w:sz w:val="24"/>
              </w:rPr>
              <w:t>建设银行</w:t>
            </w:r>
          </w:p>
        </w:tc>
        <w:tc>
          <w:tcPr>
            <w:vAlign w:val="center"/>
          </w:tcPr>
          <w:p>
            <w:pPr>
              <w:jc w:val="right"/>
            </w:pPr>
            <w:r>
              <w:rPr>
                <w:color w:val="000000"/>
                <w:sz w:val="24"/>
              </w:rPr>
              <w:t>1,955,600</w:t>
            </w:r>
          </w:p>
        </w:tc>
        <w:tc>
          <w:tcPr>
            <w:vAlign w:val="center"/>
          </w:tcPr>
          <w:p>
            <w:pPr>
              <w:jc w:val="right"/>
            </w:pPr>
            <w:r>
              <w:rPr>
                <w:color w:val="000000"/>
                <w:sz w:val="24"/>
              </w:rPr>
              <w:t>14,549,664.00</w:t>
            </w:r>
          </w:p>
        </w:tc>
        <w:tc>
          <w:tcPr>
            <w:vAlign w:val="center"/>
          </w:tcPr>
          <w:p>
            <w:pPr>
              <w:jc w:val="right"/>
            </w:pPr>
            <w:r>
              <w:rPr>
                <w:color w:val="000000"/>
                <w:sz w:val="24"/>
              </w:rPr>
              <w:t>4.64</w:t>
            </w:r>
          </w:p>
        </w:tc>
      </w:tr>
      <w:tr>
        <w:tc>
          <w:tcPr>
            <w:vAlign w:val="center"/>
          </w:tcPr>
          <w:p>
            <w:pPr>
              <w:jc w:val="center"/>
            </w:pPr>
            <w:r>
              <w:rPr>
                <w:color w:val="000000"/>
                <w:sz w:val="24"/>
              </w:rPr>
              <w:t>3</w:t>
            </w:r>
          </w:p>
        </w:tc>
        <w:tc>
          <w:tcPr>
            <w:vAlign w:val="center"/>
          </w:tcPr>
          <w:p>
            <w:pPr>
              <w:jc w:val="center"/>
            </w:pPr>
            <w:r>
              <w:rPr>
                <w:color w:val="000000"/>
                <w:sz w:val="24"/>
              </w:rPr>
              <w:t>601988</w:t>
            </w:r>
          </w:p>
        </w:tc>
        <w:tc>
          <w:tcPr>
            <w:vAlign w:val="center"/>
          </w:tcPr>
          <w:p>
            <w:pPr>
              <w:jc w:val="center"/>
            </w:pPr>
            <w:r>
              <w:rPr>
                <w:color w:val="000000"/>
                <w:sz w:val="24"/>
              </w:rPr>
              <w:t>中国银行</w:t>
            </w:r>
          </w:p>
        </w:tc>
        <w:tc>
          <w:tcPr>
            <w:vAlign w:val="center"/>
          </w:tcPr>
          <w:p>
            <w:pPr>
              <w:jc w:val="right"/>
            </w:pPr>
            <w:r>
              <w:rPr>
                <w:color w:val="000000"/>
                <w:sz w:val="24"/>
              </w:rPr>
              <w:t>3,763,400</w:t>
            </w:r>
          </w:p>
        </w:tc>
        <w:tc>
          <w:tcPr>
            <w:vAlign w:val="center"/>
          </w:tcPr>
          <w:p>
            <w:pPr>
              <w:jc w:val="right"/>
            </w:pPr>
            <w:r>
              <w:rPr>
                <w:color w:val="000000"/>
                <w:sz w:val="24"/>
              </w:rPr>
              <w:t>14,075,116.00</w:t>
            </w:r>
          </w:p>
        </w:tc>
        <w:tc>
          <w:tcPr>
            <w:vAlign w:val="center"/>
          </w:tcPr>
          <w:p>
            <w:pPr>
              <w:jc w:val="right"/>
            </w:pPr>
            <w:r>
              <w:rPr>
                <w:color w:val="000000"/>
                <w:sz w:val="24"/>
              </w:rPr>
              <w:t>4.49</w:t>
            </w:r>
          </w:p>
        </w:tc>
      </w:tr>
      <w:tr>
        <w:tc>
          <w:tcPr>
            <w:vAlign w:val="center"/>
          </w:tcPr>
          <w:p>
            <w:pPr>
              <w:jc w:val="center"/>
            </w:pPr>
            <w:r>
              <w:rPr>
                <w:color w:val="000000"/>
                <w:sz w:val="24"/>
              </w:rPr>
              <w:t>4</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817,000</w:t>
            </w:r>
          </w:p>
        </w:tc>
        <w:tc>
          <w:tcPr>
            <w:vAlign w:val="center"/>
          </w:tcPr>
          <w:p>
            <w:pPr>
              <w:jc w:val="right"/>
            </w:pPr>
            <w:r>
              <w:rPr>
                <w:color w:val="000000"/>
                <w:sz w:val="24"/>
              </w:rPr>
              <w:t>10,424,920.00</w:t>
            </w:r>
          </w:p>
        </w:tc>
        <w:tc>
          <w:tcPr>
            <w:vAlign w:val="center"/>
          </w:tcPr>
          <w:p>
            <w:pPr>
              <w:jc w:val="right"/>
            </w:pPr>
            <w:r>
              <w:rPr>
                <w:color w:val="000000"/>
                <w:sz w:val="24"/>
              </w:rPr>
              <w:t>3.32</w:t>
            </w:r>
          </w:p>
        </w:tc>
      </w:tr>
      <w:tr>
        <w:tc>
          <w:tcPr>
            <w:vAlign w:val="center"/>
          </w:tcPr>
          <w:p>
            <w:pPr>
              <w:jc w:val="center"/>
            </w:pPr>
            <w:r>
              <w:rPr>
                <w:color w:val="000000"/>
                <w:sz w:val="24"/>
              </w:rPr>
              <w:t>5</w:t>
            </w:r>
          </w:p>
        </w:tc>
        <w:tc>
          <w:tcPr>
            <w:vAlign w:val="center"/>
          </w:tcPr>
          <w:p>
            <w:pPr>
              <w:jc w:val="center"/>
            </w:pPr>
            <w:r>
              <w:rPr>
                <w:color w:val="000000"/>
                <w:sz w:val="24"/>
              </w:rPr>
              <w:t>002607</w:t>
            </w:r>
          </w:p>
        </w:tc>
        <w:tc>
          <w:tcPr>
            <w:vAlign w:val="center"/>
          </w:tcPr>
          <w:p>
            <w:pPr>
              <w:jc w:val="center"/>
            </w:pPr>
            <w:r>
              <w:rPr>
                <w:color w:val="000000"/>
                <w:sz w:val="24"/>
              </w:rPr>
              <w:t>中公教育</w:t>
            </w:r>
          </w:p>
        </w:tc>
        <w:tc>
          <w:tcPr>
            <w:vAlign w:val="center"/>
          </w:tcPr>
          <w:p>
            <w:pPr>
              <w:jc w:val="right"/>
            </w:pPr>
            <w:r>
              <w:rPr>
                <w:color w:val="000000"/>
                <w:sz w:val="24"/>
              </w:rPr>
              <w:t>698,300</w:t>
            </w:r>
          </w:p>
        </w:tc>
        <w:tc>
          <w:tcPr>
            <w:vAlign w:val="center"/>
          </w:tcPr>
          <w:p>
            <w:pPr>
              <w:jc w:val="right"/>
            </w:pPr>
            <w:r>
              <w:rPr>
                <w:color w:val="000000"/>
                <w:sz w:val="24"/>
              </w:rPr>
              <w:t>9,587,659.00</w:t>
            </w:r>
          </w:p>
        </w:tc>
        <w:tc>
          <w:tcPr>
            <w:vAlign w:val="center"/>
          </w:tcPr>
          <w:p>
            <w:pPr>
              <w:jc w:val="right"/>
            </w:pPr>
            <w:r>
              <w:rPr>
                <w:color w:val="000000"/>
                <w:sz w:val="24"/>
              </w:rPr>
              <w:t>3.06</w:t>
            </w:r>
          </w:p>
        </w:tc>
      </w:tr>
      <w:tr>
        <w:tc>
          <w:tcPr>
            <w:vAlign w:val="center"/>
          </w:tcPr>
          <w:p>
            <w:pPr>
              <w:jc w:val="center"/>
            </w:pPr>
            <w:r>
              <w:rPr>
                <w:color w:val="000000"/>
                <w:sz w:val="24"/>
              </w:rPr>
              <w:t>6</w:t>
            </w:r>
          </w:p>
        </w:tc>
        <w:tc>
          <w:tcPr>
            <w:vAlign w:val="center"/>
          </w:tcPr>
          <w:p>
            <w:pPr>
              <w:jc w:val="center"/>
            </w:pPr>
            <w:r>
              <w:rPr>
                <w:color w:val="000000"/>
                <w:sz w:val="24"/>
              </w:rPr>
              <w:t>002216</w:t>
            </w:r>
          </w:p>
        </w:tc>
        <w:tc>
          <w:tcPr>
            <w:vAlign w:val="center"/>
          </w:tcPr>
          <w:p>
            <w:pPr>
              <w:jc w:val="center"/>
            </w:pPr>
            <w:r>
              <w:rPr>
                <w:color w:val="000000"/>
                <w:sz w:val="24"/>
              </w:rPr>
              <w:t>三全食品</w:t>
            </w:r>
          </w:p>
        </w:tc>
        <w:tc>
          <w:tcPr>
            <w:vAlign w:val="center"/>
          </w:tcPr>
          <w:p>
            <w:pPr>
              <w:jc w:val="right"/>
            </w:pPr>
            <w:r>
              <w:rPr>
                <w:color w:val="000000"/>
                <w:sz w:val="24"/>
              </w:rPr>
              <w:t>866,080</w:t>
            </w:r>
          </w:p>
        </w:tc>
        <w:tc>
          <w:tcPr>
            <w:vAlign w:val="center"/>
          </w:tcPr>
          <w:p>
            <w:pPr>
              <w:jc w:val="right"/>
            </w:pPr>
            <w:r>
              <w:rPr>
                <w:color w:val="000000"/>
                <w:sz w:val="24"/>
              </w:rPr>
              <w:t>8,851,337.60</w:t>
            </w:r>
          </w:p>
        </w:tc>
        <w:tc>
          <w:tcPr>
            <w:vAlign w:val="center"/>
          </w:tcPr>
          <w:p>
            <w:pPr>
              <w:jc w:val="right"/>
            </w:pPr>
            <w:r>
              <w:rPr>
                <w:color w:val="000000"/>
                <w:sz w:val="24"/>
              </w:rPr>
              <w:t>2.82</w:t>
            </w:r>
          </w:p>
        </w:tc>
      </w:tr>
      <w:tr>
        <w:tc>
          <w:tcPr>
            <w:vAlign w:val="center"/>
          </w:tcPr>
          <w:p>
            <w:pPr>
              <w:jc w:val="center"/>
            </w:pPr>
            <w:r>
              <w:rPr>
                <w:color w:val="000000"/>
                <w:sz w:val="24"/>
              </w:rPr>
              <w:t>7</w:t>
            </w:r>
          </w:p>
        </w:tc>
        <w:tc>
          <w:tcPr>
            <w:vAlign w:val="center"/>
          </w:tcPr>
          <w:p>
            <w:pPr>
              <w:jc w:val="center"/>
            </w:pPr>
            <w:r>
              <w:rPr>
                <w:color w:val="000000"/>
                <w:sz w:val="24"/>
              </w:rPr>
              <w:t>600900</w:t>
            </w:r>
          </w:p>
        </w:tc>
        <w:tc>
          <w:tcPr>
            <w:vAlign w:val="center"/>
          </w:tcPr>
          <w:p>
            <w:pPr>
              <w:jc w:val="center"/>
            </w:pPr>
            <w:r>
              <w:rPr>
                <w:color w:val="000000"/>
                <w:sz w:val="24"/>
              </w:rPr>
              <w:t>长江电力</w:t>
            </w:r>
          </w:p>
        </w:tc>
        <w:tc>
          <w:tcPr>
            <w:vAlign w:val="center"/>
          </w:tcPr>
          <w:p>
            <w:pPr>
              <w:jc w:val="right"/>
            </w:pPr>
            <w:r>
              <w:rPr>
                <w:color w:val="000000"/>
                <w:sz w:val="24"/>
              </w:rPr>
              <w:t>475,500</w:t>
            </w:r>
          </w:p>
        </w:tc>
        <w:tc>
          <w:tcPr>
            <w:vAlign w:val="center"/>
          </w:tcPr>
          <w:p>
            <w:pPr>
              <w:jc w:val="right"/>
            </w:pPr>
            <w:r>
              <w:rPr>
                <w:color w:val="000000"/>
                <w:sz w:val="24"/>
              </w:rPr>
              <w:t>8,511,450.00</w:t>
            </w:r>
          </w:p>
        </w:tc>
        <w:tc>
          <w:tcPr>
            <w:vAlign w:val="center"/>
          </w:tcPr>
          <w:p>
            <w:pPr>
              <w:jc w:val="right"/>
            </w:pPr>
            <w:r>
              <w:rPr>
                <w:color w:val="000000"/>
                <w:sz w:val="24"/>
              </w:rPr>
              <w:t>2.71</w:t>
            </w:r>
          </w:p>
        </w:tc>
      </w:tr>
      <w:tr>
        <w:tc>
          <w:tcPr>
            <w:vAlign w:val="center"/>
          </w:tcPr>
          <w:p>
            <w:pPr>
              <w:jc w:val="center"/>
            </w:pPr>
            <w:r>
              <w:rPr>
                <w:color w:val="000000"/>
                <w:sz w:val="24"/>
              </w:rPr>
              <w:t>8</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104,300</w:t>
            </w:r>
          </w:p>
        </w:tc>
        <w:tc>
          <w:tcPr>
            <w:vAlign w:val="center"/>
          </w:tcPr>
          <w:p>
            <w:pPr>
              <w:jc w:val="right"/>
            </w:pPr>
            <w:r>
              <w:rPr>
                <w:color w:val="000000"/>
                <w:sz w:val="24"/>
              </w:rPr>
              <w:t>5,739,629.00</w:t>
            </w:r>
          </w:p>
        </w:tc>
        <w:tc>
          <w:tcPr>
            <w:vAlign w:val="center"/>
          </w:tcPr>
          <w:p>
            <w:pPr>
              <w:jc w:val="right"/>
            </w:pPr>
            <w:r>
              <w:rPr>
                <w:color w:val="000000"/>
                <w:sz w:val="24"/>
              </w:rPr>
              <w:t>1.83</w:t>
            </w:r>
          </w:p>
        </w:tc>
      </w:tr>
      <w:tr>
        <w:tc>
          <w:tcPr>
            <w:vAlign w:val="center"/>
          </w:tcPr>
          <w:p>
            <w:pPr>
              <w:jc w:val="center"/>
            </w:pPr>
            <w:r>
              <w:rPr>
                <w:color w:val="000000"/>
                <w:sz w:val="24"/>
              </w:rPr>
              <w:t>9</w:t>
            </w:r>
          </w:p>
        </w:tc>
        <w:tc>
          <w:tcPr>
            <w:vAlign w:val="center"/>
          </w:tcPr>
          <w:p>
            <w:pPr>
              <w:jc w:val="center"/>
            </w:pPr>
            <w:r>
              <w:rPr>
                <w:color w:val="000000"/>
                <w:sz w:val="24"/>
              </w:rPr>
              <w:t>300146</w:t>
            </w:r>
          </w:p>
        </w:tc>
        <w:tc>
          <w:tcPr>
            <w:vAlign w:val="center"/>
          </w:tcPr>
          <w:p>
            <w:pPr>
              <w:jc w:val="center"/>
            </w:pPr>
            <w:r>
              <w:rPr>
                <w:color w:val="000000"/>
                <w:sz w:val="24"/>
              </w:rPr>
              <w:t>汤臣倍健</w:t>
            </w:r>
          </w:p>
        </w:tc>
        <w:tc>
          <w:tcPr>
            <w:vAlign w:val="center"/>
          </w:tcPr>
          <w:p>
            <w:pPr>
              <w:jc w:val="right"/>
            </w:pPr>
            <w:r>
              <w:rPr>
                <w:color w:val="000000"/>
                <w:sz w:val="24"/>
              </w:rPr>
              <w:t>203,319</w:t>
            </w:r>
          </w:p>
        </w:tc>
        <w:tc>
          <w:tcPr>
            <w:vAlign w:val="center"/>
          </w:tcPr>
          <w:p>
            <w:pPr>
              <w:jc w:val="right"/>
            </w:pPr>
            <w:r>
              <w:rPr>
                <w:color w:val="000000"/>
                <w:sz w:val="24"/>
              </w:rPr>
              <w:t>3,944,388.60</w:t>
            </w:r>
          </w:p>
        </w:tc>
        <w:tc>
          <w:tcPr>
            <w:vAlign w:val="center"/>
          </w:tcPr>
          <w:p>
            <w:pPr>
              <w:jc w:val="right"/>
            </w:pPr>
            <w:r>
              <w:rPr>
                <w:color w:val="000000"/>
                <w:sz w:val="24"/>
              </w:rPr>
              <w:t>1.26</w:t>
            </w:r>
          </w:p>
        </w:tc>
      </w:tr>
      <w:tr>
        <w:tc>
          <w:tcPr>
            <w:vAlign w:val="center"/>
          </w:tcPr>
          <w:p>
            <w:pPr>
              <w:jc w:val="center"/>
            </w:pPr>
            <w:r>
              <w:rPr>
                <w:color w:val="000000"/>
                <w:sz w:val="24"/>
              </w:rPr>
              <w:t>10</w:t>
            </w:r>
          </w:p>
        </w:tc>
        <w:tc>
          <w:tcPr>
            <w:vAlign w:val="center"/>
          </w:tcPr>
          <w:p>
            <w:pPr>
              <w:jc w:val="center"/>
            </w:pPr>
            <w:r>
              <w:rPr>
                <w:color w:val="000000"/>
                <w:sz w:val="24"/>
              </w:rPr>
              <w:t>603707</w:t>
            </w:r>
          </w:p>
        </w:tc>
        <w:tc>
          <w:tcPr>
            <w:vAlign w:val="center"/>
          </w:tcPr>
          <w:p>
            <w:pPr>
              <w:jc w:val="center"/>
            </w:pPr>
            <w:r>
              <w:rPr>
                <w:color w:val="000000"/>
                <w:sz w:val="24"/>
              </w:rPr>
              <w:t>健友股份</w:t>
            </w:r>
          </w:p>
        </w:tc>
        <w:tc>
          <w:tcPr>
            <w:vAlign w:val="center"/>
          </w:tcPr>
          <w:p>
            <w:pPr>
              <w:jc w:val="right"/>
            </w:pPr>
            <w:r>
              <w:rPr>
                <w:color w:val="000000"/>
                <w:sz w:val="24"/>
              </w:rPr>
              <w:t>85,430</w:t>
            </w:r>
          </w:p>
        </w:tc>
        <w:tc>
          <w:tcPr>
            <w:vAlign w:val="center"/>
          </w:tcPr>
          <w:p>
            <w:pPr>
              <w:jc w:val="right"/>
            </w:pPr>
            <w:r>
              <w:rPr>
                <w:color w:val="000000"/>
                <w:sz w:val="24"/>
              </w:rPr>
              <w:t>3,019,950.50</w:t>
            </w:r>
          </w:p>
        </w:tc>
        <w:tc>
          <w:tcPr>
            <w:vAlign w:val="center"/>
          </w:tcPr>
          <w:p>
            <w:pPr>
              <w:jc w:val="right"/>
            </w:pPr>
            <w:r>
              <w:rPr>
                <w:color w:val="000000"/>
                <w:sz w:val="24"/>
              </w:rPr>
              <w:t>0.96</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601398</w:t>
            </w:r>
          </w:p>
        </w:tc>
        <w:tc>
          <w:tcPr>
            <w:vAlign w:val="center"/>
          </w:tcPr>
          <w:p>
            <w:pPr>
              <w:jc w:val="center"/>
            </w:pPr>
            <w:r>
              <w:rPr>
                <w:sz w:val="24"/>
              </w:rPr>
              <w:t>工商银行</w:t>
            </w:r>
          </w:p>
        </w:tc>
        <w:tc>
          <w:tcPr>
            <w:vAlign w:val="center"/>
          </w:tcPr>
          <w:p>
            <w:pPr>
              <w:jc w:val="right"/>
            </w:pPr>
            <w:r>
              <w:rPr>
                <w:sz w:val="24"/>
              </w:rPr>
              <w:t>19,999,912.00</w:t>
            </w:r>
          </w:p>
        </w:tc>
        <w:tc>
          <w:tcPr>
            <w:vAlign w:val="center"/>
          </w:tcPr>
          <w:p>
            <w:pPr>
              <w:jc w:val="right"/>
            </w:pPr>
            <w:r>
              <w:rPr>
                <w:sz w:val="24"/>
              </w:rPr>
              <w:t>15.63</w:t>
            </w:r>
          </w:p>
        </w:tc>
      </w:tr>
      <w:tr>
        <w:tc>
          <w:tcPr>
            <w:vAlign w:val="center"/>
          </w:tcPr>
          <w:p>
            <w:pPr>
              <w:jc w:val="center"/>
            </w:pPr>
            <w:r>
              <w:rPr>
                <w:sz w:val="24"/>
              </w:rPr>
              <w:t>2</w:t>
            </w:r>
          </w:p>
        </w:tc>
        <w:tc>
          <w:tcPr>
            <w:vAlign w:val="center"/>
          </w:tcPr>
          <w:p>
            <w:pPr>
              <w:jc w:val="center"/>
            </w:pPr>
            <w:r>
              <w:rPr>
                <w:sz w:val="24"/>
              </w:rPr>
              <w:t>601939</w:t>
            </w:r>
          </w:p>
        </w:tc>
        <w:tc>
          <w:tcPr>
            <w:vAlign w:val="center"/>
          </w:tcPr>
          <w:p>
            <w:pPr>
              <w:jc w:val="center"/>
            </w:pPr>
            <w:r>
              <w:rPr>
                <w:sz w:val="24"/>
              </w:rPr>
              <w:t>建设银行</w:t>
            </w:r>
          </w:p>
        </w:tc>
        <w:tc>
          <w:tcPr>
            <w:vAlign w:val="center"/>
          </w:tcPr>
          <w:p>
            <w:pPr>
              <w:jc w:val="right"/>
            </w:pPr>
            <w:r>
              <w:rPr>
                <w:sz w:val="24"/>
              </w:rPr>
              <w:t>14,098,876.00</w:t>
            </w:r>
          </w:p>
        </w:tc>
        <w:tc>
          <w:tcPr>
            <w:vAlign w:val="center"/>
          </w:tcPr>
          <w:p>
            <w:pPr>
              <w:jc w:val="right"/>
            </w:pPr>
            <w:r>
              <w:rPr>
                <w:sz w:val="24"/>
              </w:rPr>
              <w:t>11.02</w:t>
            </w:r>
          </w:p>
        </w:tc>
      </w:tr>
      <w:tr>
        <w:tc>
          <w:tcPr>
            <w:vAlign w:val="center"/>
          </w:tcPr>
          <w:p>
            <w:pPr>
              <w:jc w:val="center"/>
            </w:pPr>
            <w:r>
              <w:rPr>
                <w:sz w:val="24"/>
              </w:rPr>
              <w:t>3</w:t>
            </w:r>
          </w:p>
        </w:tc>
        <w:tc>
          <w:tcPr>
            <w:vAlign w:val="center"/>
          </w:tcPr>
          <w:p>
            <w:pPr>
              <w:jc w:val="center"/>
            </w:pPr>
            <w:r>
              <w:rPr>
                <w:sz w:val="24"/>
              </w:rPr>
              <w:t>601988</w:t>
            </w:r>
          </w:p>
        </w:tc>
        <w:tc>
          <w:tcPr>
            <w:vAlign w:val="center"/>
          </w:tcPr>
          <w:p>
            <w:pPr>
              <w:jc w:val="center"/>
            </w:pPr>
            <w:r>
              <w:rPr>
                <w:sz w:val="24"/>
              </w:rPr>
              <w:t>中国银行</w:t>
            </w:r>
          </w:p>
        </w:tc>
        <w:tc>
          <w:tcPr>
            <w:vAlign w:val="center"/>
          </w:tcPr>
          <w:p>
            <w:pPr>
              <w:jc w:val="right"/>
            </w:pPr>
            <w:r>
              <w:rPr>
                <w:sz w:val="24"/>
              </w:rPr>
              <w:t>13,999,848.00</w:t>
            </w:r>
          </w:p>
        </w:tc>
        <w:tc>
          <w:tcPr>
            <w:vAlign w:val="center"/>
          </w:tcPr>
          <w:p>
            <w:pPr>
              <w:jc w:val="right"/>
            </w:pPr>
            <w:r>
              <w:rPr>
                <w:sz w:val="24"/>
              </w:rPr>
              <w:t>10.94</w:t>
            </w:r>
          </w:p>
        </w:tc>
      </w:tr>
      <w:tr>
        <w:tc>
          <w:tcPr>
            <w:vAlign w:val="center"/>
          </w:tcPr>
          <w:p>
            <w:pPr>
              <w:jc w:val="center"/>
            </w:pPr>
            <w:r>
              <w:rPr>
                <w:sz w:val="24"/>
              </w:rPr>
              <w:t>4</w:t>
            </w:r>
          </w:p>
        </w:tc>
        <w:tc>
          <w:tcPr>
            <w:vAlign w:val="center"/>
          </w:tcPr>
          <w:p>
            <w:pPr>
              <w:jc w:val="center"/>
            </w:pPr>
            <w:r>
              <w:rPr>
                <w:sz w:val="24"/>
              </w:rPr>
              <w:t>601336</w:t>
            </w:r>
          </w:p>
        </w:tc>
        <w:tc>
          <w:tcPr>
            <w:vAlign w:val="center"/>
          </w:tcPr>
          <w:p>
            <w:pPr>
              <w:jc w:val="center"/>
            </w:pPr>
            <w:r>
              <w:rPr>
                <w:sz w:val="24"/>
              </w:rPr>
              <w:t>新华保险</w:t>
            </w:r>
          </w:p>
        </w:tc>
        <w:tc>
          <w:tcPr>
            <w:vAlign w:val="center"/>
          </w:tcPr>
          <w:p>
            <w:pPr>
              <w:jc w:val="right"/>
            </w:pPr>
            <w:r>
              <w:rPr>
                <w:sz w:val="24"/>
              </w:rPr>
              <w:t>12,369,034.00</w:t>
            </w:r>
          </w:p>
        </w:tc>
        <w:tc>
          <w:tcPr>
            <w:vAlign w:val="center"/>
          </w:tcPr>
          <w:p>
            <w:pPr>
              <w:jc w:val="right"/>
            </w:pPr>
            <w:r>
              <w:rPr>
                <w:sz w:val="24"/>
              </w:rPr>
              <w:t>9.66</w:t>
            </w:r>
          </w:p>
        </w:tc>
      </w:tr>
      <w:tr>
        <w:tc>
          <w:tcPr>
            <w:vAlign w:val="center"/>
          </w:tcPr>
          <w:p>
            <w:pPr>
              <w:jc w:val="center"/>
            </w:pPr>
            <w:r>
              <w:rPr>
                <w:sz w:val="24"/>
              </w:rPr>
              <w:t>5</w:t>
            </w:r>
          </w:p>
        </w:tc>
        <w:tc>
          <w:tcPr>
            <w:vAlign w:val="center"/>
          </w:tcPr>
          <w:p>
            <w:pPr>
              <w:jc w:val="center"/>
            </w:pPr>
            <w:r>
              <w:rPr>
                <w:sz w:val="24"/>
              </w:rPr>
              <w:t>002180</w:t>
            </w:r>
          </w:p>
        </w:tc>
        <w:tc>
          <w:tcPr>
            <w:vAlign w:val="center"/>
          </w:tcPr>
          <w:p>
            <w:pPr>
              <w:jc w:val="center"/>
            </w:pPr>
            <w:r>
              <w:rPr>
                <w:sz w:val="24"/>
              </w:rPr>
              <w:t>纳思达</w:t>
            </w:r>
          </w:p>
        </w:tc>
        <w:tc>
          <w:tcPr>
            <w:vAlign w:val="center"/>
          </w:tcPr>
          <w:p>
            <w:pPr>
              <w:jc w:val="right"/>
            </w:pPr>
            <w:r>
              <w:rPr>
                <w:sz w:val="24"/>
              </w:rPr>
              <w:t>10,881,290.00</w:t>
            </w:r>
          </w:p>
        </w:tc>
        <w:tc>
          <w:tcPr>
            <w:vAlign w:val="center"/>
          </w:tcPr>
          <w:p>
            <w:pPr>
              <w:jc w:val="right"/>
            </w:pPr>
            <w:r>
              <w:rPr>
                <w:sz w:val="24"/>
              </w:rPr>
              <w:t>8.50</w:t>
            </w:r>
          </w:p>
        </w:tc>
      </w:tr>
      <w:tr>
        <w:tc>
          <w:tcPr>
            <w:vAlign w:val="center"/>
          </w:tcPr>
          <w:p>
            <w:pPr>
              <w:jc w:val="center"/>
            </w:pPr>
            <w:r>
              <w:rPr>
                <w:sz w:val="24"/>
              </w:rPr>
              <w:t>6</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10,659,952.00</w:t>
            </w:r>
          </w:p>
        </w:tc>
        <w:tc>
          <w:tcPr>
            <w:vAlign w:val="center"/>
          </w:tcPr>
          <w:p>
            <w:pPr>
              <w:jc w:val="right"/>
            </w:pPr>
            <w:r>
              <w:rPr>
                <w:sz w:val="24"/>
              </w:rPr>
              <w:t>8.33</w:t>
            </w:r>
          </w:p>
        </w:tc>
      </w:tr>
      <w:tr>
        <w:tc>
          <w:tcPr>
            <w:vAlign w:val="center"/>
          </w:tcPr>
          <w:p>
            <w:pPr>
              <w:jc w:val="center"/>
            </w:pPr>
            <w:r>
              <w:rPr>
                <w:sz w:val="24"/>
              </w:rPr>
              <w:t>7</w:t>
            </w:r>
          </w:p>
        </w:tc>
        <w:tc>
          <w:tcPr>
            <w:vAlign w:val="center"/>
          </w:tcPr>
          <w:p>
            <w:pPr>
              <w:jc w:val="center"/>
            </w:pPr>
            <w:r>
              <w:rPr>
                <w:sz w:val="24"/>
              </w:rPr>
              <w:t>600480</w:t>
            </w:r>
          </w:p>
        </w:tc>
        <w:tc>
          <w:tcPr>
            <w:vAlign w:val="center"/>
          </w:tcPr>
          <w:p>
            <w:pPr>
              <w:jc w:val="center"/>
            </w:pPr>
            <w:r>
              <w:rPr>
                <w:sz w:val="24"/>
              </w:rPr>
              <w:t>凌云股份</w:t>
            </w:r>
          </w:p>
        </w:tc>
        <w:tc>
          <w:tcPr>
            <w:vAlign w:val="center"/>
          </w:tcPr>
          <w:p>
            <w:pPr>
              <w:jc w:val="right"/>
            </w:pPr>
            <w:r>
              <w:rPr>
                <w:sz w:val="24"/>
              </w:rPr>
              <w:t>10,652,148.62</w:t>
            </w:r>
          </w:p>
        </w:tc>
        <w:tc>
          <w:tcPr>
            <w:vAlign w:val="center"/>
          </w:tcPr>
          <w:p>
            <w:pPr>
              <w:jc w:val="right"/>
            </w:pPr>
            <w:r>
              <w:rPr>
                <w:sz w:val="24"/>
              </w:rPr>
              <w:t>8.32</w:t>
            </w:r>
          </w:p>
        </w:tc>
      </w:tr>
      <w:tr>
        <w:tc>
          <w:tcPr>
            <w:vAlign w:val="center"/>
          </w:tcPr>
          <w:p>
            <w:pPr>
              <w:jc w:val="center"/>
            </w:pPr>
            <w:r>
              <w:rPr>
                <w:sz w:val="24"/>
              </w:rPr>
              <w:t>8</w:t>
            </w:r>
          </w:p>
        </w:tc>
        <w:tc>
          <w:tcPr>
            <w:vAlign w:val="center"/>
          </w:tcPr>
          <w:p>
            <w:pPr>
              <w:jc w:val="center"/>
            </w:pPr>
            <w:r>
              <w:rPr>
                <w:sz w:val="24"/>
              </w:rPr>
              <w:t>300638</w:t>
            </w:r>
          </w:p>
        </w:tc>
        <w:tc>
          <w:tcPr>
            <w:vAlign w:val="center"/>
          </w:tcPr>
          <w:p>
            <w:pPr>
              <w:jc w:val="center"/>
            </w:pPr>
            <w:r>
              <w:rPr>
                <w:sz w:val="24"/>
              </w:rPr>
              <w:t>广和通</w:t>
            </w:r>
          </w:p>
        </w:tc>
        <w:tc>
          <w:tcPr>
            <w:vAlign w:val="center"/>
          </w:tcPr>
          <w:p>
            <w:pPr>
              <w:jc w:val="right"/>
            </w:pPr>
            <w:r>
              <w:rPr>
                <w:sz w:val="24"/>
              </w:rPr>
              <w:t>9,810,186.00</w:t>
            </w:r>
          </w:p>
        </w:tc>
        <w:tc>
          <w:tcPr>
            <w:vAlign w:val="center"/>
          </w:tcPr>
          <w:p>
            <w:pPr>
              <w:jc w:val="right"/>
            </w:pPr>
            <w:r>
              <w:rPr>
                <w:sz w:val="24"/>
              </w:rPr>
              <w:t>7.66</w:t>
            </w:r>
          </w:p>
        </w:tc>
      </w:tr>
      <w:tr>
        <w:tc>
          <w:tcPr>
            <w:vAlign w:val="center"/>
          </w:tcPr>
          <w:p>
            <w:pPr>
              <w:jc w:val="center"/>
            </w:pPr>
            <w:r>
              <w:rPr>
                <w:sz w:val="24"/>
              </w:rPr>
              <w:t>9</w:t>
            </w:r>
          </w:p>
        </w:tc>
        <w:tc>
          <w:tcPr>
            <w:vAlign w:val="center"/>
          </w:tcPr>
          <w:p>
            <w:pPr>
              <w:jc w:val="center"/>
            </w:pPr>
            <w:r>
              <w:rPr>
                <w:sz w:val="24"/>
              </w:rPr>
              <w:t>002607</w:t>
            </w:r>
          </w:p>
        </w:tc>
        <w:tc>
          <w:tcPr>
            <w:vAlign w:val="center"/>
          </w:tcPr>
          <w:p>
            <w:pPr>
              <w:jc w:val="center"/>
            </w:pPr>
            <w:r>
              <w:rPr>
                <w:sz w:val="24"/>
              </w:rPr>
              <w:t>中公教育</w:t>
            </w:r>
          </w:p>
        </w:tc>
        <w:tc>
          <w:tcPr>
            <w:vAlign w:val="center"/>
          </w:tcPr>
          <w:p>
            <w:pPr>
              <w:jc w:val="right"/>
            </w:pPr>
            <w:r>
              <w:rPr>
                <w:sz w:val="24"/>
              </w:rPr>
              <w:t>8,543,292.00</w:t>
            </w:r>
          </w:p>
        </w:tc>
        <w:tc>
          <w:tcPr>
            <w:vAlign w:val="center"/>
          </w:tcPr>
          <w:p>
            <w:pPr>
              <w:jc w:val="right"/>
            </w:pPr>
            <w:r>
              <w:rPr>
                <w:sz w:val="24"/>
              </w:rPr>
              <w:t>6.67</w:t>
            </w:r>
          </w:p>
        </w:tc>
      </w:tr>
      <w:tr>
        <w:tc>
          <w:tcPr>
            <w:vAlign w:val="center"/>
          </w:tcPr>
          <w:p>
            <w:pPr>
              <w:jc w:val="center"/>
            </w:pPr>
            <w:r>
              <w:rPr>
                <w:sz w:val="24"/>
              </w:rPr>
              <w:t>10</w:t>
            </w:r>
          </w:p>
        </w:tc>
        <w:tc>
          <w:tcPr>
            <w:vAlign w:val="center"/>
          </w:tcPr>
          <w:p>
            <w:pPr>
              <w:jc w:val="center"/>
            </w:pPr>
            <w:r>
              <w:rPr>
                <w:sz w:val="24"/>
              </w:rPr>
              <w:t>600900</w:t>
            </w:r>
          </w:p>
        </w:tc>
        <w:tc>
          <w:tcPr>
            <w:vAlign w:val="center"/>
          </w:tcPr>
          <w:p>
            <w:pPr>
              <w:jc w:val="center"/>
            </w:pPr>
            <w:r>
              <w:rPr>
                <w:sz w:val="24"/>
              </w:rPr>
              <w:t>长江电力</w:t>
            </w:r>
          </w:p>
        </w:tc>
        <w:tc>
          <w:tcPr>
            <w:vAlign w:val="center"/>
          </w:tcPr>
          <w:p>
            <w:pPr>
              <w:jc w:val="right"/>
            </w:pPr>
            <w:r>
              <w:rPr>
                <w:sz w:val="24"/>
              </w:rPr>
              <w:t>8,431,838.24</w:t>
            </w:r>
          </w:p>
        </w:tc>
        <w:tc>
          <w:tcPr>
            <w:vAlign w:val="center"/>
          </w:tcPr>
          <w:p>
            <w:pPr>
              <w:jc w:val="right"/>
            </w:pPr>
            <w:r>
              <w:rPr>
                <w:sz w:val="24"/>
              </w:rPr>
              <w:t>6.59</w:t>
            </w:r>
          </w:p>
        </w:tc>
      </w:tr>
      <w:tr>
        <w:tc>
          <w:tcPr>
            <w:vAlign w:val="center"/>
          </w:tcPr>
          <w:p>
            <w:pPr>
              <w:jc w:val="center"/>
            </w:pPr>
            <w:r>
              <w:rPr>
                <w:sz w:val="24"/>
              </w:rPr>
              <w:t>11</w:t>
            </w:r>
          </w:p>
        </w:tc>
        <w:tc>
          <w:tcPr>
            <w:vAlign w:val="center"/>
          </w:tcPr>
          <w:p>
            <w:pPr>
              <w:jc w:val="center"/>
            </w:pPr>
            <w:r>
              <w:rPr>
                <w:sz w:val="24"/>
              </w:rPr>
              <w:t>300146</w:t>
            </w:r>
          </w:p>
        </w:tc>
        <w:tc>
          <w:tcPr>
            <w:vAlign w:val="center"/>
          </w:tcPr>
          <w:p>
            <w:pPr>
              <w:jc w:val="center"/>
            </w:pPr>
            <w:r>
              <w:rPr>
                <w:sz w:val="24"/>
              </w:rPr>
              <w:t>汤臣倍健</w:t>
            </w:r>
          </w:p>
        </w:tc>
        <w:tc>
          <w:tcPr>
            <w:vAlign w:val="center"/>
          </w:tcPr>
          <w:p>
            <w:pPr>
              <w:jc w:val="right"/>
            </w:pPr>
            <w:r>
              <w:rPr>
                <w:sz w:val="24"/>
              </w:rPr>
              <w:t>8,389,542.00</w:t>
            </w:r>
          </w:p>
        </w:tc>
        <w:tc>
          <w:tcPr>
            <w:vAlign w:val="center"/>
          </w:tcPr>
          <w:p>
            <w:pPr>
              <w:jc w:val="right"/>
            </w:pPr>
            <w:r>
              <w:rPr>
                <w:sz w:val="24"/>
              </w:rPr>
              <w:t>6.55</w:t>
            </w:r>
          </w:p>
        </w:tc>
      </w:tr>
      <w:tr>
        <w:tc>
          <w:tcPr>
            <w:vAlign w:val="center"/>
          </w:tcPr>
          <w:p>
            <w:pPr>
              <w:jc w:val="center"/>
            </w:pPr>
            <w:r>
              <w:rPr>
                <w:sz w:val="24"/>
              </w:rPr>
              <w:t>12</w:t>
            </w:r>
          </w:p>
        </w:tc>
        <w:tc>
          <w:tcPr>
            <w:vAlign w:val="center"/>
          </w:tcPr>
          <w:p>
            <w:pPr>
              <w:jc w:val="center"/>
            </w:pPr>
            <w:r>
              <w:rPr>
                <w:sz w:val="24"/>
              </w:rPr>
              <w:t>002216</w:t>
            </w:r>
          </w:p>
        </w:tc>
        <w:tc>
          <w:tcPr>
            <w:vAlign w:val="center"/>
          </w:tcPr>
          <w:p>
            <w:pPr>
              <w:jc w:val="center"/>
            </w:pPr>
            <w:r>
              <w:rPr>
                <w:sz w:val="24"/>
              </w:rPr>
              <w:t>三全食品</w:t>
            </w:r>
          </w:p>
        </w:tc>
        <w:tc>
          <w:tcPr>
            <w:vAlign w:val="center"/>
          </w:tcPr>
          <w:p>
            <w:pPr>
              <w:jc w:val="right"/>
            </w:pPr>
            <w:r>
              <w:rPr>
                <w:sz w:val="24"/>
              </w:rPr>
              <w:t>7,593,114.16</w:t>
            </w:r>
          </w:p>
        </w:tc>
        <w:tc>
          <w:tcPr>
            <w:vAlign w:val="center"/>
          </w:tcPr>
          <w:p>
            <w:pPr>
              <w:jc w:val="right"/>
            </w:pPr>
            <w:r>
              <w:rPr>
                <w:sz w:val="24"/>
              </w:rPr>
              <w:t>5.93</w:t>
            </w:r>
          </w:p>
        </w:tc>
      </w:tr>
      <w:tr>
        <w:tc>
          <w:tcPr>
            <w:vAlign w:val="center"/>
          </w:tcPr>
          <w:p>
            <w:pPr>
              <w:jc w:val="center"/>
            </w:pPr>
            <w:r>
              <w:rPr>
                <w:sz w:val="24"/>
              </w:rPr>
              <w:t>13</w:t>
            </w:r>
          </w:p>
        </w:tc>
        <w:tc>
          <w:tcPr>
            <w:vAlign w:val="center"/>
          </w:tcPr>
          <w:p>
            <w:pPr>
              <w:jc w:val="center"/>
            </w:pPr>
            <w:r>
              <w:rPr>
                <w:sz w:val="24"/>
              </w:rPr>
              <w:t>603707</w:t>
            </w:r>
          </w:p>
        </w:tc>
        <w:tc>
          <w:tcPr>
            <w:vAlign w:val="center"/>
          </w:tcPr>
          <w:p>
            <w:pPr>
              <w:jc w:val="center"/>
            </w:pPr>
            <w:r>
              <w:rPr>
                <w:sz w:val="24"/>
              </w:rPr>
              <w:t>健友股份</w:t>
            </w:r>
          </w:p>
        </w:tc>
        <w:tc>
          <w:tcPr>
            <w:vAlign w:val="center"/>
          </w:tcPr>
          <w:p>
            <w:pPr>
              <w:jc w:val="right"/>
            </w:pPr>
            <w:r>
              <w:rPr>
                <w:sz w:val="24"/>
              </w:rPr>
              <w:t>6,683,138.00</w:t>
            </w:r>
          </w:p>
        </w:tc>
        <w:tc>
          <w:tcPr>
            <w:vAlign w:val="center"/>
          </w:tcPr>
          <w:p>
            <w:pPr>
              <w:jc w:val="right"/>
            </w:pPr>
            <w:r>
              <w:rPr>
                <w:sz w:val="24"/>
              </w:rPr>
              <w:t>5.22</w:t>
            </w:r>
          </w:p>
        </w:tc>
      </w:tr>
      <w:tr>
        <w:tc>
          <w:tcPr>
            <w:vAlign w:val="center"/>
          </w:tcPr>
          <w:p>
            <w:pPr>
              <w:jc w:val="center"/>
            </w:pPr>
            <w:r>
              <w:rPr>
                <w:sz w:val="24"/>
              </w:rPr>
              <w:t>14</w:t>
            </w:r>
          </w:p>
        </w:tc>
        <w:tc>
          <w:tcPr>
            <w:vAlign w:val="center"/>
          </w:tcPr>
          <w:p>
            <w:pPr>
              <w:jc w:val="center"/>
            </w:pPr>
            <w:r>
              <w:rPr>
                <w:sz w:val="24"/>
              </w:rPr>
              <w:t>600559</w:t>
            </w:r>
          </w:p>
        </w:tc>
        <w:tc>
          <w:tcPr>
            <w:vAlign w:val="center"/>
          </w:tcPr>
          <w:p>
            <w:pPr>
              <w:jc w:val="center"/>
            </w:pPr>
            <w:r>
              <w:rPr>
                <w:sz w:val="24"/>
              </w:rPr>
              <w:t>老白干酒</w:t>
            </w:r>
          </w:p>
        </w:tc>
        <w:tc>
          <w:tcPr>
            <w:vAlign w:val="center"/>
          </w:tcPr>
          <w:p>
            <w:pPr>
              <w:jc w:val="right"/>
            </w:pPr>
            <w:r>
              <w:rPr>
                <w:sz w:val="24"/>
              </w:rPr>
              <w:t>6,673,551.00</w:t>
            </w:r>
          </w:p>
        </w:tc>
        <w:tc>
          <w:tcPr>
            <w:vAlign w:val="center"/>
          </w:tcPr>
          <w:p>
            <w:pPr>
              <w:jc w:val="right"/>
            </w:pPr>
            <w:r>
              <w:rPr>
                <w:sz w:val="24"/>
              </w:rPr>
              <w:t>5.21</w:t>
            </w:r>
          </w:p>
        </w:tc>
      </w:tr>
      <w:tr>
        <w:tc>
          <w:tcPr>
            <w:vAlign w:val="center"/>
          </w:tcPr>
          <w:p>
            <w:pPr>
              <w:jc w:val="center"/>
            </w:pPr>
            <w:r>
              <w:rPr>
                <w:sz w:val="24"/>
              </w:rPr>
              <w:t>15</w:t>
            </w:r>
          </w:p>
        </w:tc>
        <w:tc>
          <w:tcPr>
            <w:vAlign w:val="center"/>
          </w:tcPr>
          <w:p>
            <w:pPr>
              <w:jc w:val="center"/>
            </w:pPr>
            <w:r>
              <w:rPr>
                <w:sz w:val="24"/>
              </w:rPr>
              <w:t>600216</w:t>
            </w:r>
          </w:p>
        </w:tc>
        <w:tc>
          <w:tcPr>
            <w:vAlign w:val="center"/>
          </w:tcPr>
          <w:p>
            <w:pPr>
              <w:jc w:val="center"/>
            </w:pPr>
            <w:r>
              <w:rPr>
                <w:sz w:val="24"/>
              </w:rPr>
              <w:t>浙江医药</w:t>
            </w:r>
          </w:p>
        </w:tc>
        <w:tc>
          <w:tcPr>
            <w:vAlign w:val="center"/>
          </w:tcPr>
          <w:p>
            <w:pPr>
              <w:jc w:val="right"/>
            </w:pPr>
            <w:r>
              <w:rPr>
                <w:sz w:val="24"/>
              </w:rPr>
              <w:t>3,177,233.60</w:t>
            </w:r>
          </w:p>
        </w:tc>
        <w:tc>
          <w:tcPr>
            <w:vAlign w:val="center"/>
          </w:tcPr>
          <w:p>
            <w:pPr>
              <w:jc w:val="right"/>
            </w:pPr>
            <w:r>
              <w:rPr>
                <w:sz w:val="24"/>
              </w:rPr>
              <w:t>2.48</w:t>
            </w:r>
          </w:p>
        </w:tc>
      </w:tr>
      <w:tr>
        <w:tc>
          <w:tcPr>
            <w:vAlign w:val="center"/>
          </w:tcPr>
          <w:p>
            <w:pPr>
              <w:jc w:val="center"/>
            </w:pPr>
            <w:r>
              <w:rPr>
                <w:sz w:val="24"/>
              </w:rPr>
              <w:t>16</w:t>
            </w:r>
          </w:p>
        </w:tc>
        <w:tc>
          <w:tcPr>
            <w:vAlign w:val="center"/>
          </w:tcPr>
          <w:p>
            <w:pPr>
              <w:jc w:val="center"/>
            </w:pPr>
            <w:r>
              <w:rPr>
                <w:sz w:val="24"/>
              </w:rPr>
              <w:t>601006</w:t>
            </w:r>
          </w:p>
        </w:tc>
        <w:tc>
          <w:tcPr>
            <w:vAlign w:val="center"/>
          </w:tcPr>
          <w:p>
            <w:pPr>
              <w:jc w:val="center"/>
            </w:pPr>
            <w:r>
              <w:rPr>
                <w:sz w:val="24"/>
              </w:rPr>
              <w:t>大秦铁路</w:t>
            </w:r>
          </w:p>
        </w:tc>
        <w:tc>
          <w:tcPr>
            <w:vAlign w:val="center"/>
          </w:tcPr>
          <w:p>
            <w:pPr>
              <w:jc w:val="right"/>
            </w:pPr>
            <w:r>
              <w:rPr>
                <w:sz w:val="24"/>
              </w:rPr>
              <w:t>1,599,742.00</w:t>
            </w:r>
          </w:p>
        </w:tc>
        <w:tc>
          <w:tcPr>
            <w:vAlign w:val="center"/>
          </w:tcPr>
          <w:p>
            <w:pPr>
              <w:jc w:val="right"/>
            </w:pPr>
            <w:r>
              <w:rPr>
                <w:sz w:val="24"/>
              </w:rPr>
              <w:t>1.25</w:t>
            </w:r>
          </w:p>
        </w:tc>
      </w:tr>
      <w:tr>
        <w:tc>
          <w:tcPr>
            <w:vAlign w:val="center"/>
          </w:tcPr>
          <w:p>
            <w:pPr>
              <w:jc w:val="center"/>
            </w:pPr>
            <w:r>
              <w:rPr>
                <w:sz w:val="24"/>
              </w:rPr>
              <w:t>17</w:t>
            </w:r>
          </w:p>
        </w:tc>
        <w:tc>
          <w:tcPr>
            <w:vAlign w:val="center"/>
          </w:tcPr>
          <w:p>
            <w:pPr>
              <w:jc w:val="center"/>
            </w:pPr>
            <w:r>
              <w:rPr>
                <w:sz w:val="24"/>
              </w:rPr>
              <w:t>600989</w:t>
            </w:r>
          </w:p>
        </w:tc>
        <w:tc>
          <w:tcPr>
            <w:vAlign w:val="center"/>
          </w:tcPr>
          <w:p>
            <w:pPr>
              <w:jc w:val="center"/>
            </w:pPr>
            <w:r>
              <w:rPr>
                <w:sz w:val="24"/>
              </w:rPr>
              <w:t>宝丰能源</w:t>
            </w:r>
          </w:p>
        </w:tc>
        <w:tc>
          <w:tcPr>
            <w:vAlign w:val="center"/>
          </w:tcPr>
          <w:p>
            <w:pPr>
              <w:jc w:val="right"/>
            </w:pPr>
            <w:r>
              <w:rPr>
                <w:sz w:val="24"/>
              </w:rPr>
              <w:t>270,838.72</w:t>
            </w:r>
          </w:p>
        </w:tc>
        <w:tc>
          <w:tcPr>
            <w:vAlign w:val="center"/>
          </w:tcPr>
          <w:p>
            <w:pPr>
              <w:jc w:val="right"/>
            </w:pPr>
            <w:r>
              <w:rPr>
                <w:sz w:val="24"/>
              </w:rPr>
              <w:t>0.21</w:t>
            </w:r>
          </w:p>
        </w:tc>
      </w:tr>
      <w:tr>
        <w:tc>
          <w:tcPr>
            <w:vAlign w:val="center"/>
          </w:tcPr>
          <w:p>
            <w:pPr>
              <w:jc w:val="center"/>
            </w:pPr>
            <w:r>
              <w:rPr>
                <w:sz w:val="24"/>
              </w:rPr>
              <w:t>18</w:t>
            </w:r>
          </w:p>
        </w:tc>
        <w:tc>
          <w:tcPr>
            <w:vAlign w:val="center"/>
          </w:tcPr>
          <w:p>
            <w:pPr>
              <w:jc w:val="center"/>
            </w:pPr>
            <w:r>
              <w:rPr>
                <w:sz w:val="24"/>
              </w:rPr>
              <w:t>600968</w:t>
            </w:r>
          </w:p>
        </w:tc>
        <w:tc>
          <w:tcPr>
            <w:vAlign w:val="center"/>
          </w:tcPr>
          <w:p>
            <w:pPr>
              <w:jc w:val="center"/>
            </w:pPr>
            <w:r>
              <w:rPr>
                <w:sz w:val="24"/>
              </w:rPr>
              <w:t>海油发展</w:t>
            </w:r>
          </w:p>
        </w:tc>
        <w:tc>
          <w:tcPr>
            <w:vAlign w:val="center"/>
          </w:tcPr>
          <w:p>
            <w:pPr>
              <w:jc w:val="right"/>
            </w:pPr>
            <w:r>
              <w:rPr>
                <w:sz w:val="24"/>
              </w:rPr>
              <w:t>100,727.04</w:t>
            </w:r>
          </w:p>
        </w:tc>
        <w:tc>
          <w:tcPr>
            <w:vAlign w:val="center"/>
          </w:tcPr>
          <w:p>
            <w:pPr>
              <w:jc w:val="right"/>
            </w:pPr>
            <w:r>
              <w:rPr>
                <w:sz w:val="24"/>
              </w:rPr>
              <w:t>0.08</w:t>
            </w:r>
          </w:p>
        </w:tc>
      </w:tr>
      <w:tr>
        <w:tc>
          <w:tcPr>
            <w:vAlign w:val="center"/>
          </w:tcPr>
          <w:p>
            <w:pPr>
              <w:jc w:val="center"/>
            </w:pPr>
            <w:r>
              <w:rPr>
                <w:sz w:val="24"/>
              </w:rPr>
              <w:t>19</w:t>
            </w:r>
          </w:p>
        </w:tc>
        <w:tc>
          <w:tcPr>
            <w:vAlign w:val="center"/>
          </w:tcPr>
          <w:p>
            <w:pPr>
              <w:jc w:val="center"/>
            </w:pPr>
            <w:r>
              <w:rPr>
                <w:sz w:val="24"/>
              </w:rPr>
              <w:t>601298</w:t>
            </w:r>
          </w:p>
        </w:tc>
        <w:tc>
          <w:tcPr>
            <w:vAlign w:val="center"/>
          </w:tcPr>
          <w:p>
            <w:pPr>
              <w:jc w:val="center"/>
            </w:pPr>
            <w:r>
              <w:rPr>
                <w:sz w:val="24"/>
              </w:rPr>
              <w:t>青岛港</w:t>
            </w:r>
          </w:p>
        </w:tc>
        <w:tc>
          <w:tcPr>
            <w:vAlign w:val="center"/>
          </w:tcPr>
          <w:p>
            <w:pPr>
              <w:jc w:val="right"/>
            </w:pPr>
            <w:r>
              <w:rPr>
                <w:sz w:val="24"/>
              </w:rPr>
              <w:t>90,508.13</w:t>
            </w:r>
          </w:p>
        </w:tc>
        <w:tc>
          <w:tcPr>
            <w:vAlign w:val="center"/>
          </w:tcPr>
          <w:p>
            <w:pPr>
              <w:jc w:val="right"/>
            </w:pPr>
            <w:r>
              <w:rPr>
                <w:sz w:val="24"/>
              </w:rPr>
              <w:t>0.07</w:t>
            </w:r>
          </w:p>
        </w:tc>
      </w:tr>
      <w:tr>
        <w:tc>
          <w:tcPr>
            <w:vAlign w:val="center"/>
          </w:tcPr>
          <w:p>
            <w:pPr>
              <w:jc w:val="center"/>
            </w:pPr>
            <w:r>
              <w:rPr>
                <w:sz w:val="24"/>
              </w:rPr>
              <w:t>20</w:t>
            </w:r>
          </w:p>
        </w:tc>
        <w:tc>
          <w:tcPr>
            <w:vAlign w:val="center"/>
          </w:tcPr>
          <w:p>
            <w:pPr>
              <w:jc w:val="center"/>
            </w:pPr>
            <w:r>
              <w:rPr>
                <w:sz w:val="24"/>
              </w:rPr>
              <w:t>600928</w:t>
            </w:r>
          </w:p>
        </w:tc>
        <w:tc>
          <w:tcPr>
            <w:vAlign w:val="center"/>
          </w:tcPr>
          <w:p>
            <w:pPr>
              <w:jc w:val="center"/>
            </w:pPr>
            <w:r>
              <w:rPr>
                <w:sz w:val="24"/>
              </w:rPr>
              <w:t>西安银行</w:t>
            </w:r>
          </w:p>
        </w:tc>
        <w:tc>
          <w:tcPr>
            <w:vAlign w:val="center"/>
          </w:tcPr>
          <w:p>
            <w:pPr>
              <w:jc w:val="right"/>
            </w:pPr>
            <w:r>
              <w:rPr>
                <w:sz w:val="24"/>
              </w:rPr>
              <w:t>74,056.32</w:t>
            </w:r>
          </w:p>
        </w:tc>
        <w:tc>
          <w:tcPr>
            <w:vAlign w:val="center"/>
          </w:tcPr>
          <w:p>
            <w:pPr>
              <w:jc w:val="right"/>
            </w:pPr>
            <w:r>
              <w:rPr>
                <w:sz w:val="24"/>
              </w:rPr>
              <w:t>0.06</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300638</w:t>
            </w:r>
          </w:p>
        </w:tc>
        <w:tc>
          <w:tcPr>
            <w:vAlign w:val="center"/>
          </w:tcPr>
          <w:p>
            <w:pPr>
              <w:jc w:val="center"/>
            </w:pPr>
            <w:r>
              <w:rPr>
                <w:rFonts w:ascii="Times New Roman" w:hAnsi="Times New Roman"/>
                <w:kern w:val="2"/>
              </w:rPr>
              <w:t>广和通</w:t>
            </w:r>
          </w:p>
        </w:tc>
        <w:tc>
          <w:tcPr>
            <w:vAlign w:val="center"/>
          </w:tcPr>
          <w:p>
            <w:pPr>
              <w:jc w:val="right"/>
            </w:pPr>
            <w:r>
              <w:rPr>
                <w:rFonts w:ascii="Times New Roman" w:hAnsi="Times New Roman"/>
                <w:kern w:val="2"/>
              </w:rPr>
              <w:t>16,036,235.22</w:t>
            </w:r>
          </w:p>
        </w:tc>
        <w:tc>
          <w:tcPr>
            <w:vAlign w:val="center"/>
          </w:tcPr>
          <w:p>
            <w:pPr>
              <w:jc w:val="right"/>
            </w:pPr>
            <w:r>
              <w:rPr>
                <w:rFonts w:ascii="Times New Roman" w:hAnsi="Times New Roman"/>
                <w:kern w:val="2"/>
              </w:rPr>
              <w:t>12.53</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600480</w:t>
            </w:r>
          </w:p>
        </w:tc>
        <w:tc>
          <w:tcPr>
            <w:vAlign w:val="center"/>
          </w:tcPr>
          <w:p>
            <w:pPr>
              <w:jc w:val="center"/>
            </w:pPr>
            <w:r>
              <w:rPr>
                <w:rFonts w:ascii="Times New Roman" w:hAnsi="Times New Roman"/>
                <w:kern w:val="2"/>
              </w:rPr>
              <w:t>凌云股份</w:t>
            </w:r>
          </w:p>
        </w:tc>
        <w:tc>
          <w:tcPr>
            <w:vAlign w:val="center"/>
          </w:tcPr>
          <w:p>
            <w:pPr>
              <w:jc w:val="right"/>
            </w:pPr>
            <w:r>
              <w:rPr>
                <w:rFonts w:ascii="Times New Roman" w:hAnsi="Times New Roman"/>
                <w:kern w:val="2"/>
              </w:rPr>
              <w:t>8,598,029.28</w:t>
            </w:r>
          </w:p>
        </w:tc>
        <w:tc>
          <w:tcPr>
            <w:vAlign w:val="center"/>
          </w:tcPr>
          <w:p>
            <w:pPr>
              <w:jc w:val="right"/>
            </w:pPr>
            <w:r>
              <w:rPr>
                <w:rFonts w:ascii="Times New Roman" w:hAnsi="Times New Roman"/>
                <w:kern w:val="2"/>
              </w:rPr>
              <w:t>6.72</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600559</w:t>
            </w:r>
          </w:p>
        </w:tc>
        <w:tc>
          <w:tcPr>
            <w:vAlign w:val="center"/>
          </w:tcPr>
          <w:p>
            <w:pPr>
              <w:jc w:val="center"/>
            </w:pPr>
            <w:r>
              <w:rPr>
                <w:rFonts w:ascii="Times New Roman" w:hAnsi="Times New Roman"/>
                <w:kern w:val="2"/>
              </w:rPr>
              <w:t>老白干酒</w:t>
            </w:r>
          </w:p>
        </w:tc>
        <w:tc>
          <w:tcPr>
            <w:vAlign w:val="center"/>
          </w:tcPr>
          <w:p>
            <w:pPr>
              <w:jc w:val="right"/>
            </w:pPr>
            <w:r>
              <w:rPr>
                <w:rFonts w:ascii="Times New Roman" w:hAnsi="Times New Roman"/>
                <w:kern w:val="2"/>
              </w:rPr>
              <w:t>7,759,393.14</w:t>
            </w:r>
          </w:p>
        </w:tc>
        <w:tc>
          <w:tcPr>
            <w:vAlign w:val="center"/>
          </w:tcPr>
          <w:p>
            <w:pPr>
              <w:jc w:val="right"/>
            </w:pPr>
            <w:r>
              <w:rPr>
                <w:rFonts w:ascii="Times New Roman" w:hAnsi="Times New Roman"/>
                <w:kern w:val="2"/>
              </w:rPr>
              <w:t>6.06</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300146</w:t>
            </w:r>
          </w:p>
        </w:tc>
        <w:tc>
          <w:tcPr>
            <w:vAlign w:val="center"/>
          </w:tcPr>
          <w:p>
            <w:pPr>
              <w:jc w:val="center"/>
            </w:pPr>
            <w:r>
              <w:rPr>
                <w:rFonts w:ascii="Times New Roman" w:hAnsi="Times New Roman"/>
                <w:kern w:val="2"/>
              </w:rPr>
              <w:t>汤臣倍健</w:t>
            </w:r>
          </w:p>
        </w:tc>
        <w:tc>
          <w:tcPr>
            <w:vAlign w:val="center"/>
          </w:tcPr>
          <w:p>
            <w:pPr>
              <w:jc w:val="right"/>
            </w:pPr>
            <w:r>
              <w:rPr>
                <w:rFonts w:ascii="Times New Roman" w:hAnsi="Times New Roman"/>
                <w:kern w:val="2"/>
              </w:rPr>
              <w:t>7,569,956.61</w:t>
            </w:r>
          </w:p>
        </w:tc>
        <w:tc>
          <w:tcPr>
            <w:vAlign w:val="center"/>
          </w:tcPr>
          <w:p>
            <w:pPr>
              <w:jc w:val="right"/>
            </w:pPr>
            <w:r>
              <w:rPr>
                <w:rFonts w:ascii="Times New Roman" w:hAnsi="Times New Roman"/>
                <w:kern w:val="2"/>
              </w:rPr>
              <w:t>5.91</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601336</w:t>
            </w:r>
          </w:p>
        </w:tc>
        <w:tc>
          <w:tcPr>
            <w:vAlign w:val="center"/>
          </w:tcPr>
          <w:p>
            <w:pPr>
              <w:jc w:val="center"/>
            </w:pPr>
            <w:r>
              <w:rPr>
                <w:rFonts w:ascii="Times New Roman" w:hAnsi="Times New Roman"/>
                <w:kern w:val="2"/>
              </w:rPr>
              <w:t>新华保险</w:t>
            </w:r>
          </w:p>
        </w:tc>
        <w:tc>
          <w:tcPr>
            <w:vAlign w:val="center"/>
          </w:tcPr>
          <w:p>
            <w:pPr>
              <w:jc w:val="right"/>
            </w:pPr>
            <w:r>
              <w:rPr>
                <w:rFonts w:ascii="Times New Roman" w:hAnsi="Times New Roman"/>
                <w:kern w:val="2"/>
              </w:rPr>
              <w:t>6,898,553.15</w:t>
            </w:r>
          </w:p>
        </w:tc>
        <w:tc>
          <w:tcPr>
            <w:vAlign w:val="center"/>
          </w:tcPr>
          <w:p>
            <w:pPr>
              <w:jc w:val="right"/>
            </w:pPr>
            <w:r>
              <w:rPr>
                <w:rFonts w:ascii="Times New Roman" w:hAnsi="Times New Roman"/>
                <w:kern w:val="2"/>
              </w:rPr>
              <w:t>5.39</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600036</w:t>
            </w:r>
          </w:p>
        </w:tc>
        <w:tc>
          <w:tcPr>
            <w:vAlign w:val="center"/>
          </w:tcPr>
          <w:p>
            <w:pPr>
              <w:jc w:val="center"/>
            </w:pPr>
            <w:r>
              <w:rPr>
                <w:rFonts w:ascii="Times New Roman" w:hAnsi="Times New Roman"/>
                <w:kern w:val="2"/>
              </w:rPr>
              <w:t>招商银行</w:t>
            </w:r>
          </w:p>
        </w:tc>
        <w:tc>
          <w:tcPr>
            <w:vAlign w:val="center"/>
          </w:tcPr>
          <w:p>
            <w:pPr>
              <w:jc w:val="right"/>
            </w:pPr>
            <w:r>
              <w:rPr>
                <w:rFonts w:ascii="Times New Roman" w:hAnsi="Times New Roman"/>
                <w:kern w:val="2"/>
              </w:rPr>
              <w:t>6,764,734.42</w:t>
            </w:r>
          </w:p>
        </w:tc>
        <w:tc>
          <w:tcPr>
            <w:vAlign w:val="center"/>
          </w:tcPr>
          <w:p>
            <w:pPr>
              <w:jc w:val="right"/>
            </w:pPr>
            <w:r>
              <w:rPr>
                <w:rFonts w:ascii="Times New Roman" w:hAnsi="Times New Roman"/>
                <w:kern w:val="2"/>
              </w:rPr>
              <w:t>5.29</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002180</w:t>
            </w:r>
          </w:p>
        </w:tc>
        <w:tc>
          <w:tcPr>
            <w:vAlign w:val="center"/>
          </w:tcPr>
          <w:p>
            <w:pPr>
              <w:jc w:val="center"/>
            </w:pPr>
            <w:r>
              <w:rPr>
                <w:rFonts w:ascii="Times New Roman" w:hAnsi="Times New Roman"/>
                <w:kern w:val="2"/>
              </w:rPr>
              <w:t>纳思达</w:t>
            </w:r>
          </w:p>
        </w:tc>
        <w:tc>
          <w:tcPr>
            <w:vAlign w:val="center"/>
          </w:tcPr>
          <w:p>
            <w:pPr>
              <w:jc w:val="right"/>
            </w:pPr>
            <w:r>
              <w:rPr>
                <w:rFonts w:ascii="Times New Roman" w:hAnsi="Times New Roman"/>
                <w:kern w:val="2"/>
              </w:rPr>
              <w:t>6,746,785.38</w:t>
            </w:r>
          </w:p>
        </w:tc>
        <w:tc>
          <w:tcPr>
            <w:vAlign w:val="center"/>
          </w:tcPr>
          <w:p>
            <w:pPr>
              <w:jc w:val="right"/>
            </w:pPr>
            <w:r>
              <w:rPr>
                <w:rFonts w:ascii="Times New Roman" w:hAnsi="Times New Roman"/>
                <w:kern w:val="2"/>
              </w:rPr>
              <w:t>5.27</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600256</w:t>
            </w:r>
          </w:p>
        </w:tc>
        <w:tc>
          <w:tcPr>
            <w:vAlign w:val="center"/>
          </w:tcPr>
          <w:p>
            <w:pPr>
              <w:jc w:val="center"/>
            </w:pPr>
            <w:r>
              <w:rPr>
                <w:rFonts w:ascii="Times New Roman" w:hAnsi="Times New Roman"/>
                <w:kern w:val="2"/>
              </w:rPr>
              <w:t>广汇能源</w:t>
            </w:r>
          </w:p>
        </w:tc>
        <w:tc>
          <w:tcPr>
            <w:vAlign w:val="center"/>
          </w:tcPr>
          <w:p>
            <w:pPr>
              <w:jc w:val="right"/>
            </w:pPr>
            <w:r>
              <w:rPr>
                <w:rFonts w:ascii="Times New Roman" w:hAnsi="Times New Roman"/>
                <w:kern w:val="2"/>
              </w:rPr>
              <w:t>6,588,798.04</w:t>
            </w:r>
          </w:p>
        </w:tc>
        <w:tc>
          <w:tcPr>
            <w:vAlign w:val="center"/>
          </w:tcPr>
          <w:p>
            <w:pPr>
              <w:jc w:val="right"/>
            </w:pPr>
            <w:r>
              <w:rPr>
                <w:rFonts w:ascii="Times New Roman" w:hAnsi="Times New Roman"/>
                <w:kern w:val="2"/>
              </w:rPr>
              <w:t>5.15</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603707</w:t>
            </w:r>
          </w:p>
        </w:tc>
        <w:tc>
          <w:tcPr>
            <w:vAlign w:val="center"/>
          </w:tcPr>
          <w:p>
            <w:pPr>
              <w:jc w:val="center"/>
            </w:pPr>
            <w:r>
              <w:rPr>
                <w:rFonts w:ascii="Times New Roman" w:hAnsi="Times New Roman"/>
                <w:kern w:val="2"/>
              </w:rPr>
              <w:t>健友股份</w:t>
            </w:r>
          </w:p>
        </w:tc>
        <w:tc>
          <w:tcPr>
            <w:vAlign w:val="center"/>
          </w:tcPr>
          <w:p>
            <w:pPr>
              <w:jc w:val="right"/>
            </w:pPr>
            <w:r>
              <w:rPr>
                <w:rFonts w:ascii="Times New Roman" w:hAnsi="Times New Roman"/>
                <w:kern w:val="2"/>
              </w:rPr>
              <w:t>5,317,970.87</w:t>
            </w:r>
          </w:p>
        </w:tc>
        <w:tc>
          <w:tcPr>
            <w:vAlign w:val="center"/>
          </w:tcPr>
          <w:p>
            <w:pPr>
              <w:jc w:val="right"/>
            </w:pPr>
            <w:r>
              <w:rPr>
                <w:rFonts w:ascii="Times New Roman" w:hAnsi="Times New Roman"/>
                <w:kern w:val="2"/>
              </w:rPr>
              <w:t>4.15</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601607</w:t>
            </w:r>
          </w:p>
        </w:tc>
        <w:tc>
          <w:tcPr>
            <w:vAlign w:val="center"/>
          </w:tcPr>
          <w:p>
            <w:pPr>
              <w:jc w:val="center"/>
            </w:pPr>
            <w:r>
              <w:rPr>
                <w:rFonts w:ascii="Times New Roman" w:hAnsi="Times New Roman"/>
                <w:kern w:val="2"/>
              </w:rPr>
              <w:t>上海医药</w:t>
            </w:r>
          </w:p>
        </w:tc>
        <w:tc>
          <w:tcPr>
            <w:vAlign w:val="center"/>
          </w:tcPr>
          <w:p>
            <w:pPr>
              <w:jc w:val="right"/>
            </w:pPr>
            <w:r>
              <w:rPr>
                <w:rFonts w:ascii="Times New Roman" w:hAnsi="Times New Roman"/>
                <w:kern w:val="2"/>
              </w:rPr>
              <w:t>5,191,358.56</w:t>
            </w:r>
          </w:p>
        </w:tc>
        <w:tc>
          <w:tcPr>
            <w:vAlign w:val="center"/>
          </w:tcPr>
          <w:p>
            <w:pPr>
              <w:jc w:val="right"/>
            </w:pPr>
            <w:r>
              <w:rPr>
                <w:rFonts w:ascii="Times New Roman" w:hAnsi="Times New Roman"/>
                <w:kern w:val="2"/>
              </w:rPr>
              <w:t>4.06</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000538</w:t>
            </w:r>
          </w:p>
        </w:tc>
        <w:tc>
          <w:tcPr>
            <w:vAlign w:val="center"/>
          </w:tcPr>
          <w:p>
            <w:pPr>
              <w:jc w:val="center"/>
            </w:pPr>
            <w:r>
              <w:rPr>
                <w:rFonts w:ascii="Times New Roman" w:hAnsi="Times New Roman"/>
                <w:kern w:val="2"/>
              </w:rPr>
              <w:t>云南白药</w:t>
            </w:r>
          </w:p>
        </w:tc>
        <w:tc>
          <w:tcPr>
            <w:vAlign w:val="center"/>
          </w:tcPr>
          <w:p>
            <w:pPr>
              <w:jc w:val="right"/>
            </w:pPr>
            <w:r>
              <w:rPr>
                <w:rFonts w:ascii="Times New Roman" w:hAnsi="Times New Roman"/>
                <w:kern w:val="2"/>
              </w:rPr>
              <w:t>4,854,239.50</w:t>
            </w:r>
          </w:p>
        </w:tc>
        <w:tc>
          <w:tcPr>
            <w:vAlign w:val="center"/>
          </w:tcPr>
          <w:p>
            <w:pPr>
              <w:jc w:val="right"/>
            </w:pPr>
            <w:r>
              <w:rPr>
                <w:rFonts w:ascii="Times New Roman" w:hAnsi="Times New Roman"/>
                <w:kern w:val="2"/>
              </w:rPr>
              <w:t>3.79</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300760</w:t>
            </w:r>
          </w:p>
        </w:tc>
        <w:tc>
          <w:tcPr>
            <w:vAlign w:val="center"/>
          </w:tcPr>
          <w:p>
            <w:pPr>
              <w:jc w:val="center"/>
            </w:pPr>
            <w:r>
              <w:rPr>
                <w:rFonts w:ascii="Times New Roman" w:hAnsi="Times New Roman"/>
                <w:kern w:val="2"/>
              </w:rPr>
              <w:t>迈瑞医疗</w:t>
            </w:r>
          </w:p>
        </w:tc>
        <w:tc>
          <w:tcPr>
            <w:vAlign w:val="center"/>
          </w:tcPr>
          <w:p>
            <w:pPr>
              <w:jc w:val="right"/>
            </w:pPr>
            <w:r>
              <w:rPr>
                <w:rFonts w:ascii="Times New Roman" w:hAnsi="Times New Roman"/>
                <w:kern w:val="2"/>
              </w:rPr>
              <w:t>843,014.10</w:t>
            </w:r>
          </w:p>
        </w:tc>
        <w:tc>
          <w:tcPr>
            <w:vAlign w:val="center"/>
          </w:tcPr>
          <w:p>
            <w:pPr>
              <w:jc w:val="right"/>
            </w:pPr>
            <w:r>
              <w:rPr>
                <w:rFonts w:ascii="Times New Roman" w:hAnsi="Times New Roman"/>
                <w:kern w:val="2"/>
              </w:rPr>
              <w:t>0.66</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600989</w:t>
            </w:r>
          </w:p>
        </w:tc>
        <w:tc>
          <w:tcPr>
            <w:vAlign w:val="center"/>
          </w:tcPr>
          <w:p>
            <w:pPr>
              <w:jc w:val="center"/>
            </w:pPr>
            <w:r>
              <w:rPr>
                <w:rFonts w:ascii="Times New Roman" w:hAnsi="Times New Roman"/>
                <w:kern w:val="2"/>
              </w:rPr>
              <w:t>宝丰能源</w:t>
            </w:r>
          </w:p>
        </w:tc>
        <w:tc>
          <w:tcPr>
            <w:vAlign w:val="center"/>
          </w:tcPr>
          <w:p>
            <w:pPr>
              <w:jc w:val="right"/>
            </w:pPr>
            <w:r>
              <w:rPr>
                <w:rFonts w:ascii="Times New Roman" w:hAnsi="Times New Roman"/>
                <w:kern w:val="2"/>
              </w:rPr>
              <w:t>387,260.40</w:t>
            </w:r>
          </w:p>
        </w:tc>
        <w:tc>
          <w:tcPr>
            <w:vAlign w:val="center"/>
          </w:tcPr>
          <w:p>
            <w:pPr>
              <w:jc w:val="right"/>
            </w:pPr>
            <w:r>
              <w:rPr>
                <w:rFonts w:ascii="Times New Roman" w:hAnsi="Times New Roman"/>
                <w:kern w:val="2"/>
              </w:rPr>
              <w:t>0.30</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601319</w:t>
            </w:r>
          </w:p>
        </w:tc>
        <w:tc>
          <w:tcPr>
            <w:vAlign w:val="center"/>
          </w:tcPr>
          <w:p>
            <w:pPr>
              <w:jc w:val="center"/>
            </w:pPr>
            <w:r>
              <w:rPr>
                <w:rFonts w:ascii="Times New Roman" w:hAnsi="Times New Roman"/>
                <w:kern w:val="2"/>
              </w:rPr>
              <w:t>中国人保</w:t>
            </w:r>
          </w:p>
        </w:tc>
        <w:tc>
          <w:tcPr>
            <w:vAlign w:val="center"/>
          </w:tcPr>
          <w:p>
            <w:pPr>
              <w:jc w:val="right"/>
            </w:pPr>
            <w:r>
              <w:rPr>
                <w:rFonts w:ascii="Times New Roman" w:hAnsi="Times New Roman"/>
                <w:kern w:val="2"/>
              </w:rPr>
              <w:t>210,121.80</w:t>
            </w:r>
          </w:p>
        </w:tc>
        <w:tc>
          <w:tcPr>
            <w:vAlign w:val="center"/>
          </w:tcPr>
          <w:p>
            <w:pPr>
              <w:jc w:val="right"/>
            </w:pPr>
            <w:r>
              <w:rPr>
                <w:rFonts w:ascii="Times New Roman" w:hAnsi="Times New Roman"/>
                <w:kern w:val="2"/>
              </w:rPr>
              <w:t>0.16</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600928</w:t>
            </w:r>
          </w:p>
        </w:tc>
        <w:tc>
          <w:tcPr>
            <w:vAlign w:val="center"/>
          </w:tcPr>
          <w:p>
            <w:pPr>
              <w:jc w:val="center"/>
            </w:pPr>
            <w:r>
              <w:rPr>
                <w:rFonts w:ascii="Times New Roman" w:hAnsi="Times New Roman"/>
                <w:kern w:val="2"/>
              </w:rPr>
              <w:t>西安银行</w:t>
            </w:r>
          </w:p>
        </w:tc>
        <w:tc>
          <w:tcPr>
            <w:vAlign w:val="center"/>
          </w:tcPr>
          <w:p>
            <w:pPr>
              <w:jc w:val="right"/>
            </w:pPr>
            <w:r>
              <w:rPr>
                <w:rFonts w:ascii="Times New Roman" w:hAnsi="Times New Roman"/>
                <w:kern w:val="2"/>
              </w:rPr>
              <w:t>192,593.08</w:t>
            </w:r>
          </w:p>
        </w:tc>
        <w:tc>
          <w:tcPr>
            <w:vAlign w:val="center"/>
          </w:tcPr>
          <w:p>
            <w:pPr>
              <w:jc w:val="right"/>
            </w:pPr>
            <w:r>
              <w:rPr>
                <w:rFonts w:ascii="Times New Roman" w:hAnsi="Times New Roman"/>
                <w:kern w:val="2"/>
              </w:rPr>
              <w:t>0.15</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601298</w:t>
            </w:r>
          </w:p>
        </w:tc>
        <w:tc>
          <w:tcPr>
            <w:vAlign w:val="center"/>
          </w:tcPr>
          <w:p>
            <w:pPr>
              <w:jc w:val="center"/>
            </w:pPr>
            <w:r>
              <w:rPr>
                <w:rFonts w:ascii="Times New Roman" w:hAnsi="Times New Roman"/>
                <w:kern w:val="2"/>
              </w:rPr>
              <w:t>青岛港</w:t>
            </w:r>
          </w:p>
        </w:tc>
        <w:tc>
          <w:tcPr>
            <w:vAlign w:val="center"/>
          </w:tcPr>
          <w:p>
            <w:pPr>
              <w:jc w:val="right"/>
            </w:pPr>
            <w:r>
              <w:rPr>
                <w:rFonts w:ascii="Times New Roman" w:hAnsi="Times New Roman"/>
                <w:kern w:val="2"/>
              </w:rPr>
              <w:t>187,102.49</w:t>
            </w:r>
          </w:p>
        </w:tc>
        <w:tc>
          <w:tcPr>
            <w:vAlign w:val="center"/>
          </w:tcPr>
          <w:p>
            <w:pPr>
              <w:jc w:val="right"/>
            </w:pPr>
            <w:r>
              <w:rPr>
                <w:rFonts w:ascii="Times New Roman" w:hAnsi="Times New Roman"/>
                <w:kern w:val="2"/>
              </w:rPr>
              <w:t>0.15</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300347</w:t>
            </w:r>
          </w:p>
        </w:tc>
        <w:tc>
          <w:tcPr>
            <w:vAlign w:val="center"/>
          </w:tcPr>
          <w:p>
            <w:pPr>
              <w:jc w:val="center"/>
            </w:pPr>
            <w:r>
              <w:rPr>
                <w:rFonts w:ascii="Times New Roman" w:hAnsi="Times New Roman"/>
                <w:kern w:val="2"/>
              </w:rPr>
              <w:t>泰格医药</w:t>
            </w:r>
          </w:p>
        </w:tc>
        <w:tc>
          <w:tcPr>
            <w:vAlign w:val="center"/>
          </w:tcPr>
          <w:p>
            <w:pPr>
              <w:jc w:val="right"/>
            </w:pPr>
            <w:r>
              <w:rPr>
                <w:rFonts w:ascii="Times New Roman" w:hAnsi="Times New Roman"/>
                <w:kern w:val="2"/>
              </w:rPr>
              <w:t>147,260.00</w:t>
            </w:r>
          </w:p>
        </w:tc>
        <w:tc>
          <w:tcPr>
            <w:vAlign w:val="center"/>
          </w:tcPr>
          <w:p>
            <w:pPr>
              <w:jc w:val="right"/>
            </w:pPr>
            <w:r>
              <w:rPr>
                <w:rFonts w:ascii="Times New Roman" w:hAnsi="Times New Roman"/>
                <w:kern w:val="2"/>
              </w:rPr>
              <w:t>0.12</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300762</w:t>
            </w:r>
          </w:p>
        </w:tc>
        <w:tc>
          <w:tcPr>
            <w:vAlign w:val="center"/>
          </w:tcPr>
          <w:p>
            <w:pPr>
              <w:jc w:val="center"/>
            </w:pPr>
            <w:r>
              <w:rPr>
                <w:rFonts w:ascii="Times New Roman" w:hAnsi="Times New Roman"/>
                <w:kern w:val="2"/>
              </w:rPr>
              <w:t>上海瀚讯</w:t>
            </w:r>
          </w:p>
        </w:tc>
        <w:tc>
          <w:tcPr>
            <w:vAlign w:val="center"/>
          </w:tcPr>
          <w:p>
            <w:pPr>
              <w:jc w:val="right"/>
            </w:pPr>
            <w:r>
              <w:rPr>
                <w:rFonts w:ascii="Times New Roman" w:hAnsi="Times New Roman"/>
                <w:kern w:val="2"/>
              </w:rPr>
              <w:t>88,659.70</w:t>
            </w:r>
          </w:p>
        </w:tc>
        <w:tc>
          <w:tcPr>
            <w:vAlign w:val="center"/>
          </w:tcPr>
          <w:p>
            <w:pPr>
              <w:jc w:val="right"/>
            </w:pPr>
            <w:r>
              <w:rPr>
                <w:rFonts w:ascii="Times New Roman" w:hAnsi="Times New Roman"/>
                <w:kern w:val="2"/>
              </w:rPr>
              <w:t>0.07</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300766</w:t>
            </w:r>
          </w:p>
        </w:tc>
        <w:tc>
          <w:tcPr>
            <w:vAlign w:val="center"/>
          </w:tcPr>
          <w:p>
            <w:pPr>
              <w:jc w:val="center"/>
            </w:pPr>
            <w:r>
              <w:rPr>
                <w:rFonts w:ascii="Times New Roman" w:hAnsi="Times New Roman"/>
                <w:kern w:val="2"/>
              </w:rPr>
              <w:t>每日互动</w:t>
            </w:r>
          </w:p>
        </w:tc>
        <w:tc>
          <w:tcPr>
            <w:vAlign w:val="center"/>
          </w:tcPr>
          <w:p>
            <w:pPr>
              <w:jc w:val="right"/>
            </w:pPr>
            <w:r>
              <w:rPr>
                <w:rFonts w:ascii="Times New Roman" w:hAnsi="Times New Roman"/>
                <w:kern w:val="2"/>
              </w:rPr>
              <w:t>80,220.81</w:t>
            </w:r>
          </w:p>
        </w:tc>
        <w:tc>
          <w:tcPr>
            <w:vAlign w:val="center"/>
          </w:tcPr>
          <w:p>
            <w:pPr>
              <w:jc w:val="right"/>
            </w:pPr>
            <w:r>
              <w:rPr>
                <w:rFonts w:ascii="Times New Roman" w:hAnsi="Times New Roman"/>
                <w:kern w:val="2"/>
              </w:rPr>
              <w:t>0.06</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300770</w:t>
            </w:r>
          </w:p>
        </w:tc>
        <w:tc>
          <w:tcPr>
            <w:vAlign w:val="center"/>
          </w:tcPr>
          <w:p>
            <w:pPr>
              <w:jc w:val="center"/>
            </w:pPr>
            <w:r>
              <w:rPr>
                <w:rFonts w:ascii="Times New Roman" w:hAnsi="Times New Roman"/>
                <w:kern w:val="2"/>
              </w:rPr>
              <w:t>新媒股份</w:t>
            </w:r>
          </w:p>
        </w:tc>
        <w:tc>
          <w:tcPr>
            <w:vAlign w:val="center"/>
          </w:tcPr>
          <w:p>
            <w:pPr>
              <w:jc w:val="right"/>
            </w:pPr>
            <w:r>
              <w:rPr>
                <w:rFonts w:ascii="Times New Roman" w:hAnsi="Times New Roman"/>
                <w:kern w:val="2"/>
              </w:rPr>
              <w:t>76,348.65</w:t>
            </w:r>
          </w:p>
        </w:tc>
        <w:tc>
          <w:tcPr>
            <w:vAlign w:val="center"/>
          </w:tcPr>
          <w:p>
            <w:pPr>
              <w:jc w:val="right"/>
            </w:pPr>
            <w:r>
              <w:rPr>
                <w:rFonts w:ascii="Times New Roman" w:hAnsi="Times New Roman"/>
                <w:kern w:val="2"/>
              </w:rPr>
              <w:t>0.06</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154,503,907.18</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85,093,045.46</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29,985,000.00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9.56</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29,985,000.00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9.56</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10,223,000.00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3.26</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40,208,000.00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12.82</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190206</w:t>
            </w:r>
          </w:p>
        </w:tc>
        <w:tc>
          <w:tcPr>
            <w:vAlign w:val="center"/>
          </w:tcPr>
          <w:p>
            <w:pPr>
              <w:jc w:val="center"/>
            </w:pPr>
            <w:r>
              <w:rPr>
                <w:color w:val="000000"/>
                <w:sz w:val="24"/>
              </w:rPr>
              <w:t>19国开06</w:t>
            </w:r>
          </w:p>
        </w:tc>
        <w:tc>
          <w:tcPr>
            <w:vAlign w:val="center"/>
          </w:tcPr>
          <w:p>
            <w:pPr>
              <w:jc w:val="right"/>
            </w:pPr>
            <w:r>
              <w:rPr>
                <w:color w:val="000000"/>
                <w:sz w:val="24"/>
              </w:rPr>
              <w:t>300,000</w:t>
            </w:r>
          </w:p>
        </w:tc>
        <w:tc>
          <w:tcPr>
            <w:vAlign w:val="center"/>
          </w:tcPr>
          <w:p>
            <w:pPr>
              <w:jc w:val="right"/>
            </w:pPr>
            <w:r>
              <w:rPr>
                <w:color w:val="000000"/>
                <w:sz w:val="24"/>
              </w:rPr>
              <w:t>29,985,000.00</w:t>
            </w:r>
          </w:p>
        </w:tc>
        <w:tc>
          <w:tcPr>
            <w:vAlign w:val="center"/>
          </w:tcPr>
          <w:p>
            <w:pPr>
              <w:jc w:val="right"/>
            </w:pPr>
            <w:r>
              <w:rPr>
                <w:color w:val="000000"/>
                <w:sz w:val="24"/>
              </w:rPr>
              <w:t>9.56</w:t>
            </w:r>
          </w:p>
        </w:tc>
      </w:tr>
      <w:tr>
        <w:tc>
          <w:tcPr>
            <w:vAlign w:val="center"/>
          </w:tcPr>
          <w:p>
            <w:pPr>
              <w:jc w:val="center"/>
            </w:pPr>
            <w:r>
              <w:rPr>
                <w:color w:val="000000"/>
                <w:sz w:val="24"/>
              </w:rPr>
              <w:t>2</w:t>
            </w:r>
          </w:p>
        </w:tc>
        <w:tc>
          <w:tcPr>
            <w:vAlign w:val="center"/>
          </w:tcPr>
          <w:p>
            <w:pPr>
              <w:jc w:val="center"/>
            </w:pPr>
            <w:r>
              <w:rPr>
                <w:color w:val="000000"/>
                <w:sz w:val="24"/>
              </w:rPr>
              <w:t>101754076</w:t>
            </w:r>
          </w:p>
        </w:tc>
        <w:tc>
          <w:tcPr>
            <w:vAlign w:val="center"/>
          </w:tcPr>
          <w:p>
            <w:pPr>
              <w:jc w:val="center"/>
            </w:pPr>
            <w:r>
              <w:rPr>
                <w:color w:val="000000"/>
                <w:sz w:val="24"/>
              </w:rPr>
              <w:t>17赣高速MTN001</w:t>
            </w:r>
          </w:p>
        </w:tc>
        <w:tc>
          <w:tcPr>
            <w:vAlign w:val="center"/>
          </w:tcPr>
          <w:p>
            <w:pPr>
              <w:jc w:val="right"/>
            </w:pPr>
            <w:r>
              <w:rPr>
                <w:color w:val="000000"/>
                <w:sz w:val="24"/>
              </w:rPr>
              <w:t>100,000</w:t>
            </w:r>
          </w:p>
        </w:tc>
        <w:tc>
          <w:tcPr>
            <w:vAlign w:val="center"/>
          </w:tcPr>
          <w:p>
            <w:pPr>
              <w:jc w:val="right"/>
            </w:pPr>
            <w:r>
              <w:rPr>
                <w:color w:val="000000"/>
                <w:sz w:val="24"/>
              </w:rPr>
              <w:t>10,223,000.00</w:t>
            </w:r>
          </w:p>
        </w:tc>
        <w:tc>
          <w:tcPr>
            <w:vAlign w:val="center"/>
          </w:tcPr>
          <w:p>
            <w:pPr>
              <w:jc w:val="right"/>
            </w:pPr>
            <w:r>
              <w:rPr>
                <w:color w:val="000000"/>
                <w:sz w:val="24"/>
              </w:rPr>
              <w:t>3.26</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41,464.29</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58,534.29</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521,557.81</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309.54</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621,865.93</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725D9" w:rsidRPr="005C672D">
        <w:rPr>
          <w:kern w:val="0"/>
          <w:sz w:val="24"/>
        </w:rPr>
        <w:t/>
      </w:r>
      <w:r w:rsidRPr="005C672D">
        <w:rPr>
          <w:kern w:val="0"/>
          <w:sz w:val="24"/>
        </w:rPr>
        <w:t>本基金本报告期末前十名股票中不存在流通受限情况。</w:t>
      </w:r>
    </w:p>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1,725</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1,725</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177,653.78</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226,480,908.88</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73.90%</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79,971,859.37</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26.10%</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6,485.47</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0.00%</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2017年9月15日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426,824,248.14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135,633,319.50</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228,092,260.64</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57,272,811.89</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306,452,768.25</w:t>
            </w:r>
          </w:p>
        </w:tc>
      </w:tr>
    </w:tbl>
    <w:p>
      <w:pPr>
        <w:tabs>
          <w:tab w:pos="426" w:val="left"/>
        </w:tabs>
        <w:spacing w:before="29" w:line="288" w:lineRule="auto"/>
        <w:jc w:val="left"/>
        <w:rPr>
          <w:kern w:val="0"/>
          <w:sz w:val="24"/>
        </w:rPr>
      </w:pPr>
      <w:r>
        <w:rPr>
          <w:kern w:val="0"/>
          <w:sz w:val="24"/>
        </w:rPr>
        <w:t>注：1、如果本报告期间发生转换入、红利再投业务，则总申购份额中包含该业务；</w:t>
      </w:r>
    </w:p>
    <w:p w:rsidP="00AC6DDA" w:rsidR="005A09F2" w:rsidRDefault="005A09F2" w:rsidRPr="005C672D">
      <w:pPr>
        <w:tabs>
          <w:tab w:pos="426" w:val="left"/>
        </w:tabs>
        <w:spacing w:before="29" w:line="288" w:lineRule="auto"/>
        <w:jc w:val="left"/>
        <w:rPr>
          <w:kern w:val="0"/>
          <w:sz w:val="24"/>
        </w:rPr>
      </w:pPr>
      <w:r w:rsidRPr="005C672D">
        <w:rPr>
          <w:kern w:val="0"/>
          <w:sz w:val="24"/>
        </w:rPr>
        <w:t xml:space="preserve">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2、基金托管人的基金托管部门的重大人事变动：本基金托管人中国农业银行股份有限公司于2019年1月免去史静欣托管业务部副总裁职务，2019年4月免去马曙光托管业务部总裁职务。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西南证券股份有限公司</w:t>
            </w:r>
          </w:p>
        </w:tc>
        <w:tc>
          <w:tcPr>
            <w:vAlign w:val="center"/>
          </w:tcPr>
          <w:p>
            <w:pPr>
              <w:jc w:val="center"/>
            </w:pPr>
            <w:r>
              <w:rPr>
                <w:color w:val="000000"/>
                <w:sz w:val="24"/>
              </w:rPr>
              <w:t>1</w:t>
            </w:r>
          </w:p>
        </w:tc>
        <w:tc>
          <w:tcPr>
            <w:vAlign w:val="center"/>
          </w:tcPr>
          <w:p>
            <w:pPr>
              <w:jc w:val="right"/>
            </w:pPr>
            <w:r>
              <w:rPr>
                <w:color w:val="000000"/>
                <w:sz w:val="24"/>
              </w:rPr>
              <w:t>9,573,194.55</w:t>
            </w:r>
          </w:p>
        </w:tc>
        <w:tc>
          <w:tcPr>
            <w:vAlign w:val="center"/>
          </w:tcPr>
          <w:p>
            <w:pPr>
              <w:jc w:val="right"/>
            </w:pPr>
            <w:r>
              <w:rPr>
                <w:color w:val="000000"/>
                <w:sz w:val="24"/>
              </w:rPr>
              <w:t>4.01%</w:t>
            </w:r>
          </w:p>
        </w:tc>
        <w:tc>
          <w:tcPr>
            <w:vAlign w:val="center"/>
          </w:tcPr>
          <w:p>
            <w:pPr>
              <w:jc w:val="right"/>
            </w:pPr>
            <w:r>
              <w:rPr>
                <w:color w:val="000000"/>
                <w:sz w:val="24"/>
              </w:rPr>
              <w:t>8,915.06</w:t>
            </w:r>
          </w:p>
        </w:tc>
        <w:tc>
          <w:tcPr>
            <w:vAlign w:val="center"/>
          </w:tcPr>
          <w:p>
            <w:pPr>
              <w:jc w:val="right"/>
            </w:pPr>
            <w:r>
              <w:rPr>
                <w:color w:val="000000"/>
                <w:sz w:val="24"/>
              </w:rPr>
              <w:t>4.01%</w:t>
            </w:r>
          </w:p>
        </w:tc>
        <w:tc>
          <w:tcPr>
            <w:vAlign w:val="center"/>
          </w:tcPr>
          <w:p>
            <w:pPr>
              <w:jc w:val="left"/>
            </w:pPr>
            <w:r>
              <w:rPr>
                <w:color w:val="000000"/>
                <w:sz w:val="24"/>
              </w:rPr>
              <w:t>-</w:t>
            </w:r>
          </w:p>
        </w:tc>
      </w:tr>
      <w:tr>
        <w:tc>
          <w:tcPr>
            <w:vAlign w:val="center"/>
          </w:tcPr>
          <w:p>
            <w:pPr>
              <w:jc w:val="center"/>
            </w:pPr>
            <w:r>
              <w:rPr>
                <w:color w:val="000000"/>
                <w:sz w:val="24"/>
              </w:rPr>
              <w:t>华泰证券股份有限公司</w:t>
            </w:r>
          </w:p>
        </w:tc>
        <w:tc>
          <w:tcPr>
            <w:vAlign w:val="center"/>
          </w:tcPr>
          <w:p>
            <w:pPr>
              <w:jc w:val="center"/>
            </w:pPr>
            <w:r>
              <w:rPr>
                <w:color w:val="000000"/>
                <w:sz w:val="24"/>
              </w:rPr>
              <w:t>1</w:t>
            </w:r>
          </w:p>
        </w:tc>
        <w:tc>
          <w:tcPr>
            <w:vAlign w:val="center"/>
          </w:tcPr>
          <w:p>
            <w:pPr>
              <w:jc w:val="right"/>
            </w:pPr>
            <w:r>
              <w:rPr>
                <w:color w:val="000000"/>
                <w:sz w:val="24"/>
              </w:rPr>
              <w:t>61,906,377.02</w:t>
            </w:r>
          </w:p>
        </w:tc>
        <w:tc>
          <w:tcPr>
            <w:vAlign w:val="center"/>
          </w:tcPr>
          <w:p>
            <w:pPr>
              <w:jc w:val="right"/>
            </w:pPr>
            <w:r>
              <w:rPr>
                <w:color w:val="000000"/>
                <w:sz w:val="24"/>
              </w:rPr>
              <w:t>25.94%</w:t>
            </w:r>
          </w:p>
        </w:tc>
        <w:tc>
          <w:tcPr>
            <w:vAlign w:val="center"/>
          </w:tcPr>
          <w:p>
            <w:pPr>
              <w:jc w:val="right"/>
            </w:pPr>
            <w:r>
              <w:rPr>
                <w:color w:val="000000"/>
                <w:sz w:val="24"/>
              </w:rPr>
              <w:t>57,652.90</w:t>
            </w:r>
          </w:p>
        </w:tc>
        <w:tc>
          <w:tcPr>
            <w:vAlign w:val="center"/>
          </w:tcPr>
          <w:p>
            <w:pPr>
              <w:jc w:val="right"/>
            </w:pPr>
            <w:r>
              <w:rPr>
                <w:color w:val="000000"/>
                <w:sz w:val="24"/>
              </w:rPr>
              <w:t>25.94%</w:t>
            </w:r>
          </w:p>
        </w:tc>
        <w:tc>
          <w:tcPr>
            <w:vAlign w:val="center"/>
          </w:tcPr>
          <w:p>
            <w:pPr>
              <w:jc w:val="left"/>
            </w:pPr>
            <w:r>
              <w:rPr>
                <w:color w:val="000000"/>
                <w:sz w:val="24"/>
              </w:rPr>
              <w:t>-</w:t>
            </w:r>
          </w:p>
        </w:tc>
      </w:tr>
      <w:tr>
        <w:tc>
          <w:tcPr>
            <w:vAlign w:val="center"/>
          </w:tcPr>
          <w:p>
            <w:pPr>
              <w:jc w:val="center"/>
            </w:pPr>
            <w:r>
              <w:rPr>
                <w:color w:val="000000"/>
                <w:sz w:val="24"/>
              </w:rPr>
              <w:t>长江证券股份有限公司</w:t>
            </w:r>
          </w:p>
        </w:tc>
        <w:tc>
          <w:tcPr>
            <w:vAlign w:val="center"/>
          </w:tcPr>
          <w:p>
            <w:pPr>
              <w:jc w:val="center"/>
            </w:pPr>
            <w:r>
              <w:rPr>
                <w:color w:val="000000"/>
                <w:sz w:val="24"/>
              </w:rPr>
              <w:t>2</w:t>
            </w:r>
          </w:p>
        </w:tc>
        <w:tc>
          <w:tcPr>
            <w:vAlign w:val="center"/>
          </w:tcPr>
          <w:p>
            <w:pPr>
              <w:jc w:val="right"/>
            </w:pPr>
            <w:r>
              <w:rPr>
                <w:color w:val="000000"/>
                <w:sz w:val="24"/>
              </w:rPr>
              <w:t>46,899,463.42</w:t>
            </w:r>
          </w:p>
        </w:tc>
        <w:tc>
          <w:tcPr>
            <w:vAlign w:val="center"/>
          </w:tcPr>
          <w:p>
            <w:pPr>
              <w:jc w:val="right"/>
            </w:pPr>
            <w:r>
              <w:rPr>
                <w:color w:val="000000"/>
                <w:sz w:val="24"/>
              </w:rPr>
              <w:t>19.65%</w:t>
            </w:r>
          </w:p>
        </w:tc>
        <w:tc>
          <w:tcPr>
            <w:vAlign w:val="center"/>
          </w:tcPr>
          <w:p>
            <w:pPr>
              <w:jc w:val="right"/>
            </w:pPr>
            <w:r>
              <w:rPr>
                <w:color w:val="000000"/>
                <w:sz w:val="24"/>
              </w:rPr>
              <w:t>43,677.47</w:t>
            </w:r>
          </w:p>
        </w:tc>
        <w:tc>
          <w:tcPr>
            <w:vAlign w:val="center"/>
          </w:tcPr>
          <w:p>
            <w:pPr>
              <w:jc w:val="right"/>
            </w:pPr>
            <w:r>
              <w:rPr>
                <w:color w:val="000000"/>
                <w:sz w:val="24"/>
              </w:rPr>
              <w:t>19.65%</w:t>
            </w:r>
          </w:p>
        </w:tc>
        <w:tc>
          <w:tcPr>
            <w:vAlign w:val="center"/>
          </w:tcPr>
          <w:p>
            <w:pPr>
              <w:jc w:val="left"/>
            </w:pPr>
            <w:r>
              <w:rPr>
                <w:color w:val="000000"/>
                <w:sz w:val="24"/>
              </w:rPr>
              <w:t>-</w:t>
            </w:r>
          </w:p>
        </w:tc>
      </w:tr>
      <w:tr>
        <w:tc>
          <w:tcPr>
            <w:vAlign w:val="center"/>
          </w:tcPr>
          <w:p>
            <w:pPr>
              <w:jc w:val="center"/>
            </w:pPr>
            <w:r>
              <w:rPr>
                <w:color w:val="000000"/>
                <w:sz w:val="24"/>
              </w:rPr>
              <w:t>申万宏源证券有限公司</w:t>
            </w:r>
          </w:p>
        </w:tc>
        <w:tc>
          <w:tcPr>
            <w:vAlign w:val="center"/>
          </w:tcPr>
          <w:p>
            <w:pPr>
              <w:jc w:val="center"/>
            </w:pPr>
            <w:r>
              <w:rPr>
                <w:color w:val="000000"/>
                <w:sz w:val="24"/>
              </w:rPr>
              <w:t>2</w:t>
            </w:r>
          </w:p>
        </w:tc>
        <w:tc>
          <w:tcPr>
            <w:vAlign w:val="center"/>
          </w:tcPr>
          <w:p>
            <w:pPr>
              <w:jc w:val="right"/>
            </w:pPr>
            <w:r>
              <w:rPr>
                <w:color w:val="000000"/>
                <w:sz w:val="24"/>
              </w:rPr>
              <w:t>38,336.02</w:t>
            </w:r>
          </w:p>
        </w:tc>
        <w:tc>
          <w:tcPr>
            <w:vAlign w:val="center"/>
          </w:tcPr>
          <w:p>
            <w:pPr>
              <w:jc w:val="right"/>
            </w:pPr>
            <w:r>
              <w:rPr>
                <w:color w:val="000000"/>
                <w:sz w:val="24"/>
              </w:rPr>
              <w:t>0.02%</w:t>
            </w:r>
          </w:p>
        </w:tc>
        <w:tc>
          <w:tcPr>
            <w:vAlign w:val="center"/>
          </w:tcPr>
          <w:p>
            <w:pPr>
              <w:jc w:val="right"/>
            </w:pPr>
            <w:r>
              <w:rPr>
                <w:color w:val="000000"/>
                <w:sz w:val="24"/>
              </w:rPr>
              <w:t>35.70</w:t>
            </w:r>
          </w:p>
        </w:tc>
        <w:tc>
          <w:tcPr>
            <w:vAlign w:val="center"/>
          </w:tcPr>
          <w:p>
            <w:pPr>
              <w:jc w:val="right"/>
            </w:pPr>
            <w:r>
              <w:rPr>
                <w:color w:val="000000"/>
                <w:sz w:val="24"/>
              </w:rPr>
              <w:t>0.02%</w:t>
            </w:r>
          </w:p>
        </w:tc>
        <w:tc>
          <w:tcPr>
            <w:vAlign w:val="center"/>
          </w:tcPr>
          <w:p>
            <w:pPr>
              <w:jc w:val="left"/>
            </w:pPr>
            <w:r>
              <w:rPr>
                <w:color w:val="000000"/>
                <w:sz w:val="24"/>
              </w:rPr>
              <w:t>-</w:t>
            </w:r>
          </w:p>
        </w:tc>
      </w:tr>
      <w:tr>
        <w:tc>
          <w:tcPr>
            <w:vAlign w:val="center"/>
          </w:tcPr>
          <w:p>
            <w:pPr>
              <w:jc w:val="center"/>
            </w:pPr>
            <w:r>
              <w:rPr>
                <w:color w:val="000000"/>
                <w:sz w:val="24"/>
              </w:rPr>
              <w:t>天风证券股份有限公司</w:t>
            </w:r>
          </w:p>
        </w:tc>
        <w:tc>
          <w:tcPr>
            <w:vAlign w:val="center"/>
          </w:tcPr>
          <w:p>
            <w:pPr>
              <w:jc w:val="center"/>
            </w:pPr>
            <w:r>
              <w:rPr>
                <w:color w:val="000000"/>
                <w:sz w:val="24"/>
              </w:rPr>
              <w:t>1</w:t>
            </w:r>
          </w:p>
        </w:tc>
        <w:tc>
          <w:tcPr>
            <w:vAlign w:val="center"/>
          </w:tcPr>
          <w:p>
            <w:pPr>
              <w:jc w:val="right"/>
            </w:pPr>
            <w:r>
              <w:rPr>
                <w:color w:val="000000"/>
                <w:sz w:val="24"/>
              </w:rPr>
              <w:t>28,304,294.78</w:t>
            </w:r>
          </w:p>
        </w:tc>
        <w:tc>
          <w:tcPr>
            <w:vAlign w:val="center"/>
          </w:tcPr>
          <w:p>
            <w:pPr>
              <w:jc w:val="right"/>
            </w:pPr>
            <w:r>
              <w:rPr>
                <w:color w:val="000000"/>
                <w:sz w:val="24"/>
              </w:rPr>
              <w:t>11.86%</w:t>
            </w:r>
          </w:p>
        </w:tc>
        <w:tc>
          <w:tcPr>
            <w:vAlign w:val="center"/>
          </w:tcPr>
          <w:p>
            <w:pPr>
              <w:jc w:val="right"/>
            </w:pPr>
            <w:r>
              <w:rPr>
                <w:color w:val="000000"/>
                <w:sz w:val="24"/>
              </w:rPr>
              <w:t>26,360.05</w:t>
            </w:r>
          </w:p>
        </w:tc>
        <w:tc>
          <w:tcPr>
            <w:vAlign w:val="center"/>
          </w:tcPr>
          <w:p>
            <w:pPr>
              <w:jc w:val="right"/>
            </w:pPr>
            <w:r>
              <w:rPr>
                <w:color w:val="000000"/>
                <w:sz w:val="24"/>
              </w:rPr>
              <w:t>11.86%</w:t>
            </w:r>
          </w:p>
        </w:tc>
        <w:tc>
          <w:tcPr>
            <w:vAlign w:val="center"/>
          </w:tcPr>
          <w:p>
            <w:pPr>
              <w:jc w:val="left"/>
            </w:pPr>
            <w:r>
              <w:rPr>
                <w:color w:val="000000"/>
                <w:sz w:val="24"/>
              </w:rPr>
              <w:t>-</w:t>
            </w:r>
          </w:p>
        </w:tc>
      </w:tr>
      <w:tr>
        <w:tc>
          <w:tcPr>
            <w:vAlign w:val="center"/>
          </w:tcPr>
          <w:p>
            <w:pPr>
              <w:jc w:val="center"/>
            </w:pPr>
            <w:r>
              <w:rPr>
                <w:color w:val="000000"/>
                <w:sz w:val="24"/>
              </w:rPr>
              <w:t>招商证券股份有限公司</w:t>
            </w:r>
          </w:p>
        </w:tc>
        <w:tc>
          <w:tcPr>
            <w:vAlign w:val="center"/>
          </w:tcPr>
          <w:p>
            <w:pPr>
              <w:jc w:val="center"/>
            </w:pPr>
            <w:r>
              <w:rPr>
                <w:color w:val="000000"/>
                <w:sz w:val="24"/>
              </w:rPr>
              <w:t>1</w:t>
            </w:r>
          </w:p>
        </w:tc>
        <w:tc>
          <w:tcPr>
            <w:vAlign w:val="center"/>
          </w:tcPr>
          <w:p>
            <w:pPr>
              <w:jc w:val="right"/>
            </w:pPr>
            <w:r>
              <w:rPr>
                <w:color w:val="000000"/>
                <w:sz w:val="24"/>
              </w:rPr>
              <w:t>23,121,009.00</w:t>
            </w:r>
          </w:p>
        </w:tc>
        <w:tc>
          <w:tcPr>
            <w:vAlign w:val="center"/>
          </w:tcPr>
          <w:p>
            <w:pPr>
              <w:jc w:val="right"/>
            </w:pPr>
            <w:r>
              <w:rPr>
                <w:color w:val="000000"/>
                <w:sz w:val="24"/>
              </w:rPr>
              <w:t>9.69%</w:t>
            </w:r>
          </w:p>
        </w:tc>
        <w:tc>
          <w:tcPr>
            <w:vAlign w:val="center"/>
          </w:tcPr>
          <w:p>
            <w:pPr>
              <w:jc w:val="right"/>
            </w:pPr>
            <w:r>
              <w:rPr>
                <w:color w:val="000000"/>
                <w:sz w:val="24"/>
              </w:rPr>
              <w:t>21,532.66</w:t>
            </w:r>
          </w:p>
        </w:tc>
        <w:tc>
          <w:tcPr>
            <w:vAlign w:val="center"/>
          </w:tcPr>
          <w:p>
            <w:pPr>
              <w:jc w:val="right"/>
            </w:pPr>
            <w:r>
              <w:rPr>
                <w:color w:val="000000"/>
                <w:sz w:val="24"/>
              </w:rPr>
              <w:t>9.69%</w:t>
            </w:r>
          </w:p>
        </w:tc>
        <w:tc>
          <w:tcPr>
            <w:vAlign w:val="center"/>
          </w:tcPr>
          <w:p>
            <w:pPr>
              <w:jc w:val="left"/>
            </w:pPr>
            <w:r>
              <w:rPr>
                <w:color w:val="000000"/>
                <w:sz w:val="24"/>
              </w:rPr>
              <w:t>-</w:t>
            </w:r>
          </w:p>
        </w:tc>
      </w:tr>
      <w:tr>
        <w:tc>
          <w:tcPr>
            <w:vAlign w:val="center"/>
          </w:tcPr>
          <w:p>
            <w:pPr>
              <w:jc w:val="center"/>
            </w:pPr>
            <w:r>
              <w:rPr>
                <w:color w:val="000000"/>
                <w:sz w:val="24"/>
              </w:rPr>
              <w:t>川财证券有限责任公司</w:t>
            </w:r>
          </w:p>
        </w:tc>
        <w:tc>
          <w:tcPr>
            <w:vAlign w:val="center"/>
          </w:tcPr>
          <w:p>
            <w:pPr>
              <w:jc w:val="center"/>
            </w:pPr>
            <w:r>
              <w:rPr>
                <w:color w:val="000000"/>
                <w:sz w:val="24"/>
              </w:rPr>
              <w:t>1</w:t>
            </w:r>
          </w:p>
        </w:tc>
        <w:tc>
          <w:tcPr>
            <w:vAlign w:val="center"/>
          </w:tcPr>
          <w:p>
            <w:pPr>
              <w:jc w:val="right"/>
            </w:pPr>
            <w:r>
              <w:rPr>
                <w:color w:val="000000"/>
                <w:sz w:val="24"/>
              </w:rPr>
              <w:t>2,157,599.05</w:t>
            </w:r>
          </w:p>
        </w:tc>
        <w:tc>
          <w:tcPr>
            <w:vAlign w:val="center"/>
          </w:tcPr>
          <w:p>
            <w:pPr>
              <w:jc w:val="right"/>
            </w:pPr>
            <w:r>
              <w:rPr>
                <w:color w:val="000000"/>
                <w:sz w:val="24"/>
              </w:rPr>
              <w:t>0.90%</w:t>
            </w:r>
          </w:p>
        </w:tc>
        <w:tc>
          <w:tcPr>
            <w:vAlign w:val="center"/>
          </w:tcPr>
          <w:p>
            <w:pPr>
              <w:jc w:val="right"/>
            </w:pPr>
            <w:r>
              <w:rPr>
                <w:color w:val="000000"/>
                <w:sz w:val="24"/>
              </w:rPr>
              <w:t>2,009.41</w:t>
            </w:r>
          </w:p>
        </w:tc>
        <w:tc>
          <w:tcPr>
            <w:vAlign w:val="center"/>
          </w:tcPr>
          <w:p>
            <w:pPr>
              <w:jc w:val="right"/>
            </w:pPr>
            <w:r>
              <w:rPr>
                <w:color w:val="000000"/>
                <w:sz w:val="24"/>
              </w:rPr>
              <w:t>0.90%</w:t>
            </w:r>
          </w:p>
        </w:tc>
        <w:tc>
          <w:tcPr>
            <w:vAlign w:val="center"/>
          </w:tcPr>
          <w:p>
            <w:pPr>
              <w:jc w:val="left"/>
            </w:pPr>
            <w:r>
              <w:rPr>
                <w:color w:val="000000"/>
                <w:sz w:val="24"/>
              </w:rPr>
              <w:t>-</w:t>
            </w: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18,702,040.61</w:t>
            </w:r>
          </w:p>
        </w:tc>
        <w:tc>
          <w:tcPr>
            <w:vAlign w:val="center"/>
          </w:tcPr>
          <w:p>
            <w:pPr>
              <w:jc w:val="right"/>
            </w:pPr>
            <w:r>
              <w:rPr>
                <w:color w:val="000000"/>
                <w:sz w:val="24"/>
              </w:rPr>
              <w:t>7.84%</w:t>
            </w:r>
          </w:p>
        </w:tc>
        <w:tc>
          <w:tcPr>
            <w:vAlign w:val="center"/>
          </w:tcPr>
          <w:p>
            <w:pPr>
              <w:jc w:val="right"/>
            </w:pPr>
            <w:r>
              <w:rPr>
                <w:color w:val="000000"/>
                <w:sz w:val="24"/>
              </w:rPr>
              <w:t>17,417.30</w:t>
            </w:r>
          </w:p>
        </w:tc>
        <w:tc>
          <w:tcPr>
            <w:vAlign w:val="center"/>
          </w:tcPr>
          <w:p>
            <w:pPr>
              <w:jc w:val="right"/>
            </w:pPr>
            <w:r>
              <w:rPr>
                <w:color w:val="000000"/>
                <w:sz w:val="24"/>
              </w:rPr>
              <w:t>7.84%</w:t>
            </w:r>
          </w:p>
        </w:tc>
        <w:tc>
          <w:tcPr>
            <w:vAlign w:val="center"/>
          </w:tcPr>
          <w:p>
            <w:pPr>
              <w:jc w:val="left"/>
            </w:pPr>
            <w:r>
              <w:rPr>
                <w:color w:val="000000"/>
                <w:sz w:val="24"/>
              </w:rPr>
              <w:t>-</w:t>
            </w:r>
          </w:p>
        </w:tc>
      </w:tr>
      <w:tr>
        <w:tc>
          <w:tcPr>
            <w:vAlign w:val="center"/>
          </w:tcPr>
          <w:p>
            <w:pPr>
              <w:jc w:val="center"/>
            </w:pPr>
            <w:r>
              <w:rPr>
                <w:color w:val="000000"/>
                <w:sz w:val="24"/>
              </w:rPr>
              <w:t>兴业证券股份有限公司</w:t>
            </w:r>
          </w:p>
        </w:tc>
        <w:tc>
          <w:tcPr>
            <w:vAlign w:val="center"/>
          </w:tcPr>
          <w:p>
            <w:pPr>
              <w:jc w:val="center"/>
            </w:pPr>
            <w:r>
              <w:rPr>
                <w:color w:val="000000"/>
                <w:sz w:val="24"/>
              </w:rPr>
              <w:t>1</w:t>
            </w:r>
          </w:p>
        </w:tc>
        <w:tc>
          <w:tcPr>
            <w:vAlign w:val="center"/>
          </w:tcPr>
          <w:p>
            <w:pPr>
              <w:jc w:val="right"/>
            </w:pPr>
            <w:r>
              <w:rPr>
                <w:color w:val="000000"/>
                <w:sz w:val="24"/>
              </w:rPr>
              <w:t>16,607,519.20</w:t>
            </w:r>
          </w:p>
        </w:tc>
        <w:tc>
          <w:tcPr>
            <w:vAlign w:val="center"/>
          </w:tcPr>
          <w:p>
            <w:pPr>
              <w:jc w:val="right"/>
            </w:pPr>
            <w:r>
              <w:rPr>
                <w:color w:val="000000"/>
                <w:sz w:val="24"/>
              </w:rPr>
              <w:t>6.96%</w:t>
            </w:r>
          </w:p>
        </w:tc>
        <w:tc>
          <w:tcPr>
            <w:vAlign w:val="center"/>
          </w:tcPr>
          <w:p>
            <w:pPr>
              <w:jc w:val="right"/>
            </w:pPr>
            <w:r>
              <w:rPr>
                <w:color w:val="000000"/>
                <w:sz w:val="24"/>
              </w:rPr>
              <w:t>15,466.41</w:t>
            </w:r>
          </w:p>
        </w:tc>
        <w:tc>
          <w:tcPr>
            <w:vAlign w:val="center"/>
          </w:tcPr>
          <w:p>
            <w:pPr>
              <w:jc w:val="right"/>
            </w:pPr>
            <w:r>
              <w:rPr>
                <w:color w:val="000000"/>
                <w:sz w:val="24"/>
              </w:rPr>
              <w:t>6.96%</w:t>
            </w:r>
          </w:p>
        </w:tc>
        <w:tc>
          <w:tcPr>
            <w:vAlign w:val="center"/>
          </w:tcPr>
          <w:p>
            <w:pPr>
              <w:jc w:val="left"/>
            </w:pPr>
            <w:r>
              <w:rPr>
                <w:color w:val="000000"/>
                <w:sz w:val="24"/>
              </w:rPr>
              <w:t>-</w:t>
            </w:r>
          </w:p>
        </w:tc>
      </w:tr>
      <w:tr>
        <w:tc>
          <w:tcPr>
            <w:vAlign w:val="center"/>
          </w:tcPr>
          <w:p>
            <w:pPr>
              <w:jc w:val="center"/>
            </w:pPr>
            <w:r>
              <w:rPr>
                <w:color w:val="000000"/>
                <w:sz w:val="24"/>
              </w:rPr>
              <w:t>西部证券股份有限公司</w:t>
            </w:r>
          </w:p>
        </w:tc>
        <w:tc>
          <w:tcPr>
            <w:vAlign w:val="center"/>
          </w:tcPr>
          <w:p>
            <w:pPr>
              <w:jc w:val="center"/>
            </w:pPr>
            <w:r>
              <w:rPr>
                <w:color w:val="000000"/>
                <w:sz w:val="24"/>
              </w:rPr>
              <w:t>1</w:t>
            </w:r>
          </w:p>
        </w:tc>
        <w:tc>
          <w:tcPr>
            <w:vAlign w:val="center"/>
          </w:tcPr>
          <w:p>
            <w:pPr>
              <w:jc w:val="right"/>
            </w:pPr>
            <w:r>
              <w:rPr>
                <w:color w:val="000000"/>
                <w:sz w:val="24"/>
              </w:rPr>
              <w:t>16,541,096.40</w:t>
            </w:r>
          </w:p>
        </w:tc>
        <w:tc>
          <w:tcPr>
            <w:vAlign w:val="center"/>
          </w:tcPr>
          <w:p>
            <w:pPr>
              <w:jc w:val="right"/>
            </w:pPr>
            <w:r>
              <w:rPr>
                <w:color w:val="000000"/>
                <w:sz w:val="24"/>
              </w:rPr>
              <w:t>6.93%</w:t>
            </w:r>
          </w:p>
        </w:tc>
        <w:tc>
          <w:tcPr>
            <w:vAlign w:val="center"/>
          </w:tcPr>
          <w:p>
            <w:pPr>
              <w:jc w:val="right"/>
            </w:pPr>
            <w:r>
              <w:rPr>
                <w:color w:val="000000"/>
                <w:sz w:val="24"/>
              </w:rPr>
              <w:t>15,404.72</w:t>
            </w:r>
          </w:p>
        </w:tc>
        <w:tc>
          <w:tcPr>
            <w:vAlign w:val="center"/>
          </w:tcPr>
          <w:p>
            <w:pPr>
              <w:jc w:val="right"/>
            </w:pPr>
            <w:r>
              <w:rPr>
                <w:color w:val="000000"/>
                <w:sz w:val="24"/>
              </w:rPr>
              <w:t>6.93%</w:t>
            </w:r>
          </w:p>
        </w:tc>
        <w:tc>
          <w:tcPr>
            <w:vAlign w:val="center"/>
          </w:tcPr>
          <w:p>
            <w:pPr>
              <w:jc w:val="left"/>
            </w:pPr>
            <w:r>
              <w:rPr>
                <w:color w:val="000000"/>
                <w:sz w:val="24"/>
              </w:rPr>
              <w:t>-</w:t>
            </w:r>
          </w:p>
        </w:tc>
      </w:tr>
      <w:tr>
        <w:tc>
          <w:tcPr>
            <w:vAlign w:val="center"/>
          </w:tcPr>
          <w:p>
            <w:pPr>
              <w:jc w:val="center"/>
            </w:pPr>
            <w:r>
              <w:rPr>
                <w:color w:val="000000"/>
                <w:sz w:val="24"/>
              </w:rPr>
              <w:t>光大证券股份有限公司</w:t>
            </w:r>
          </w:p>
        </w:tc>
        <w:tc>
          <w:tcPr>
            <w:vAlign w:val="center"/>
          </w:tcPr>
          <w:p>
            <w:pPr>
              <w:jc w:val="center"/>
            </w:pPr>
            <w:r>
              <w:rPr>
                <w:color w:val="000000"/>
                <w:sz w:val="24"/>
              </w:rPr>
              <w:t>1</w:t>
            </w:r>
          </w:p>
        </w:tc>
        <w:tc>
          <w:tcPr>
            <w:vAlign w:val="center"/>
          </w:tcPr>
          <w:p>
            <w:pPr>
              <w:jc w:val="right"/>
            </w:pPr>
            <w:r>
              <w:rPr>
                <w:color w:val="000000"/>
                <w:sz w:val="24"/>
              </w:rPr>
              <w:t>14,804,813.03</w:t>
            </w:r>
          </w:p>
        </w:tc>
        <w:tc>
          <w:tcPr>
            <w:vAlign w:val="center"/>
          </w:tcPr>
          <w:p>
            <w:pPr>
              <w:jc w:val="right"/>
            </w:pPr>
            <w:r>
              <w:rPr>
                <w:color w:val="000000"/>
                <w:sz w:val="24"/>
              </w:rPr>
              <w:t>6.20%</w:t>
            </w:r>
          </w:p>
        </w:tc>
        <w:tc>
          <w:tcPr>
            <w:vAlign w:val="center"/>
          </w:tcPr>
          <w:p>
            <w:pPr>
              <w:jc w:val="right"/>
            </w:pPr>
            <w:r>
              <w:rPr>
                <w:color w:val="000000"/>
                <w:sz w:val="24"/>
              </w:rPr>
              <w:t>13,787.72</w:t>
            </w:r>
          </w:p>
        </w:tc>
        <w:tc>
          <w:tcPr>
            <w:vAlign w:val="center"/>
          </w:tcPr>
          <w:p>
            <w:pPr>
              <w:jc w:val="right"/>
            </w:pPr>
            <w:r>
              <w:rPr>
                <w:color w:val="000000"/>
                <w:sz w:val="24"/>
              </w:rPr>
              <w:t>6.20%</w:t>
            </w:r>
          </w:p>
        </w:tc>
        <w:tc>
          <w:tcPr>
            <w:vAlign w:val="center"/>
          </w:tcPr>
          <w:p>
            <w:pPr>
              <w:jc w:val="left"/>
            </w:pPr>
            <w:r>
              <w:rPr>
                <w:color w:val="000000"/>
                <w:sz w:val="24"/>
              </w:rPr>
              <w:t>-</w:t>
            </w: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中信建投证券股份有限公司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渤海证券股份有限公司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东方证券股份有限公司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民生证券股份有限公司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华西证券股份有限公司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上海华信证券有限责任公司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广发证券股份有限公司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国联证券股份有限公司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国泰君安证券股份有限公司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国信证券股份有限公司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宏信证券有限责任公司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东兴证券股份有限公司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平安证券股份有限公司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瑞银证券有限责任公司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北京高华证券有限责任公司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华宝证券有限责任公司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新时代证券股份有限公司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信达证券股份有限公司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FD7A40" w:rsidRPr="005C672D" w:rsidTr="00494D2F">
        <w:tc>
          <w:tcPr>
            <w:tcW w:type="dxa" w:w="1560"/>
            <w:vMerge w:val="restart"/>
            <w:vAlign w:val="center"/>
          </w:tcPr>
          <w:p w:rsidP="00AC6DDA" w:rsidR="00FD7A40" w:rsidRDefault="00FD7A40" w:rsidRPr="005C672D">
            <w:pPr>
              <w:spacing w:before="29" w:line="288" w:lineRule="auto"/>
              <w:jc w:val="center"/>
              <w:rPr>
                <w:color w:val="000000"/>
                <w:kern w:val="0"/>
                <w:sz w:val="24"/>
              </w:rPr>
            </w:pPr>
            <w:bookmarkStart w:id="158" w:name="_Toc331410125"/>
            <w:r w:rsidRPr="005C672D">
              <w:rPr>
                <w:color w:val="000000"/>
                <w:sz w:val="24"/>
              </w:rPr>
              <w:t>券商名称</w:t>
            </w:r>
            <w:r w:rsidRPr="005C672D">
              <w:rPr>
                <w:color w:val="000000"/>
                <w:sz w:val="24"/>
              </w:rPr>
              <w:t/>
            </w:r>
          </w:p>
        </w:tc>
        <w:tc>
          <w:tcPr>
            <w:tcW w:type="dxa" w:w="24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34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7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r>
      <w:tr w:rsidR="00FD7A40" w:rsidRPr="005C672D" w:rsidTr="00494D2F">
        <w:tc>
          <w:tcPr>
            <w:tcW w:type="dxa" w:w="1560"/>
            <w:vMerge/>
            <w:vAlign w:val="center"/>
          </w:tcPr>
          <w:p w:rsidP="00AC6DDA" w:rsidR="00FD7A40" w:rsidRDefault="00FD7A40" w:rsidRPr="005C672D">
            <w:pPr>
              <w:widowControl/>
              <w:spacing w:before="29" w:line="288" w:lineRule="auto"/>
              <w:jc w:val="left"/>
              <w:rPr>
                <w:color w:val="000000"/>
                <w:kern w:val="0"/>
                <w:sz w:val="24"/>
              </w:rPr>
            </w:pPr>
          </w:p>
        </w:tc>
        <w:tc>
          <w:tcPr>
            <w:tcW w:type="dxa" w:w="1320"/>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080"/>
            <w:vAlign w:val="center"/>
          </w:tcPr>
          <w:p w:rsidP="00BA6FAB" w:rsidR="00FD7A40" w:rsidRDefault="00FD7A40" w:rsidRPr="005C672D">
            <w:pPr>
              <w:spacing w:before="29" w:line="288" w:lineRule="auto"/>
              <w:jc w:val="center"/>
              <w:rPr>
                <w:color w:val="000000"/>
                <w:sz w:val="24"/>
              </w:rPr>
            </w:pPr>
            <w:r w:rsidRPr="005C672D">
              <w:rPr>
                <w:color w:val="000000"/>
                <w:sz w:val="24"/>
              </w:rPr>
              <w:t>占当期债券成交总额的比例</w:t>
            </w:r>
          </w:p>
        </w:tc>
        <w:tc>
          <w:tcPr>
            <w:tcW w:type="dxa" w:w="1143"/>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197"/>
            <w:vAlign w:val="center"/>
          </w:tcPr>
          <w:p w:rsidP="00BA6FAB" w:rsidR="00FD7A40" w:rsidRDefault="00FD7A40" w:rsidRPr="005C672D">
            <w:pPr>
              <w:spacing w:before="29" w:line="288" w:lineRule="auto"/>
              <w:jc w:val="center"/>
              <w:rPr>
                <w:color w:val="000000"/>
                <w:sz w:val="24"/>
              </w:rPr>
            </w:pPr>
            <w:r w:rsidRPr="005C672D">
              <w:rPr>
                <w:color w:val="000000"/>
                <w:sz w:val="24"/>
              </w:rPr>
              <w:t>占当期回购成交总额的比例</w:t>
            </w:r>
          </w:p>
        </w:tc>
        <w:tc>
          <w:tcPr>
            <w:tcW w:type="dxa" w:w="149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203"/>
            <w:vAlign w:val="center"/>
          </w:tcPr>
          <w:p w:rsidP="00BA6FAB" w:rsidR="00FD7A40" w:rsidRDefault="00FD7A40" w:rsidRPr="005C672D">
            <w:pPr>
              <w:spacing w:before="29" w:line="288" w:lineRule="auto"/>
              <w:jc w:val="center"/>
              <w:rPr>
                <w:color w:val="000000"/>
                <w:sz w:val="24"/>
              </w:rPr>
            </w:pPr>
            <w:r w:rsidRPr="005C672D">
              <w:rPr>
                <w:color w:val="000000"/>
                <w:sz w:val="24"/>
              </w:rPr>
              <w:t>占当期权证成交总额的比例</w:t>
            </w:r>
          </w:p>
        </w:tc>
      </w:tr>
      <w:tr>
        <w:tc>
          <w:tcPr>
            <w:vAlign w:val="center"/>
          </w:tcPr>
          <w:p>
            <w:pPr>
              <w:jc w:val="left"/>
            </w:pPr>
            <w:r>
              <w:rPr>
                <w:color w:val="000000"/>
                <w:sz w:val="24"/>
              </w:rPr>
              <w:t>长江证券股份有限公司</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160,000,000.00</w:t>
            </w:r>
          </w:p>
        </w:tc>
        <w:tc>
          <w:tcPr>
            <w:vAlign w:val="center"/>
          </w:tcPr>
          <w:p>
            <w:pPr>
              <w:jc w:val="right"/>
            </w:pPr>
            <w:r>
              <w:rPr>
                <w:color w:val="000000"/>
                <w:sz w:val="24"/>
              </w:rPr>
              <w:t>100.00%</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海通证券股份有限公司</w:t>
            </w:r>
          </w:p>
        </w:tc>
        <w:tc>
          <w:tcPr>
            <w:vAlign w:val="center"/>
          </w:tcPr>
          <w:p>
            <w:pPr>
              <w:jc w:val="right"/>
            </w:pPr>
            <w:r>
              <w:rPr>
                <w:color w:val="000000"/>
                <w:sz w:val="24"/>
              </w:rPr>
              <w:t>7,974,758.26</w:t>
            </w:r>
          </w:p>
        </w:tc>
        <w:tc>
          <w:tcPr>
            <w:vAlign w:val="center"/>
          </w:tcPr>
          <w:p>
            <w:pPr>
              <w:jc w:val="right"/>
            </w:pPr>
            <w:r>
              <w:rPr>
                <w:color w:val="000000"/>
                <w:sz w:val="24"/>
              </w:rPr>
              <w:t>100.00%</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bl>
    <w:p w:rsidP="00AC6DDA" w:rsidR="00FD7A40" w:rsidRDefault="00FD7A40" w:rsidRPr="005C672D">
      <w:pPr>
        <w:autoSpaceDE w:val="0"/>
        <w:autoSpaceDN w:val="0"/>
        <w:adjustRightInd w:val="0"/>
        <w:spacing w:before="29" w:line="288" w:lineRule="auto"/>
        <w:jc w:val="left"/>
        <w:rPr>
          <w:color w:val="000000"/>
          <w:sz w:val="24"/>
        </w:rPr>
      </w:pPr>
    </w:p>
    <w:p>
      <w:pPr>
        <w:autoSpaceDE w:val="0"/>
        <w:autoSpaceDN w:val="0"/>
        <w:adjustRightInd w:val="0"/>
        <w:spacing w:before="29" w:line="288" w:lineRule="auto"/>
        <w:jc w:val="left"/>
        <w:rPr>
          <w:color w:val="000000"/>
          <w:sz w:val="24"/>
        </w:rPr>
      </w:pPr>
      <w:r>
        <w:rPr>
          <w:color w:val="000000"/>
          <w:sz w:val="24"/>
        </w:rPr>
        <w:t>注：1、报告期内，本基金退出交易单元为东北证券股份有限公司，其他交易单元未发生变化；</w:t>
      </w:r>
    </w:p>
    <w:p>
      <w:pPr>
        <w:autoSpaceDE w:val="0"/>
        <w:autoSpaceDN w:val="0"/>
        <w:adjustRightInd w:val="0"/>
        <w:spacing w:before="29" w:line="288" w:lineRule="auto"/>
        <w:jc w:val="left"/>
        <w:rPr>
          <w:color w:val="000000"/>
          <w:sz w:val="24"/>
        </w:rPr>
      </w:pPr>
      <w:r>
        <w:rPr>
          <w:color w:val="00000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 xml:space="preserve">    3、租用证券公司交易单元的程序：首先根据租用证券公司交易单元的选择标准进行综合评价，然后根据评价选择基金交易单元。研究部提交方案，并上报公司批准。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5547A0" w:rsidRPr="004F0662" w:rsidTr="00B86999">
        <w:tc>
          <w:tcPr>
            <w:tcW w:type="dxa" w:w="993"/>
            <w:vMerge w:val="restart"/>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type="dxa" w:w="993"/>
            <w:vMerge/>
            <w:vAlign w:val="center"/>
          </w:tcPr>
          <w:p w:rsidP="00B86999" w:rsidR="005547A0" w:rsidRDefault="005547A0" w:rsidRPr="004F0662">
            <w:pPr>
              <w:autoSpaceDE w:val="0"/>
              <w:autoSpaceDN w:val="0"/>
              <w:adjustRightInd w:val="0"/>
              <w:jc w:val="center"/>
              <w:rPr>
                <w:rFonts w:ascii="宋体" w:hAnsi="宋体"/>
                <w:b/>
                <w:bCs/>
                <w:color w:val="000000"/>
                <w:kern w:val="0"/>
                <w:szCs w:val="21"/>
              </w:rPr>
            </w:pPr>
          </w:p>
        </w:tc>
        <w:tc>
          <w:tcPr>
            <w:tcW w:type="dxa" w:w="992"/>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B86999" w:rsidR="005547A0" w:rsidRDefault="005547A0"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B86999" w:rsidR="005547A0" w:rsidRDefault="005547A0"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2019/1/1-2019/6/30</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98,589,174.80</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98,589,174.80</w:t>
            </w:r>
          </w:p>
        </w:tc>
        <w:tc>
          <w:tcPr>
            <w:vAlign w:val="center"/>
          </w:tcPr>
          <w:p>
            <w:pPr>
              <w:jc w:val="center"/>
            </w:pPr>
            <w:r>
              <w:rPr>
                <w:rFonts w:ascii="宋体" w:hAnsi="宋体"/>
                <w:color w:val="000000"/>
                <w:kern w:val="0"/>
                <w:szCs w:val="21"/>
              </w:rPr>
              <w:t>32.17%</w:t>
            </w:r>
          </w:p>
        </w:tc>
      </w:tr>
      <w:tr>
        <w:tc>
          <w:tcPr>
            <w:vMerge/>
          </w:tcPr>
          <w:p/>
        </w:tc>
        <w:tc>
          <w:tcPr>
            <w:vAlign w:val="center"/>
          </w:tcPr>
          <w:p>
            <w:pPr>
              <w:jc w:val="center"/>
            </w:pPr>
            <w:r>
              <w:rPr>
                <w:rFonts w:ascii="宋体" w:hAnsi="宋体"/>
                <w:color w:val="000000"/>
                <w:kern w:val="0"/>
                <w:szCs w:val="21"/>
              </w:rPr>
              <w:t>2</w:t>
            </w:r>
          </w:p>
        </w:tc>
        <w:tc>
          <w:tcPr>
            <w:vAlign w:val="center"/>
          </w:tcPr>
          <w:p>
            <w:pPr>
              <w:jc w:val="center"/>
            </w:pPr>
            <w:r>
              <w:rPr>
                <w:rFonts w:ascii="宋体" w:hAnsi="宋体"/>
                <w:color w:val="000000"/>
                <w:kern w:val="0"/>
                <w:szCs w:val="21"/>
              </w:rPr>
              <w:t>2019/1/1-2019/6/30</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98,589,174.80</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98,589,174.80</w:t>
            </w:r>
          </w:p>
        </w:tc>
        <w:tc>
          <w:tcPr>
            <w:vAlign w:val="center"/>
          </w:tcPr>
          <w:p>
            <w:pPr>
              <w:jc w:val="center"/>
            </w:pPr>
            <w:r>
              <w:rPr>
                <w:rFonts w:ascii="宋体" w:hAnsi="宋体"/>
                <w:color w:val="000000"/>
                <w:kern w:val="0"/>
                <w:szCs w:val="21"/>
              </w:rPr>
              <w:t>32.17%</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5547A0" w:rsidRPr="004F0662" w:rsidTr="00B86999">
        <w:tc>
          <w:tcPr>
            <w:tcW w:type="dxa" w:w="9212"/>
            <w:vAlign w:val="center"/>
          </w:tcPr>
          <w:p w:rsidP="00B86999" w:rsidR="005547A0" w:rsidRDefault="005547A0"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5547A0" w:rsidRPr="004F0662" w:rsidTr="00B86999">
        <w:tc>
          <w:tcPr>
            <w:tcW w:type="dxa" w:w="9212"/>
            <w:vAlign w:val="center"/>
          </w:tcPr>
          <w:p w:rsidP="00B86999" w:rsidR="005547A0" w:rsidRDefault="005547A0"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11.2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交银施罗德恒益灵活配置混合型证券投资基金2019年半年度报告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