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交银施罗德货币市场证券投资基金</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2019</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基金托管人：中国农业银行股份有限公司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二〇一九年八月二十九日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基金托管人中国农业银行股份有限公司根据本基金合同规定，于</w:t>
      </w:r>
      <w:r w:rsidRPr="0061644B">
        <w:rPr>
          <w:color w:val="000000"/>
          <w:sz w:val="24"/>
        </w:rPr>
        <w:t>2019</w:t>
      </w:r>
      <w:r w:rsidRPr="0061644B">
        <w:rPr>
          <w:color w:val="000000"/>
          <w:sz w:val="24"/>
        </w:rPr>
        <w:t>年</w:t>
      </w:r>
      <w:r w:rsidRPr="0061644B">
        <w:rPr>
          <w:color w:val="000000"/>
          <w:sz w:val="24"/>
        </w:rPr>
        <w:t>8</w:t>
      </w:r>
      <w:r w:rsidRPr="0061644B">
        <w:rPr>
          <w:color w:val="000000"/>
          <w:sz w:val="24"/>
        </w:rPr>
        <w:t>月</w:t>
      </w:r>
      <w:r w:rsidRPr="0061644B">
        <w:rPr>
          <w:color w:val="000000"/>
          <w:sz w:val="24"/>
        </w:rPr>
        <w:t>28</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CC3C2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519588</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2006</w:t>
            </w:r>
            <w:r w:rsidRPr="0061644B">
              <w:rPr>
                <w:sz w:val="24"/>
              </w:rPr>
              <w:t>年</w:t>
            </w:r>
            <w:r w:rsidRPr="0061644B">
              <w:rPr>
                <w:sz w:val="24"/>
              </w:rPr>
              <w:t>1</w:t>
            </w:r>
            <w:r w:rsidRPr="0061644B">
              <w:rPr>
                <w:sz w:val="24"/>
              </w:rPr>
              <w:t>月</w:t>
            </w:r>
            <w:r w:rsidRPr="0061644B">
              <w:rPr>
                <w:sz w:val="24"/>
              </w:rPr>
              <w:t>20</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中国农业银行股份有限公司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401,715,879.29</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交银货币</w:t>
            </w:r>
            <w:r w:rsidRPr="0061644B">
              <w:rPr>
                <w:sz w:val="24"/>
              </w:rPr>
              <w:t>B</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519588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519589</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277,604,938.08</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124,110,941.21</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本基金属于货币市场基金，投资目标是在力求本金稳妥和资产充分流动性的前提下，追求超过业绩比较基准的投资收益。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六个月银行定期存款利率（税后）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本基金是具有较低风险、中低收益、流动性强的证券投资基金品种。</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中国农业银行股份有限公司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贺倩</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010-66060069</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tgxxpl@abchina.com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95599</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010-68121816</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2019</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交银货币</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3,286,499.65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6,673,246.99</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3,286,499.65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6,673,246.99</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1.19%</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(2019</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交银货币</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277,604,938.08</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124,110,941.21</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r>
    </w:tbl>
    <w:p w:rsidR="00A834B1" w:rsidRDefault="00B142EA">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A834B1" w:rsidRDefault="00B142EA">
      <w:pPr>
        <w:tabs>
          <w:tab w:val="left" w:pos="426"/>
        </w:tabs>
        <w:spacing w:before="29" w:line="288" w:lineRule="auto"/>
        <w:jc w:val="left"/>
        <w:rPr>
          <w:kern w:val="0"/>
          <w:sz w:val="24"/>
        </w:rPr>
      </w:pPr>
      <w:r>
        <w:rPr>
          <w:kern w:val="0"/>
          <w:sz w:val="24"/>
        </w:rPr>
        <w:t xml:space="preserve"> 2</w:t>
      </w:r>
      <w:r>
        <w:rPr>
          <w:kern w:val="0"/>
          <w:sz w:val="24"/>
        </w:rPr>
        <w:t>、本基金收益分配按月结转份额；</w:t>
      </w:r>
    </w:p>
    <w:p w:rsidR="00A834B1" w:rsidRDefault="00B142EA">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2007</w:t>
      </w:r>
      <w:r>
        <w:rPr>
          <w:kern w:val="0"/>
          <w:sz w:val="24"/>
        </w:rPr>
        <w:t>年</w:t>
      </w:r>
      <w:r>
        <w:rPr>
          <w:kern w:val="0"/>
          <w:sz w:val="24"/>
        </w:rPr>
        <w:t>6</w:t>
      </w:r>
      <w:r>
        <w:rPr>
          <w:kern w:val="0"/>
          <w:sz w:val="24"/>
        </w:rPr>
        <w:t>月</w:t>
      </w:r>
      <w:r>
        <w:rPr>
          <w:kern w:val="0"/>
          <w:sz w:val="24"/>
        </w:rPr>
        <w:t>22</w:t>
      </w:r>
      <w:r>
        <w:rPr>
          <w:kern w:val="0"/>
          <w:sz w:val="24"/>
        </w:rPr>
        <w:t>日起，本基金实行销售服务费分级收费方式，分设两级基金份额：</w:t>
      </w:r>
      <w:r>
        <w:rPr>
          <w:kern w:val="0"/>
          <w:sz w:val="24"/>
        </w:rPr>
        <w:t>A</w:t>
      </w:r>
      <w:r>
        <w:rPr>
          <w:kern w:val="0"/>
          <w:sz w:val="24"/>
        </w:rPr>
        <w:t>级基金份额和</w:t>
      </w:r>
      <w:r>
        <w:rPr>
          <w:kern w:val="0"/>
          <w:sz w:val="24"/>
        </w:rPr>
        <w:t>B</w:t>
      </w:r>
      <w:r>
        <w:rPr>
          <w:kern w:val="0"/>
          <w:sz w:val="24"/>
        </w:rPr>
        <w:t>级基金份额。</w:t>
      </w:r>
      <w:r>
        <w:rPr>
          <w:kern w:val="0"/>
          <w:sz w:val="24"/>
        </w:rPr>
        <w:t>A</w:t>
      </w:r>
      <w:r>
        <w:rPr>
          <w:kern w:val="0"/>
          <w:sz w:val="24"/>
        </w:rPr>
        <w:t>级基金份额与</w:t>
      </w:r>
      <w:r>
        <w:rPr>
          <w:kern w:val="0"/>
          <w:sz w:val="24"/>
        </w:rPr>
        <w:t>B</w:t>
      </w:r>
      <w:r>
        <w:rPr>
          <w:kern w:val="0"/>
          <w:sz w:val="24"/>
        </w:rPr>
        <w:t>级基金份额的管理费、托管费相同，</w:t>
      </w:r>
      <w:r>
        <w:rPr>
          <w:kern w:val="0"/>
          <w:sz w:val="24"/>
        </w:rPr>
        <w:t>A</w:t>
      </w:r>
      <w:r>
        <w:rPr>
          <w:kern w:val="0"/>
          <w:sz w:val="24"/>
        </w:rPr>
        <w:t>级基金份额按照</w:t>
      </w:r>
      <w:r>
        <w:rPr>
          <w:kern w:val="0"/>
          <w:sz w:val="24"/>
        </w:rPr>
        <w:t>0.25%</w:t>
      </w:r>
      <w:r>
        <w:rPr>
          <w:kern w:val="0"/>
          <w:sz w:val="24"/>
        </w:rPr>
        <w:t>的年费率计提销售服务费，</w:t>
      </w:r>
      <w:r>
        <w:rPr>
          <w:kern w:val="0"/>
          <w:sz w:val="24"/>
        </w:rPr>
        <w:t>B</w:t>
      </w:r>
      <w:r>
        <w:rPr>
          <w:kern w:val="0"/>
          <w:sz w:val="24"/>
        </w:rPr>
        <w:t>级基金份额按照</w:t>
      </w:r>
      <w:r>
        <w:rPr>
          <w:kern w:val="0"/>
          <w:sz w:val="24"/>
        </w:rPr>
        <w:t>0.01%</w:t>
      </w:r>
      <w:r>
        <w:rPr>
          <w:kern w:val="0"/>
          <w:sz w:val="24"/>
        </w:rPr>
        <w:t>的年费率计提销售服务费。在计算主要财务指标时，</w:t>
      </w:r>
      <w:r>
        <w:rPr>
          <w:kern w:val="0"/>
          <w:sz w:val="24"/>
        </w:rPr>
        <w:t>A</w:t>
      </w:r>
      <w:r>
        <w:rPr>
          <w:kern w:val="0"/>
          <w:sz w:val="24"/>
        </w:rPr>
        <w:t>级基金份额与分级前基金连续计算，</w:t>
      </w:r>
      <w:r>
        <w:rPr>
          <w:kern w:val="0"/>
          <w:sz w:val="24"/>
        </w:rPr>
        <w:t>B</w:t>
      </w:r>
      <w:r>
        <w:rPr>
          <w:kern w:val="0"/>
          <w:sz w:val="24"/>
        </w:rPr>
        <w:t>级基金份额按新设基金计算；</w:t>
      </w:r>
    </w:p>
    <w:p w:rsidR="00726087" w:rsidRPr="0061644B" w:rsidRDefault="00726087" w:rsidP="00792A69">
      <w:pPr>
        <w:tabs>
          <w:tab w:val="left" w:pos="426"/>
        </w:tabs>
        <w:spacing w:before="29" w:line="288" w:lineRule="auto"/>
        <w:jc w:val="left"/>
        <w:rPr>
          <w:kern w:val="0"/>
          <w:sz w:val="24"/>
        </w:rPr>
      </w:pPr>
      <w:r w:rsidRPr="0061644B">
        <w:rPr>
          <w:kern w:val="0"/>
          <w:sz w:val="24"/>
        </w:rPr>
        <w:t xml:space="preserve"> 4</w:t>
      </w:r>
      <w:r w:rsidRPr="0061644B">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6"/>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A834B1">
        <w:tc>
          <w:tcPr>
            <w:tcW w:w="1600" w:type="dxa"/>
            <w:vAlign w:val="center"/>
          </w:tcPr>
          <w:p w:rsidR="00A834B1" w:rsidRDefault="00B142EA">
            <w:pPr>
              <w:jc w:val="left"/>
            </w:pPr>
            <w:r>
              <w:rPr>
                <w:sz w:val="24"/>
              </w:rPr>
              <w:t>过去一个月</w:t>
            </w:r>
          </w:p>
        </w:tc>
        <w:tc>
          <w:tcPr>
            <w:tcW w:w="1233" w:type="dxa"/>
            <w:vAlign w:val="center"/>
          </w:tcPr>
          <w:p w:rsidR="00A834B1" w:rsidRDefault="00B142EA">
            <w:pPr>
              <w:jc w:val="center"/>
            </w:pPr>
            <w:r>
              <w:rPr>
                <w:sz w:val="24"/>
              </w:rPr>
              <w:t>0.1544%</w:t>
            </w:r>
          </w:p>
        </w:tc>
        <w:tc>
          <w:tcPr>
            <w:tcW w:w="1233" w:type="dxa"/>
            <w:vAlign w:val="center"/>
          </w:tcPr>
          <w:p w:rsidR="00A834B1" w:rsidRDefault="00B142EA">
            <w:pPr>
              <w:jc w:val="center"/>
            </w:pPr>
            <w:r>
              <w:rPr>
                <w:sz w:val="24"/>
              </w:rPr>
              <w:t>0.0010%</w:t>
            </w:r>
          </w:p>
        </w:tc>
        <w:tc>
          <w:tcPr>
            <w:tcW w:w="1233" w:type="dxa"/>
            <w:vAlign w:val="center"/>
          </w:tcPr>
          <w:p w:rsidR="00A834B1" w:rsidRDefault="00B142EA">
            <w:pPr>
              <w:jc w:val="center"/>
            </w:pPr>
            <w:r>
              <w:rPr>
                <w:sz w:val="24"/>
              </w:rPr>
              <w:t>0.1068%</w:t>
            </w:r>
          </w:p>
        </w:tc>
        <w:tc>
          <w:tcPr>
            <w:tcW w:w="1233" w:type="dxa"/>
            <w:vAlign w:val="center"/>
          </w:tcPr>
          <w:p w:rsidR="00A834B1" w:rsidRDefault="00B142EA">
            <w:pPr>
              <w:jc w:val="center"/>
            </w:pPr>
            <w:r>
              <w:rPr>
                <w:sz w:val="24"/>
              </w:rPr>
              <w:t>0.0000%</w:t>
            </w:r>
          </w:p>
        </w:tc>
        <w:tc>
          <w:tcPr>
            <w:tcW w:w="1233" w:type="dxa"/>
            <w:vAlign w:val="center"/>
          </w:tcPr>
          <w:p w:rsidR="00A834B1" w:rsidRDefault="00B142EA">
            <w:pPr>
              <w:jc w:val="center"/>
            </w:pPr>
            <w:r>
              <w:rPr>
                <w:sz w:val="24"/>
              </w:rPr>
              <w:t>0.0476%</w:t>
            </w:r>
          </w:p>
        </w:tc>
        <w:tc>
          <w:tcPr>
            <w:tcW w:w="1233" w:type="dxa"/>
            <w:vAlign w:val="center"/>
          </w:tcPr>
          <w:p w:rsidR="00A834B1" w:rsidRDefault="00B142EA">
            <w:pPr>
              <w:jc w:val="center"/>
            </w:pPr>
            <w:r>
              <w:rPr>
                <w:sz w:val="24"/>
              </w:rPr>
              <w:t>0.0010%</w:t>
            </w:r>
          </w:p>
        </w:tc>
      </w:tr>
      <w:tr w:rsidR="00A834B1">
        <w:tc>
          <w:tcPr>
            <w:tcW w:w="1600" w:type="dxa"/>
            <w:vAlign w:val="center"/>
          </w:tcPr>
          <w:p w:rsidR="00A834B1" w:rsidRDefault="00B142EA">
            <w:pPr>
              <w:jc w:val="left"/>
            </w:pPr>
            <w:r>
              <w:rPr>
                <w:sz w:val="24"/>
              </w:rPr>
              <w:t>过去三个月</w:t>
            </w:r>
          </w:p>
        </w:tc>
        <w:tc>
          <w:tcPr>
            <w:tcW w:w="1233" w:type="dxa"/>
            <w:vAlign w:val="center"/>
          </w:tcPr>
          <w:p w:rsidR="00A834B1" w:rsidRDefault="00B142EA">
            <w:pPr>
              <w:jc w:val="center"/>
            </w:pPr>
            <w:r>
              <w:rPr>
                <w:sz w:val="24"/>
              </w:rPr>
              <w:t>0.4870%</w:t>
            </w:r>
          </w:p>
        </w:tc>
        <w:tc>
          <w:tcPr>
            <w:tcW w:w="1233" w:type="dxa"/>
            <w:vAlign w:val="center"/>
          </w:tcPr>
          <w:p w:rsidR="00A834B1" w:rsidRDefault="00B142EA">
            <w:pPr>
              <w:jc w:val="center"/>
            </w:pPr>
            <w:r>
              <w:rPr>
                <w:sz w:val="24"/>
              </w:rPr>
              <w:t>0.0006%</w:t>
            </w:r>
          </w:p>
        </w:tc>
        <w:tc>
          <w:tcPr>
            <w:tcW w:w="1233" w:type="dxa"/>
            <w:vAlign w:val="center"/>
          </w:tcPr>
          <w:p w:rsidR="00A834B1" w:rsidRDefault="00B142EA">
            <w:pPr>
              <w:jc w:val="center"/>
            </w:pPr>
            <w:r>
              <w:rPr>
                <w:sz w:val="24"/>
              </w:rPr>
              <w:t>0.3241%</w:t>
            </w:r>
          </w:p>
        </w:tc>
        <w:tc>
          <w:tcPr>
            <w:tcW w:w="1233" w:type="dxa"/>
            <w:vAlign w:val="center"/>
          </w:tcPr>
          <w:p w:rsidR="00A834B1" w:rsidRDefault="00B142EA">
            <w:pPr>
              <w:jc w:val="center"/>
            </w:pPr>
            <w:r>
              <w:rPr>
                <w:sz w:val="24"/>
              </w:rPr>
              <w:t>0.0000%</w:t>
            </w:r>
          </w:p>
        </w:tc>
        <w:tc>
          <w:tcPr>
            <w:tcW w:w="1233" w:type="dxa"/>
            <w:vAlign w:val="center"/>
          </w:tcPr>
          <w:p w:rsidR="00A834B1" w:rsidRDefault="00B142EA">
            <w:pPr>
              <w:jc w:val="center"/>
            </w:pPr>
            <w:r>
              <w:rPr>
                <w:sz w:val="24"/>
              </w:rPr>
              <w:t>0.1629%</w:t>
            </w:r>
          </w:p>
        </w:tc>
        <w:tc>
          <w:tcPr>
            <w:tcW w:w="1233" w:type="dxa"/>
            <w:vAlign w:val="center"/>
          </w:tcPr>
          <w:p w:rsidR="00A834B1" w:rsidRDefault="00B142EA">
            <w:pPr>
              <w:jc w:val="center"/>
            </w:pPr>
            <w:r>
              <w:rPr>
                <w:sz w:val="24"/>
              </w:rPr>
              <w:t>0.0006%</w:t>
            </w:r>
          </w:p>
        </w:tc>
      </w:tr>
      <w:tr w:rsidR="00A834B1">
        <w:tc>
          <w:tcPr>
            <w:tcW w:w="1600" w:type="dxa"/>
            <w:vAlign w:val="center"/>
          </w:tcPr>
          <w:p w:rsidR="00A834B1" w:rsidRDefault="00B142EA">
            <w:pPr>
              <w:jc w:val="left"/>
            </w:pPr>
            <w:r>
              <w:rPr>
                <w:sz w:val="24"/>
              </w:rPr>
              <w:t>过去六个月</w:t>
            </w:r>
          </w:p>
        </w:tc>
        <w:tc>
          <w:tcPr>
            <w:tcW w:w="1233" w:type="dxa"/>
            <w:vAlign w:val="center"/>
          </w:tcPr>
          <w:p w:rsidR="00A834B1" w:rsidRDefault="00B142EA">
            <w:pPr>
              <w:jc w:val="center"/>
            </w:pPr>
            <w:r>
              <w:rPr>
                <w:sz w:val="24"/>
              </w:rPr>
              <w:t>1.0650%</w:t>
            </w:r>
          </w:p>
        </w:tc>
        <w:tc>
          <w:tcPr>
            <w:tcW w:w="1233" w:type="dxa"/>
            <w:vAlign w:val="center"/>
          </w:tcPr>
          <w:p w:rsidR="00A834B1" w:rsidRDefault="00B142EA">
            <w:pPr>
              <w:jc w:val="center"/>
            </w:pPr>
            <w:r>
              <w:rPr>
                <w:sz w:val="24"/>
              </w:rPr>
              <w:t>0.0008%</w:t>
            </w:r>
          </w:p>
        </w:tc>
        <w:tc>
          <w:tcPr>
            <w:tcW w:w="1233" w:type="dxa"/>
            <w:vAlign w:val="center"/>
          </w:tcPr>
          <w:p w:rsidR="00A834B1" w:rsidRDefault="00B142EA">
            <w:pPr>
              <w:jc w:val="center"/>
            </w:pPr>
            <w:r>
              <w:rPr>
                <w:sz w:val="24"/>
              </w:rPr>
              <w:t>0.6447%</w:t>
            </w:r>
          </w:p>
        </w:tc>
        <w:tc>
          <w:tcPr>
            <w:tcW w:w="1233" w:type="dxa"/>
            <w:vAlign w:val="center"/>
          </w:tcPr>
          <w:p w:rsidR="00A834B1" w:rsidRDefault="00B142EA">
            <w:pPr>
              <w:jc w:val="center"/>
            </w:pPr>
            <w:r>
              <w:rPr>
                <w:sz w:val="24"/>
              </w:rPr>
              <w:t>0.0000%</w:t>
            </w:r>
          </w:p>
        </w:tc>
        <w:tc>
          <w:tcPr>
            <w:tcW w:w="1233" w:type="dxa"/>
            <w:vAlign w:val="center"/>
          </w:tcPr>
          <w:p w:rsidR="00A834B1" w:rsidRDefault="00B142EA">
            <w:pPr>
              <w:jc w:val="center"/>
            </w:pPr>
            <w:r>
              <w:rPr>
                <w:sz w:val="24"/>
              </w:rPr>
              <w:t>0.4203%</w:t>
            </w:r>
          </w:p>
        </w:tc>
        <w:tc>
          <w:tcPr>
            <w:tcW w:w="1233" w:type="dxa"/>
            <w:vAlign w:val="center"/>
          </w:tcPr>
          <w:p w:rsidR="00A834B1" w:rsidRDefault="00B142EA">
            <w:pPr>
              <w:jc w:val="center"/>
            </w:pPr>
            <w:r>
              <w:rPr>
                <w:sz w:val="24"/>
              </w:rPr>
              <w:t>0.0008%</w:t>
            </w:r>
          </w:p>
        </w:tc>
      </w:tr>
      <w:tr w:rsidR="00A834B1">
        <w:tc>
          <w:tcPr>
            <w:tcW w:w="1600" w:type="dxa"/>
            <w:vAlign w:val="center"/>
          </w:tcPr>
          <w:p w:rsidR="00A834B1" w:rsidRDefault="00B142EA">
            <w:pPr>
              <w:jc w:val="left"/>
            </w:pPr>
            <w:r>
              <w:rPr>
                <w:sz w:val="24"/>
              </w:rPr>
              <w:t>过去一年</w:t>
            </w:r>
          </w:p>
        </w:tc>
        <w:tc>
          <w:tcPr>
            <w:tcW w:w="1233" w:type="dxa"/>
            <w:vAlign w:val="center"/>
          </w:tcPr>
          <w:p w:rsidR="00A834B1" w:rsidRDefault="00B142EA">
            <w:pPr>
              <w:jc w:val="center"/>
            </w:pPr>
            <w:r>
              <w:rPr>
                <w:sz w:val="24"/>
              </w:rPr>
              <w:t>2.2618%</w:t>
            </w:r>
          </w:p>
        </w:tc>
        <w:tc>
          <w:tcPr>
            <w:tcW w:w="1233" w:type="dxa"/>
            <w:vAlign w:val="center"/>
          </w:tcPr>
          <w:p w:rsidR="00A834B1" w:rsidRDefault="00B142EA">
            <w:pPr>
              <w:jc w:val="center"/>
            </w:pPr>
            <w:r>
              <w:rPr>
                <w:sz w:val="24"/>
              </w:rPr>
              <w:t>0.0016%</w:t>
            </w:r>
          </w:p>
        </w:tc>
        <w:tc>
          <w:tcPr>
            <w:tcW w:w="1233" w:type="dxa"/>
            <w:vAlign w:val="center"/>
          </w:tcPr>
          <w:p w:rsidR="00A834B1" w:rsidRDefault="00B142EA">
            <w:pPr>
              <w:jc w:val="center"/>
            </w:pPr>
            <w:r>
              <w:rPr>
                <w:sz w:val="24"/>
              </w:rPr>
              <w:t>1.3000%</w:t>
            </w:r>
          </w:p>
        </w:tc>
        <w:tc>
          <w:tcPr>
            <w:tcW w:w="1233" w:type="dxa"/>
            <w:vAlign w:val="center"/>
          </w:tcPr>
          <w:p w:rsidR="00A834B1" w:rsidRDefault="00B142EA">
            <w:pPr>
              <w:jc w:val="center"/>
            </w:pPr>
            <w:r>
              <w:rPr>
                <w:sz w:val="24"/>
              </w:rPr>
              <w:t>0.0000%</w:t>
            </w:r>
          </w:p>
        </w:tc>
        <w:tc>
          <w:tcPr>
            <w:tcW w:w="1233" w:type="dxa"/>
            <w:vAlign w:val="center"/>
          </w:tcPr>
          <w:p w:rsidR="00A834B1" w:rsidRDefault="00B142EA">
            <w:pPr>
              <w:jc w:val="center"/>
            </w:pPr>
            <w:r>
              <w:rPr>
                <w:sz w:val="24"/>
              </w:rPr>
              <w:t>0.9618%</w:t>
            </w:r>
          </w:p>
        </w:tc>
        <w:tc>
          <w:tcPr>
            <w:tcW w:w="1233" w:type="dxa"/>
            <w:vAlign w:val="center"/>
          </w:tcPr>
          <w:p w:rsidR="00A834B1" w:rsidRDefault="00B142EA">
            <w:pPr>
              <w:jc w:val="center"/>
            </w:pPr>
            <w:r>
              <w:rPr>
                <w:sz w:val="24"/>
              </w:rPr>
              <w:t>0.0016%</w:t>
            </w:r>
          </w:p>
        </w:tc>
      </w:tr>
      <w:tr w:rsidR="00A834B1">
        <w:tc>
          <w:tcPr>
            <w:tcW w:w="1600" w:type="dxa"/>
            <w:vAlign w:val="center"/>
          </w:tcPr>
          <w:p w:rsidR="00A834B1" w:rsidRDefault="00B142EA">
            <w:pPr>
              <w:jc w:val="left"/>
            </w:pPr>
            <w:r>
              <w:rPr>
                <w:sz w:val="24"/>
              </w:rPr>
              <w:t>过去三年</w:t>
            </w:r>
          </w:p>
        </w:tc>
        <w:tc>
          <w:tcPr>
            <w:tcW w:w="1233" w:type="dxa"/>
            <w:vAlign w:val="center"/>
          </w:tcPr>
          <w:p w:rsidR="00A834B1" w:rsidRDefault="00B142EA">
            <w:pPr>
              <w:jc w:val="center"/>
            </w:pPr>
            <w:r>
              <w:rPr>
                <w:sz w:val="24"/>
              </w:rPr>
              <w:t>8.8384%</w:t>
            </w:r>
          </w:p>
        </w:tc>
        <w:tc>
          <w:tcPr>
            <w:tcW w:w="1233" w:type="dxa"/>
            <w:vAlign w:val="center"/>
          </w:tcPr>
          <w:p w:rsidR="00A834B1" w:rsidRDefault="00B142EA">
            <w:pPr>
              <w:jc w:val="center"/>
            </w:pPr>
            <w:r>
              <w:rPr>
                <w:sz w:val="24"/>
              </w:rPr>
              <w:t>0.0026%</w:t>
            </w:r>
          </w:p>
        </w:tc>
        <w:tc>
          <w:tcPr>
            <w:tcW w:w="1233" w:type="dxa"/>
            <w:vAlign w:val="center"/>
          </w:tcPr>
          <w:p w:rsidR="00A834B1" w:rsidRDefault="00B142EA">
            <w:pPr>
              <w:jc w:val="center"/>
            </w:pPr>
            <w:r>
              <w:rPr>
                <w:sz w:val="24"/>
              </w:rPr>
              <w:t>3.9000%</w:t>
            </w:r>
          </w:p>
        </w:tc>
        <w:tc>
          <w:tcPr>
            <w:tcW w:w="1233" w:type="dxa"/>
            <w:vAlign w:val="center"/>
          </w:tcPr>
          <w:p w:rsidR="00A834B1" w:rsidRDefault="00B142EA">
            <w:pPr>
              <w:jc w:val="center"/>
            </w:pPr>
            <w:r>
              <w:rPr>
                <w:sz w:val="24"/>
              </w:rPr>
              <w:t>0.0000%</w:t>
            </w:r>
          </w:p>
        </w:tc>
        <w:tc>
          <w:tcPr>
            <w:tcW w:w="1233" w:type="dxa"/>
            <w:vAlign w:val="center"/>
          </w:tcPr>
          <w:p w:rsidR="00A834B1" w:rsidRDefault="00B142EA">
            <w:pPr>
              <w:jc w:val="center"/>
            </w:pPr>
            <w:r>
              <w:rPr>
                <w:sz w:val="24"/>
              </w:rPr>
              <w:t>4.9384%</w:t>
            </w:r>
          </w:p>
        </w:tc>
        <w:tc>
          <w:tcPr>
            <w:tcW w:w="1233" w:type="dxa"/>
            <w:vAlign w:val="center"/>
          </w:tcPr>
          <w:p w:rsidR="00A834B1" w:rsidRDefault="00B142EA">
            <w:pPr>
              <w:jc w:val="center"/>
            </w:pPr>
            <w:r>
              <w:rPr>
                <w:sz w:val="24"/>
              </w:rPr>
              <w:t>0.0026%</w:t>
            </w:r>
          </w:p>
        </w:tc>
      </w:tr>
      <w:tr w:rsidR="00A834B1">
        <w:tc>
          <w:tcPr>
            <w:tcW w:w="1600" w:type="dxa"/>
            <w:vAlign w:val="center"/>
          </w:tcPr>
          <w:p w:rsidR="00A834B1" w:rsidRDefault="00B142EA">
            <w:pPr>
              <w:jc w:val="left"/>
            </w:pPr>
            <w:r>
              <w:rPr>
                <w:sz w:val="24"/>
              </w:rPr>
              <w:t>自基金合同生效起至今</w:t>
            </w:r>
          </w:p>
        </w:tc>
        <w:tc>
          <w:tcPr>
            <w:tcW w:w="1233" w:type="dxa"/>
            <w:vAlign w:val="center"/>
          </w:tcPr>
          <w:p w:rsidR="00A834B1" w:rsidRDefault="00B142EA">
            <w:pPr>
              <w:jc w:val="center"/>
            </w:pPr>
            <w:r>
              <w:rPr>
                <w:sz w:val="24"/>
              </w:rPr>
              <w:t>47.0736%</w:t>
            </w:r>
          </w:p>
        </w:tc>
        <w:tc>
          <w:tcPr>
            <w:tcW w:w="1233" w:type="dxa"/>
            <w:vAlign w:val="center"/>
          </w:tcPr>
          <w:p w:rsidR="00A834B1" w:rsidRDefault="00B142EA">
            <w:pPr>
              <w:jc w:val="center"/>
            </w:pPr>
            <w:r>
              <w:rPr>
                <w:sz w:val="24"/>
              </w:rPr>
              <w:t>0.0048%</w:t>
            </w:r>
          </w:p>
        </w:tc>
        <w:tc>
          <w:tcPr>
            <w:tcW w:w="1233" w:type="dxa"/>
            <w:vAlign w:val="center"/>
          </w:tcPr>
          <w:p w:rsidR="00A834B1" w:rsidRDefault="00B142EA">
            <w:pPr>
              <w:jc w:val="center"/>
            </w:pPr>
            <w:r>
              <w:rPr>
                <w:sz w:val="24"/>
              </w:rPr>
              <w:t>29.6668%</w:t>
            </w:r>
          </w:p>
        </w:tc>
        <w:tc>
          <w:tcPr>
            <w:tcW w:w="1233" w:type="dxa"/>
            <w:vAlign w:val="center"/>
          </w:tcPr>
          <w:p w:rsidR="00A834B1" w:rsidRDefault="00B142EA">
            <w:pPr>
              <w:jc w:val="center"/>
            </w:pPr>
            <w:r>
              <w:rPr>
                <w:sz w:val="24"/>
              </w:rPr>
              <w:t>0.0021%</w:t>
            </w:r>
          </w:p>
        </w:tc>
        <w:tc>
          <w:tcPr>
            <w:tcW w:w="1233" w:type="dxa"/>
            <w:vAlign w:val="center"/>
          </w:tcPr>
          <w:p w:rsidR="00A834B1" w:rsidRDefault="00B142EA">
            <w:pPr>
              <w:jc w:val="center"/>
            </w:pPr>
            <w:r>
              <w:rPr>
                <w:sz w:val="24"/>
              </w:rPr>
              <w:t>17.4068%</w:t>
            </w:r>
          </w:p>
        </w:tc>
        <w:tc>
          <w:tcPr>
            <w:tcW w:w="1233" w:type="dxa"/>
            <w:vAlign w:val="center"/>
          </w:tcPr>
          <w:p w:rsidR="00A834B1" w:rsidRDefault="00B142EA">
            <w:pPr>
              <w:jc w:val="center"/>
            </w:pPr>
            <w:r>
              <w:rPr>
                <w:sz w:val="24"/>
              </w:rPr>
              <w:t>0.0027%</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注：本基金的业绩比较基准为六个月银行定期存款利率（税后）。</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．交银货币</w:t>
      </w:r>
      <w:r w:rsidRPr="0061644B">
        <w:rPr>
          <w:rFonts w:ascii="Times New Roman" w:hAnsi="Times New Roman"/>
          <w:b/>
          <w:color w:val="auto"/>
        </w:rPr>
        <w:t>B</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A834B1">
        <w:tc>
          <w:tcPr>
            <w:tcW w:w="1600" w:type="dxa"/>
            <w:vAlign w:val="center"/>
          </w:tcPr>
          <w:p w:rsidR="00A834B1" w:rsidRDefault="00B142EA">
            <w:pPr>
              <w:jc w:val="left"/>
            </w:pPr>
            <w:r>
              <w:rPr>
                <w:sz w:val="24"/>
              </w:rPr>
              <w:t>过去一个月</w:t>
            </w:r>
          </w:p>
        </w:tc>
        <w:tc>
          <w:tcPr>
            <w:tcW w:w="1233" w:type="dxa"/>
            <w:vAlign w:val="center"/>
          </w:tcPr>
          <w:p w:rsidR="00A834B1" w:rsidRDefault="00B142EA">
            <w:pPr>
              <w:jc w:val="center"/>
            </w:pPr>
            <w:r>
              <w:rPr>
                <w:sz w:val="24"/>
              </w:rPr>
              <w:t>0.1741%</w:t>
            </w:r>
          </w:p>
        </w:tc>
        <w:tc>
          <w:tcPr>
            <w:tcW w:w="1233" w:type="dxa"/>
            <w:vAlign w:val="center"/>
          </w:tcPr>
          <w:p w:rsidR="00A834B1" w:rsidRDefault="00B142EA">
            <w:pPr>
              <w:jc w:val="center"/>
            </w:pPr>
            <w:r>
              <w:rPr>
                <w:sz w:val="24"/>
              </w:rPr>
              <w:t>0.0010%</w:t>
            </w:r>
          </w:p>
        </w:tc>
        <w:tc>
          <w:tcPr>
            <w:tcW w:w="1233" w:type="dxa"/>
            <w:vAlign w:val="center"/>
          </w:tcPr>
          <w:p w:rsidR="00A834B1" w:rsidRDefault="00B142EA">
            <w:pPr>
              <w:jc w:val="center"/>
            </w:pPr>
            <w:r>
              <w:rPr>
                <w:sz w:val="24"/>
              </w:rPr>
              <w:t>0.1068%</w:t>
            </w:r>
          </w:p>
        </w:tc>
        <w:tc>
          <w:tcPr>
            <w:tcW w:w="1233" w:type="dxa"/>
            <w:vAlign w:val="center"/>
          </w:tcPr>
          <w:p w:rsidR="00A834B1" w:rsidRDefault="00B142EA">
            <w:pPr>
              <w:jc w:val="center"/>
            </w:pPr>
            <w:r>
              <w:rPr>
                <w:sz w:val="24"/>
              </w:rPr>
              <w:t>0.0000%</w:t>
            </w:r>
          </w:p>
        </w:tc>
        <w:tc>
          <w:tcPr>
            <w:tcW w:w="1233" w:type="dxa"/>
            <w:vAlign w:val="center"/>
          </w:tcPr>
          <w:p w:rsidR="00A834B1" w:rsidRDefault="00B142EA">
            <w:pPr>
              <w:jc w:val="center"/>
            </w:pPr>
            <w:r>
              <w:rPr>
                <w:sz w:val="24"/>
              </w:rPr>
              <w:t>0.0673%</w:t>
            </w:r>
          </w:p>
        </w:tc>
        <w:tc>
          <w:tcPr>
            <w:tcW w:w="1233" w:type="dxa"/>
            <w:vAlign w:val="center"/>
          </w:tcPr>
          <w:p w:rsidR="00A834B1" w:rsidRDefault="00B142EA">
            <w:pPr>
              <w:jc w:val="center"/>
            </w:pPr>
            <w:r>
              <w:rPr>
                <w:sz w:val="24"/>
              </w:rPr>
              <w:t>0.0010%</w:t>
            </w:r>
          </w:p>
        </w:tc>
      </w:tr>
      <w:tr w:rsidR="00A834B1">
        <w:tc>
          <w:tcPr>
            <w:tcW w:w="1600" w:type="dxa"/>
            <w:vAlign w:val="center"/>
          </w:tcPr>
          <w:p w:rsidR="00A834B1" w:rsidRDefault="00B142EA">
            <w:pPr>
              <w:jc w:val="left"/>
            </w:pPr>
            <w:r>
              <w:rPr>
                <w:sz w:val="24"/>
              </w:rPr>
              <w:t>过去三个月</w:t>
            </w:r>
          </w:p>
        </w:tc>
        <w:tc>
          <w:tcPr>
            <w:tcW w:w="1233" w:type="dxa"/>
            <w:vAlign w:val="center"/>
          </w:tcPr>
          <w:p w:rsidR="00A834B1" w:rsidRDefault="00B142EA">
            <w:pPr>
              <w:jc w:val="center"/>
            </w:pPr>
            <w:r>
              <w:rPr>
                <w:sz w:val="24"/>
              </w:rPr>
              <w:t>0.5471%</w:t>
            </w:r>
          </w:p>
        </w:tc>
        <w:tc>
          <w:tcPr>
            <w:tcW w:w="1233" w:type="dxa"/>
            <w:vAlign w:val="center"/>
          </w:tcPr>
          <w:p w:rsidR="00A834B1" w:rsidRDefault="00B142EA">
            <w:pPr>
              <w:jc w:val="center"/>
            </w:pPr>
            <w:r>
              <w:rPr>
                <w:sz w:val="24"/>
              </w:rPr>
              <w:t>0.0006%</w:t>
            </w:r>
          </w:p>
        </w:tc>
        <w:tc>
          <w:tcPr>
            <w:tcW w:w="1233" w:type="dxa"/>
            <w:vAlign w:val="center"/>
          </w:tcPr>
          <w:p w:rsidR="00A834B1" w:rsidRDefault="00B142EA">
            <w:pPr>
              <w:jc w:val="center"/>
            </w:pPr>
            <w:r>
              <w:rPr>
                <w:sz w:val="24"/>
              </w:rPr>
              <w:t>0.3241%</w:t>
            </w:r>
          </w:p>
        </w:tc>
        <w:tc>
          <w:tcPr>
            <w:tcW w:w="1233" w:type="dxa"/>
            <w:vAlign w:val="center"/>
          </w:tcPr>
          <w:p w:rsidR="00A834B1" w:rsidRDefault="00B142EA">
            <w:pPr>
              <w:jc w:val="center"/>
            </w:pPr>
            <w:r>
              <w:rPr>
                <w:sz w:val="24"/>
              </w:rPr>
              <w:t>0.0000%</w:t>
            </w:r>
          </w:p>
        </w:tc>
        <w:tc>
          <w:tcPr>
            <w:tcW w:w="1233" w:type="dxa"/>
            <w:vAlign w:val="center"/>
          </w:tcPr>
          <w:p w:rsidR="00A834B1" w:rsidRDefault="00B142EA">
            <w:pPr>
              <w:jc w:val="center"/>
            </w:pPr>
            <w:r>
              <w:rPr>
                <w:sz w:val="24"/>
              </w:rPr>
              <w:t>0.2230%</w:t>
            </w:r>
          </w:p>
        </w:tc>
        <w:tc>
          <w:tcPr>
            <w:tcW w:w="1233" w:type="dxa"/>
            <w:vAlign w:val="center"/>
          </w:tcPr>
          <w:p w:rsidR="00A834B1" w:rsidRDefault="00B142EA">
            <w:pPr>
              <w:jc w:val="center"/>
            </w:pPr>
            <w:r>
              <w:rPr>
                <w:sz w:val="24"/>
              </w:rPr>
              <w:t>0.0006%</w:t>
            </w:r>
          </w:p>
        </w:tc>
      </w:tr>
      <w:tr w:rsidR="00A834B1">
        <w:tc>
          <w:tcPr>
            <w:tcW w:w="1600" w:type="dxa"/>
            <w:vAlign w:val="center"/>
          </w:tcPr>
          <w:p w:rsidR="00A834B1" w:rsidRDefault="00B142EA">
            <w:pPr>
              <w:jc w:val="left"/>
            </w:pPr>
            <w:r>
              <w:rPr>
                <w:sz w:val="24"/>
              </w:rPr>
              <w:t>过去六个月</w:t>
            </w:r>
          </w:p>
        </w:tc>
        <w:tc>
          <w:tcPr>
            <w:tcW w:w="1233" w:type="dxa"/>
            <w:vAlign w:val="center"/>
          </w:tcPr>
          <w:p w:rsidR="00A834B1" w:rsidRDefault="00B142EA">
            <w:pPr>
              <w:jc w:val="center"/>
            </w:pPr>
            <w:r>
              <w:rPr>
                <w:sz w:val="24"/>
              </w:rPr>
              <w:t>1.1852%</w:t>
            </w:r>
          </w:p>
        </w:tc>
        <w:tc>
          <w:tcPr>
            <w:tcW w:w="1233" w:type="dxa"/>
            <w:vAlign w:val="center"/>
          </w:tcPr>
          <w:p w:rsidR="00A834B1" w:rsidRDefault="00B142EA">
            <w:pPr>
              <w:jc w:val="center"/>
            </w:pPr>
            <w:r>
              <w:rPr>
                <w:sz w:val="24"/>
              </w:rPr>
              <w:t>0.0008%</w:t>
            </w:r>
          </w:p>
        </w:tc>
        <w:tc>
          <w:tcPr>
            <w:tcW w:w="1233" w:type="dxa"/>
            <w:vAlign w:val="center"/>
          </w:tcPr>
          <w:p w:rsidR="00A834B1" w:rsidRDefault="00B142EA">
            <w:pPr>
              <w:jc w:val="center"/>
            </w:pPr>
            <w:r>
              <w:rPr>
                <w:sz w:val="24"/>
              </w:rPr>
              <w:t>0.6447%</w:t>
            </w:r>
          </w:p>
        </w:tc>
        <w:tc>
          <w:tcPr>
            <w:tcW w:w="1233" w:type="dxa"/>
            <w:vAlign w:val="center"/>
          </w:tcPr>
          <w:p w:rsidR="00A834B1" w:rsidRDefault="00B142EA">
            <w:pPr>
              <w:jc w:val="center"/>
            </w:pPr>
            <w:r>
              <w:rPr>
                <w:sz w:val="24"/>
              </w:rPr>
              <w:t>0.0000%</w:t>
            </w:r>
          </w:p>
        </w:tc>
        <w:tc>
          <w:tcPr>
            <w:tcW w:w="1233" w:type="dxa"/>
            <w:vAlign w:val="center"/>
          </w:tcPr>
          <w:p w:rsidR="00A834B1" w:rsidRDefault="00B142EA">
            <w:pPr>
              <w:jc w:val="center"/>
            </w:pPr>
            <w:r>
              <w:rPr>
                <w:sz w:val="24"/>
              </w:rPr>
              <w:t>0.5405%</w:t>
            </w:r>
          </w:p>
        </w:tc>
        <w:tc>
          <w:tcPr>
            <w:tcW w:w="1233" w:type="dxa"/>
            <w:vAlign w:val="center"/>
          </w:tcPr>
          <w:p w:rsidR="00A834B1" w:rsidRDefault="00B142EA">
            <w:pPr>
              <w:jc w:val="center"/>
            </w:pPr>
            <w:r>
              <w:rPr>
                <w:sz w:val="24"/>
              </w:rPr>
              <w:t>0.0008%</w:t>
            </w:r>
          </w:p>
        </w:tc>
      </w:tr>
      <w:tr w:rsidR="00A834B1">
        <w:tc>
          <w:tcPr>
            <w:tcW w:w="1600" w:type="dxa"/>
            <w:vAlign w:val="center"/>
          </w:tcPr>
          <w:p w:rsidR="00A834B1" w:rsidRDefault="00B142EA">
            <w:pPr>
              <w:jc w:val="left"/>
            </w:pPr>
            <w:r>
              <w:rPr>
                <w:sz w:val="24"/>
              </w:rPr>
              <w:t>过去一年</w:t>
            </w:r>
          </w:p>
        </w:tc>
        <w:tc>
          <w:tcPr>
            <w:tcW w:w="1233" w:type="dxa"/>
            <w:vAlign w:val="center"/>
          </w:tcPr>
          <w:p w:rsidR="00A834B1" w:rsidRDefault="00B142EA">
            <w:pPr>
              <w:jc w:val="center"/>
            </w:pPr>
            <w:r>
              <w:rPr>
                <w:sz w:val="24"/>
              </w:rPr>
              <w:t>2.5073%</w:t>
            </w:r>
          </w:p>
        </w:tc>
        <w:tc>
          <w:tcPr>
            <w:tcW w:w="1233" w:type="dxa"/>
            <w:vAlign w:val="center"/>
          </w:tcPr>
          <w:p w:rsidR="00A834B1" w:rsidRDefault="00B142EA">
            <w:pPr>
              <w:jc w:val="center"/>
            </w:pPr>
            <w:r>
              <w:rPr>
                <w:sz w:val="24"/>
              </w:rPr>
              <w:t>0.0016%</w:t>
            </w:r>
          </w:p>
        </w:tc>
        <w:tc>
          <w:tcPr>
            <w:tcW w:w="1233" w:type="dxa"/>
            <w:vAlign w:val="center"/>
          </w:tcPr>
          <w:p w:rsidR="00A834B1" w:rsidRDefault="00B142EA">
            <w:pPr>
              <w:jc w:val="center"/>
            </w:pPr>
            <w:r>
              <w:rPr>
                <w:sz w:val="24"/>
              </w:rPr>
              <w:t>1.3000%</w:t>
            </w:r>
          </w:p>
        </w:tc>
        <w:tc>
          <w:tcPr>
            <w:tcW w:w="1233" w:type="dxa"/>
            <w:vAlign w:val="center"/>
          </w:tcPr>
          <w:p w:rsidR="00A834B1" w:rsidRDefault="00B142EA">
            <w:pPr>
              <w:jc w:val="center"/>
            </w:pPr>
            <w:r>
              <w:rPr>
                <w:sz w:val="24"/>
              </w:rPr>
              <w:t>0.0000%</w:t>
            </w:r>
          </w:p>
        </w:tc>
        <w:tc>
          <w:tcPr>
            <w:tcW w:w="1233" w:type="dxa"/>
            <w:vAlign w:val="center"/>
          </w:tcPr>
          <w:p w:rsidR="00A834B1" w:rsidRDefault="00B142EA">
            <w:pPr>
              <w:jc w:val="center"/>
            </w:pPr>
            <w:r>
              <w:rPr>
                <w:sz w:val="24"/>
              </w:rPr>
              <w:t>1.2073%</w:t>
            </w:r>
          </w:p>
        </w:tc>
        <w:tc>
          <w:tcPr>
            <w:tcW w:w="1233" w:type="dxa"/>
            <w:vAlign w:val="center"/>
          </w:tcPr>
          <w:p w:rsidR="00A834B1" w:rsidRDefault="00B142EA">
            <w:pPr>
              <w:jc w:val="center"/>
            </w:pPr>
            <w:r>
              <w:rPr>
                <w:sz w:val="24"/>
              </w:rPr>
              <w:t>0.0016%</w:t>
            </w:r>
          </w:p>
        </w:tc>
      </w:tr>
      <w:tr w:rsidR="00A834B1">
        <w:tc>
          <w:tcPr>
            <w:tcW w:w="1600" w:type="dxa"/>
            <w:vAlign w:val="center"/>
          </w:tcPr>
          <w:p w:rsidR="00A834B1" w:rsidRDefault="00B142EA">
            <w:pPr>
              <w:jc w:val="left"/>
            </w:pPr>
            <w:r>
              <w:rPr>
                <w:sz w:val="24"/>
              </w:rPr>
              <w:t>过去三年</w:t>
            </w:r>
          </w:p>
        </w:tc>
        <w:tc>
          <w:tcPr>
            <w:tcW w:w="1233" w:type="dxa"/>
            <w:vAlign w:val="center"/>
          </w:tcPr>
          <w:p w:rsidR="00A834B1" w:rsidRDefault="00B142EA">
            <w:pPr>
              <w:jc w:val="center"/>
            </w:pPr>
            <w:r>
              <w:rPr>
                <w:sz w:val="24"/>
              </w:rPr>
              <w:t>9.6230%</w:t>
            </w:r>
          </w:p>
        </w:tc>
        <w:tc>
          <w:tcPr>
            <w:tcW w:w="1233" w:type="dxa"/>
            <w:vAlign w:val="center"/>
          </w:tcPr>
          <w:p w:rsidR="00A834B1" w:rsidRDefault="00B142EA">
            <w:pPr>
              <w:jc w:val="center"/>
            </w:pPr>
            <w:r>
              <w:rPr>
                <w:sz w:val="24"/>
              </w:rPr>
              <w:t>0.0026%</w:t>
            </w:r>
          </w:p>
        </w:tc>
        <w:tc>
          <w:tcPr>
            <w:tcW w:w="1233" w:type="dxa"/>
            <w:vAlign w:val="center"/>
          </w:tcPr>
          <w:p w:rsidR="00A834B1" w:rsidRDefault="00B142EA">
            <w:pPr>
              <w:jc w:val="center"/>
            </w:pPr>
            <w:r>
              <w:rPr>
                <w:sz w:val="24"/>
              </w:rPr>
              <w:t>3.9000%</w:t>
            </w:r>
          </w:p>
        </w:tc>
        <w:tc>
          <w:tcPr>
            <w:tcW w:w="1233" w:type="dxa"/>
            <w:vAlign w:val="center"/>
          </w:tcPr>
          <w:p w:rsidR="00A834B1" w:rsidRDefault="00B142EA">
            <w:pPr>
              <w:jc w:val="center"/>
            </w:pPr>
            <w:r>
              <w:rPr>
                <w:sz w:val="24"/>
              </w:rPr>
              <w:t>0.0000%</w:t>
            </w:r>
          </w:p>
        </w:tc>
        <w:tc>
          <w:tcPr>
            <w:tcW w:w="1233" w:type="dxa"/>
            <w:vAlign w:val="center"/>
          </w:tcPr>
          <w:p w:rsidR="00A834B1" w:rsidRDefault="00B142EA">
            <w:pPr>
              <w:jc w:val="center"/>
            </w:pPr>
            <w:r>
              <w:rPr>
                <w:sz w:val="24"/>
              </w:rPr>
              <w:t>5.7230%</w:t>
            </w:r>
          </w:p>
        </w:tc>
        <w:tc>
          <w:tcPr>
            <w:tcW w:w="1233" w:type="dxa"/>
            <w:vAlign w:val="center"/>
          </w:tcPr>
          <w:p w:rsidR="00A834B1" w:rsidRDefault="00B142EA">
            <w:pPr>
              <w:jc w:val="center"/>
            </w:pPr>
            <w:r>
              <w:rPr>
                <w:sz w:val="24"/>
              </w:rPr>
              <w:t>0.0026%</w:t>
            </w:r>
          </w:p>
        </w:tc>
      </w:tr>
      <w:tr w:rsidR="00A834B1">
        <w:tc>
          <w:tcPr>
            <w:tcW w:w="1600" w:type="dxa"/>
            <w:vAlign w:val="center"/>
          </w:tcPr>
          <w:p w:rsidR="00A834B1" w:rsidRDefault="00B142EA">
            <w:pPr>
              <w:jc w:val="left"/>
            </w:pPr>
            <w:r>
              <w:rPr>
                <w:sz w:val="24"/>
              </w:rPr>
              <w:t>自基金分类起至今</w:t>
            </w:r>
          </w:p>
        </w:tc>
        <w:tc>
          <w:tcPr>
            <w:tcW w:w="1233" w:type="dxa"/>
            <w:vAlign w:val="center"/>
          </w:tcPr>
          <w:p w:rsidR="00A834B1" w:rsidRDefault="00B142EA">
            <w:pPr>
              <w:jc w:val="center"/>
            </w:pPr>
            <w:r>
              <w:rPr>
                <w:sz w:val="24"/>
              </w:rPr>
              <w:t>47.1625%</w:t>
            </w:r>
          </w:p>
        </w:tc>
        <w:tc>
          <w:tcPr>
            <w:tcW w:w="1233" w:type="dxa"/>
            <w:vAlign w:val="center"/>
          </w:tcPr>
          <w:p w:rsidR="00A834B1" w:rsidRDefault="00B142EA">
            <w:pPr>
              <w:jc w:val="center"/>
            </w:pPr>
            <w:r>
              <w:rPr>
                <w:sz w:val="24"/>
              </w:rPr>
              <w:t>0.0050%</w:t>
            </w:r>
          </w:p>
        </w:tc>
        <w:tc>
          <w:tcPr>
            <w:tcW w:w="1233" w:type="dxa"/>
            <w:vAlign w:val="center"/>
          </w:tcPr>
          <w:p w:rsidR="00A834B1" w:rsidRDefault="00B142EA">
            <w:pPr>
              <w:jc w:val="center"/>
            </w:pPr>
            <w:r>
              <w:rPr>
                <w:sz w:val="24"/>
              </w:rPr>
              <w:t>27.1442%</w:t>
            </w:r>
          </w:p>
        </w:tc>
        <w:tc>
          <w:tcPr>
            <w:tcW w:w="1233" w:type="dxa"/>
            <w:vAlign w:val="center"/>
          </w:tcPr>
          <w:p w:rsidR="00A834B1" w:rsidRDefault="00B142EA">
            <w:pPr>
              <w:jc w:val="center"/>
            </w:pPr>
            <w:r>
              <w:rPr>
                <w:sz w:val="24"/>
              </w:rPr>
              <w:t>0.0022%</w:t>
            </w:r>
          </w:p>
        </w:tc>
        <w:tc>
          <w:tcPr>
            <w:tcW w:w="1233" w:type="dxa"/>
            <w:vAlign w:val="center"/>
          </w:tcPr>
          <w:p w:rsidR="00A834B1" w:rsidRDefault="00B142EA">
            <w:pPr>
              <w:jc w:val="center"/>
            </w:pPr>
            <w:r>
              <w:rPr>
                <w:sz w:val="24"/>
              </w:rPr>
              <w:t>20.0183%</w:t>
            </w:r>
          </w:p>
        </w:tc>
        <w:tc>
          <w:tcPr>
            <w:tcW w:w="1233" w:type="dxa"/>
            <w:vAlign w:val="center"/>
          </w:tcPr>
          <w:p w:rsidR="00A834B1" w:rsidRDefault="00B142EA">
            <w:pPr>
              <w:jc w:val="center"/>
            </w:pPr>
            <w:r>
              <w:rPr>
                <w:sz w:val="24"/>
              </w:rPr>
              <w:t>0.0028%</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注：本基金的业绩比较基准为六个月银行定期存款利率（税后）。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交银施罗德货币市场证券投资基金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2006</w:t>
      </w:r>
      <w:r w:rsidR="00223DFB" w:rsidRPr="0061644B">
        <w:rPr>
          <w:sz w:val="24"/>
        </w:rPr>
        <w:t>年</w:t>
      </w:r>
      <w:r w:rsidR="00223DFB" w:rsidRPr="0061644B">
        <w:rPr>
          <w:sz w:val="24"/>
        </w:rPr>
        <w:t>1</w:t>
      </w:r>
      <w:r w:rsidR="00223DFB" w:rsidRPr="0061644B">
        <w:rPr>
          <w:sz w:val="24"/>
        </w:rPr>
        <w:t>月</w:t>
      </w:r>
      <w:r w:rsidR="00223DFB" w:rsidRPr="0061644B">
        <w:rPr>
          <w:sz w:val="24"/>
        </w:rPr>
        <w:t>20</w:t>
      </w:r>
      <w:r w:rsidR="00223DFB" w:rsidRPr="0061644B">
        <w:rPr>
          <w:sz w:val="24"/>
        </w:rPr>
        <w:t>日至</w:t>
      </w:r>
      <w:r w:rsidR="00223DFB" w:rsidRPr="0061644B">
        <w:rPr>
          <w:sz w:val="24"/>
        </w:rPr>
        <w:t>2019</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注：图示日期为</w:t>
      </w:r>
      <w:r w:rsidRPr="0061644B">
        <w:rPr>
          <w:kern w:val="0"/>
          <w:sz w:val="24"/>
        </w:rPr>
        <w:t>2006</w:t>
      </w:r>
      <w:r w:rsidRPr="0061644B">
        <w:rPr>
          <w:kern w:val="0"/>
          <w:sz w:val="24"/>
        </w:rPr>
        <w:t>年</w:t>
      </w:r>
      <w:r w:rsidRPr="0061644B">
        <w:rPr>
          <w:kern w:val="0"/>
          <w:sz w:val="24"/>
        </w:rPr>
        <w:t>1</w:t>
      </w:r>
      <w:r w:rsidRPr="0061644B">
        <w:rPr>
          <w:kern w:val="0"/>
          <w:sz w:val="24"/>
        </w:rPr>
        <w:t>月</w:t>
      </w:r>
      <w:r w:rsidRPr="0061644B">
        <w:rPr>
          <w:kern w:val="0"/>
          <w:sz w:val="24"/>
        </w:rPr>
        <w:t>20</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交银货币</w:t>
      </w:r>
      <w:r w:rsidR="00223DFB" w:rsidRPr="0061644B">
        <w:rPr>
          <w:sz w:val="24"/>
        </w:rPr>
        <w:t>B</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注：图示日期为</w:t>
      </w:r>
      <w:r w:rsidRPr="0061644B">
        <w:rPr>
          <w:kern w:val="0"/>
          <w:sz w:val="24"/>
        </w:rPr>
        <w:t>2007</w:t>
      </w:r>
      <w:r w:rsidRPr="0061644B">
        <w:rPr>
          <w:kern w:val="0"/>
          <w:sz w:val="24"/>
        </w:rPr>
        <w:t>年</w:t>
      </w:r>
      <w:r w:rsidRPr="0061644B">
        <w:rPr>
          <w:kern w:val="0"/>
          <w:sz w:val="24"/>
        </w:rPr>
        <w:t>6</w:t>
      </w:r>
      <w:r w:rsidRPr="0061644B">
        <w:rPr>
          <w:kern w:val="0"/>
          <w:sz w:val="24"/>
        </w:rPr>
        <w:t>月</w:t>
      </w:r>
      <w:r w:rsidRPr="0061644B">
        <w:rPr>
          <w:kern w:val="0"/>
          <w:sz w:val="24"/>
        </w:rPr>
        <w:t>22</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A834B1" w:rsidRDefault="00B142E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截至报告期末，公司管理了包括货币型、债券型、普通混合型和股票型在内的</w:t>
      </w:r>
      <w:r w:rsidRPr="0061644B">
        <w:rPr>
          <w:color w:val="000000"/>
          <w:sz w:val="24"/>
        </w:rPr>
        <w:t>80</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A834B1">
        <w:tc>
          <w:tcPr>
            <w:tcW w:w="1032" w:type="dxa"/>
            <w:vAlign w:val="center"/>
          </w:tcPr>
          <w:p w:rsidR="00A834B1" w:rsidRDefault="00B142EA">
            <w:pPr>
              <w:jc w:val="center"/>
            </w:pPr>
            <w:r>
              <w:rPr>
                <w:sz w:val="24"/>
              </w:rPr>
              <w:t>黄莹洁</w:t>
            </w:r>
          </w:p>
        </w:tc>
        <w:tc>
          <w:tcPr>
            <w:tcW w:w="1019" w:type="dxa"/>
            <w:vAlign w:val="center"/>
          </w:tcPr>
          <w:p w:rsidR="00A834B1" w:rsidRDefault="00B142EA">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523" w:type="dxa"/>
            <w:vAlign w:val="center"/>
          </w:tcPr>
          <w:p w:rsidR="00A834B1" w:rsidRDefault="00B142EA">
            <w:pPr>
              <w:jc w:val="center"/>
            </w:pPr>
            <w:r>
              <w:rPr>
                <w:sz w:val="24"/>
              </w:rPr>
              <w:t>2015-05-27</w:t>
            </w:r>
          </w:p>
        </w:tc>
        <w:tc>
          <w:tcPr>
            <w:tcW w:w="1192" w:type="dxa"/>
            <w:vAlign w:val="center"/>
          </w:tcPr>
          <w:p w:rsidR="00A834B1" w:rsidRDefault="00B142EA">
            <w:pPr>
              <w:jc w:val="center"/>
            </w:pPr>
            <w:r>
              <w:rPr>
                <w:sz w:val="24"/>
              </w:rPr>
              <w:t>-</w:t>
            </w:r>
          </w:p>
        </w:tc>
        <w:tc>
          <w:tcPr>
            <w:tcW w:w="1192" w:type="dxa"/>
            <w:vAlign w:val="center"/>
          </w:tcPr>
          <w:p w:rsidR="00A834B1" w:rsidRDefault="00B142EA">
            <w:pPr>
              <w:jc w:val="center"/>
            </w:pPr>
            <w:r>
              <w:rPr>
                <w:sz w:val="24"/>
              </w:rPr>
              <w:t>11</w:t>
            </w:r>
            <w:r>
              <w:rPr>
                <w:sz w:val="24"/>
              </w:rPr>
              <w:t>年</w:t>
            </w:r>
          </w:p>
        </w:tc>
        <w:tc>
          <w:tcPr>
            <w:tcW w:w="3040" w:type="dxa"/>
            <w:vAlign w:val="center"/>
          </w:tcPr>
          <w:p w:rsidR="00A834B1" w:rsidRDefault="00B142EA">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tc>
      </w:tr>
      <w:tr w:rsidR="00A834B1">
        <w:tc>
          <w:tcPr>
            <w:tcW w:w="1032" w:type="dxa"/>
            <w:vAlign w:val="center"/>
          </w:tcPr>
          <w:p w:rsidR="00A834B1" w:rsidRDefault="00B142EA">
            <w:pPr>
              <w:jc w:val="center"/>
            </w:pPr>
            <w:r>
              <w:rPr>
                <w:sz w:val="24"/>
              </w:rPr>
              <w:t>连端清</w:t>
            </w:r>
          </w:p>
        </w:tc>
        <w:tc>
          <w:tcPr>
            <w:tcW w:w="1019" w:type="dxa"/>
            <w:vAlign w:val="center"/>
          </w:tcPr>
          <w:p w:rsidR="00A834B1" w:rsidRDefault="00B142EA">
            <w:pPr>
              <w:jc w:val="center"/>
            </w:pPr>
            <w:r>
              <w:rPr>
                <w:sz w:val="24"/>
              </w:rPr>
              <w:t>交银货币、交银理财</w:t>
            </w:r>
            <w:r>
              <w:rPr>
                <w:sz w:val="24"/>
              </w:rPr>
              <w:t>60</w:t>
            </w:r>
            <w:r>
              <w:rPr>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523" w:type="dxa"/>
            <w:vAlign w:val="center"/>
          </w:tcPr>
          <w:p w:rsidR="00A834B1" w:rsidRDefault="00B142EA">
            <w:pPr>
              <w:jc w:val="center"/>
            </w:pPr>
            <w:r>
              <w:rPr>
                <w:sz w:val="24"/>
              </w:rPr>
              <w:t>2015-10-16</w:t>
            </w:r>
          </w:p>
        </w:tc>
        <w:tc>
          <w:tcPr>
            <w:tcW w:w="1192" w:type="dxa"/>
            <w:vAlign w:val="center"/>
          </w:tcPr>
          <w:p w:rsidR="00A834B1" w:rsidRDefault="00B142EA">
            <w:pPr>
              <w:jc w:val="center"/>
            </w:pPr>
            <w:r>
              <w:rPr>
                <w:sz w:val="24"/>
              </w:rPr>
              <w:t>-</w:t>
            </w:r>
          </w:p>
        </w:tc>
        <w:tc>
          <w:tcPr>
            <w:tcW w:w="1192" w:type="dxa"/>
            <w:vAlign w:val="center"/>
          </w:tcPr>
          <w:p w:rsidR="00A834B1" w:rsidRDefault="00B142EA">
            <w:pPr>
              <w:jc w:val="center"/>
            </w:pPr>
            <w:r>
              <w:rPr>
                <w:sz w:val="24"/>
              </w:rPr>
              <w:t>6</w:t>
            </w:r>
            <w:r>
              <w:rPr>
                <w:sz w:val="24"/>
              </w:rPr>
              <w:t>年</w:t>
            </w:r>
          </w:p>
        </w:tc>
        <w:tc>
          <w:tcPr>
            <w:tcW w:w="3040" w:type="dxa"/>
            <w:vAlign w:val="center"/>
          </w:tcPr>
          <w:p w:rsidR="00A834B1" w:rsidRDefault="00B142EA">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日担任交银施罗德裕兴纯债债券型证券投资基金的基金经理。</w:t>
            </w:r>
          </w:p>
        </w:tc>
      </w:tr>
      <w:tr w:rsidR="00A834B1">
        <w:tc>
          <w:tcPr>
            <w:tcW w:w="1032" w:type="dxa"/>
            <w:vAlign w:val="center"/>
          </w:tcPr>
          <w:p w:rsidR="00A834B1" w:rsidRDefault="00B142EA">
            <w:pPr>
              <w:jc w:val="center"/>
            </w:pPr>
            <w:r>
              <w:rPr>
                <w:sz w:val="24"/>
              </w:rPr>
              <w:t>季参平</w:t>
            </w:r>
          </w:p>
        </w:tc>
        <w:tc>
          <w:tcPr>
            <w:tcW w:w="1019" w:type="dxa"/>
            <w:vAlign w:val="center"/>
          </w:tcPr>
          <w:p w:rsidR="00A834B1" w:rsidRDefault="00B142EA">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天债券、交银现金宝货币、交银活期通货币、交银天利宝货币、交银裕隆纯债债券、交银天鑫宝货币、交银天益宝货币、交银天运宝货币的基金经理助理</w:t>
            </w:r>
          </w:p>
        </w:tc>
        <w:tc>
          <w:tcPr>
            <w:tcW w:w="1523" w:type="dxa"/>
            <w:vAlign w:val="center"/>
          </w:tcPr>
          <w:p w:rsidR="00A834B1" w:rsidRDefault="00B142EA">
            <w:pPr>
              <w:jc w:val="center"/>
            </w:pPr>
            <w:r>
              <w:rPr>
                <w:sz w:val="24"/>
              </w:rPr>
              <w:t>2017-09-19</w:t>
            </w:r>
          </w:p>
        </w:tc>
        <w:tc>
          <w:tcPr>
            <w:tcW w:w="1192" w:type="dxa"/>
            <w:vAlign w:val="center"/>
          </w:tcPr>
          <w:p w:rsidR="00A834B1" w:rsidRDefault="00B142EA">
            <w:pPr>
              <w:jc w:val="center"/>
            </w:pPr>
            <w:r>
              <w:rPr>
                <w:sz w:val="24"/>
              </w:rPr>
              <w:t>-</w:t>
            </w:r>
          </w:p>
        </w:tc>
        <w:tc>
          <w:tcPr>
            <w:tcW w:w="1192" w:type="dxa"/>
            <w:vAlign w:val="center"/>
          </w:tcPr>
          <w:p w:rsidR="00A834B1" w:rsidRDefault="00B142EA">
            <w:pPr>
              <w:jc w:val="center"/>
            </w:pPr>
            <w:r>
              <w:rPr>
                <w:sz w:val="24"/>
              </w:rPr>
              <w:t>7</w:t>
            </w:r>
            <w:r>
              <w:rPr>
                <w:sz w:val="24"/>
              </w:rPr>
              <w:t>年</w:t>
            </w:r>
          </w:p>
        </w:tc>
        <w:tc>
          <w:tcPr>
            <w:tcW w:w="3040" w:type="dxa"/>
            <w:vAlign w:val="center"/>
          </w:tcPr>
          <w:p w:rsidR="00A834B1" w:rsidRDefault="00B142EA">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日担任交银施罗德瑞鑫定期开放灵活配置混合型证券投资基金的基金经理助理。</w:t>
            </w:r>
          </w:p>
        </w:tc>
      </w:tr>
    </w:tbl>
    <w:p w:rsidR="00A834B1" w:rsidRDefault="00B142E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、本表所列基金经理（助理）任职日期和离职日期均以基金合同生效日或公司做出决定并公告</w:t>
      </w:r>
      <w:r>
        <w:rPr>
          <w:kern w:val="0"/>
          <w:sz w:val="24"/>
        </w:rPr>
        <w:t>(</w:t>
      </w:r>
      <w:r>
        <w:rPr>
          <w:kern w:val="0"/>
          <w:sz w:val="24"/>
        </w:rPr>
        <w:t>如适用</w:t>
      </w:r>
      <w:r>
        <w:rPr>
          <w:kern w:val="0"/>
          <w:sz w:val="24"/>
        </w:rPr>
        <w:t>)</w:t>
      </w:r>
      <w:r>
        <w:rPr>
          <w:kern w:val="0"/>
          <w:sz w:val="24"/>
        </w:rPr>
        <w:t>之日为准。</w:t>
      </w:r>
    </w:p>
    <w:p w:rsidR="00A834B1" w:rsidRDefault="00B142E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A834B1" w:rsidRDefault="00B142E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834B1" w:rsidRDefault="00B142E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834B1" w:rsidRDefault="00B142E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本基金于本报告期内未发现异常交易行为。本报告期内，本公司管理的所有投资组合参与的交易所公开竞价同日反向交易成交较少的单边交易量超过该证券当日总成交量</w:t>
      </w:r>
      <w:r w:rsidRPr="0061644B">
        <w:rPr>
          <w:color w:val="000000"/>
          <w:sz w:val="24"/>
        </w:rPr>
        <w:t>5%</w:t>
      </w:r>
      <w:r w:rsidRPr="0061644B">
        <w:rPr>
          <w:color w:val="000000"/>
          <w:sz w:val="24"/>
        </w:rPr>
        <w:t>的情况有</w:t>
      </w:r>
      <w:r w:rsidRPr="0061644B">
        <w:rPr>
          <w:color w:val="000000"/>
          <w:sz w:val="24"/>
        </w:rPr>
        <w:t>1</w:t>
      </w:r>
      <w:r w:rsidRPr="0061644B">
        <w:rPr>
          <w:color w:val="000000"/>
          <w:sz w:val="24"/>
        </w:rPr>
        <w:t>次，是投资组合因投资策略需要而发生同日反向交易，未发现不公平交易和利益输送的情况。本基金与本公司管理的其他投资组合在不同时间窗下（如日内、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日内）同向交易的交易价差未发现异常。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A834B1" w:rsidRDefault="00B142EA">
      <w:pPr>
        <w:spacing w:before="29" w:line="288" w:lineRule="auto"/>
        <w:ind w:firstLineChars="200" w:firstLine="480"/>
        <w:rPr>
          <w:color w:val="000000"/>
          <w:sz w:val="24"/>
        </w:rPr>
      </w:pPr>
      <w:r>
        <w:rPr>
          <w:color w:val="000000"/>
          <w:sz w:val="24"/>
        </w:rPr>
        <w:t>本报告期内，国内产业经济数据下行和金融信贷数据企稳并存，中美贸易争端升级和进出口数据好于预期，金融市场在这些曲折矛盾中寻找均衡和增长。随着猪肉和蔬菜水果类价格的上涨，居民部门通胀水平从春节期间的</w:t>
      </w:r>
      <w:r>
        <w:rPr>
          <w:color w:val="000000"/>
          <w:sz w:val="24"/>
        </w:rPr>
        <w:t>1.50%</w:t>
      </w:r>
      <w:r>
        <w:rPr>
          <w:color w:val="000000"/>
          <w:sz w:val="24"/>
        </w:rPr>
        <w:t>攀升至五月的</w:t>
      </w:r>
      <w:r>
        <w:rPr>
          <w:color w:val="000000"/>
          <w:sz w:val="24"/>
        </w:rPr>
        <w:t>2.70%</w:t>
      </w:r>
      <w:r>
        <w:rPr>
          <w:color w:val="000000"/>
          <w:sz w:val="24"/>
        </w:rPr>
        <w:t>，通胀对货币政策和资产价格的影响值得关注。海外方面，中美贸易争端再起波澜、美伊关系紧张程度加剧，都为全球经济增长带来负面影响，也进一步打开了海外央行货币政策继续宽松的空间。美联储年内降息预期升至三次，海外债券收益率水平大幅下行：十年美债从</w:t>
      </w:r>
      <w:r>
        <w:rPr>
          <w:color w:val="000000"/>
          <w:sz w:val="24"/>
        </w:rPr>
        <w:t>2.66%</w:t>
      </w:r>
      <w:r>
        <w:rPr>
          <w:color w:val="000000"/>
          <w:sz w:val="24"/>
        </w:rPr>
        <w:t>的位置下行约</w:t>
      </w:r>
      <w:r>
        <w:rPr>
          <w:color w:val="000000"/>
          <w:sz w:val="24"/>
        </w:rPr>
        <w:t>63bps</w:t>
      </w:r>
      <w:r>
        <w:rPr>
          <w:color w:val="000000"/>
          <w:sz w:val="24"/>
        </w:rPr>
        <w:t>到</w:t>
      </w:r>
      <w:r>
        <w:rPr>
          <w:color w:val="000000"/>
          <w:sz w:val="24"/>
        </w:rPr>
        <w:t>2.03%</w:t>
      </w:r>
      <w:r>
        <w:rPr>
          <w:color w:val="000000"/>
          <w:sz w:val="24"/>
        </w:rPr>
        <w:t>附近。走弱的美元指数和美债收益率，降低了人民币贬值的压力，也为国内货币政策的操作打开了空间。央行货币政策方面，上半年经历了从一季度的相对偏宽松来对冲经济下行压力，到二季度的重提金融供给侧改革，央行对货币政策的态度出现了边际调整。整体来看，银行间隔夜利率</w:t>
      </w:r>
      <w:r>
        <w:rPr>
          <w:color w:val="000000"/>
          <w:sz w:val="24"/>
        </w:rPr>
        <w:t>30</w:t>
      </w:r>
      <w:r>
        <w:rPr>
          <w:color w:val="000000"/>
          <w:sz w:val="24"/>
        </w:rPr>
        <w:t>天移动平均数从年初的</w:t>
      </w:r>
      <w:r>
        <w:rPr>
          <w:color w:val="000000"/>
          <w:sz w:val="24"/>
        </w:rPr>
        <w:t>2.38%</w:t>
      </w:r>
      <w:r>
        <w:rPr>
          <w:color w:val="000000"/>
          <w:sz w:val="24"/>
        </w:rPr>
        <w:t>的高位走低至</w:t>
      </w:r>
      <w:r>
        <w:rPr>
          <w:color w:val="000000"/>
          <w:sz w:val="24"/>
        </w:rPr>
        <w:t>1.86%</w:t>
      </w:r>
      <w:r>
        <w:rPr>
          <w:color w:val="000000"/>
          <w:sz w:val="24"/>
        </w:rPr>
        <w:t>，下行幅度在</w:t>
      </w:r>
      <w:r>
        <w:rPr>
          <w:color w:val="000000"/>
          <w:sz w:val="24"/>
        </w:rPr>
        <w:t>52bps</w:t>
      </w:r>
      <w:r>
        <w:rPr>
          <w:color w:val="000000"/>
          <w:sz w:val="24"/>
        </w:rPr>
        <w:t>，七天和隔夜的利差也逐步走扩，显示出上半年整体的流动性宽裕态势。银行存单和存款市场收益率整体出现了比较大的回落。</w:t>
      </w:r>
      <w:r>
        <w:rPr>
          <w:color w:val="000000"/>
          <w:sz w:val="24"/>
        </w:rPr>
        <w:t>2019</w:t>
      </w:r>
      <w:r>
        <w:rPr>
          <w:color w:val="000000"/>
          <w:sz w:val="24"/>
        </w:rPr>
        <w:t>年上半年，三个月上海银行间拆借利率下行</w:t>
      </w:r>
      <w:r>
        <w:rPr>
          <w:color w:val="000000"/>
          <w:sz w:val="24"/>
        </w:rPr>
        <w:t>64bps</w:t>
      </w:r>
      <w:r>
        <w:rPr>
          <w:color w:val="000000"/>
          <w:sz w:val="24"/>
        </w:rPr>
        <w:t>到</w:t>
      </w:r>
      <w:r>
        <w:rPr>
          <w:color w:val="000000"/>
          <w:sz w:val="24"/>
        </w:rPr>
        <w:t>2.71%</w:t>
      </w:r>
      <w:r>
        <w:rPr>
          <w:color w:val="000000"/>
          <w:sz w:val="24"/>
        </w:rPr>
        <w:t>。</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我们仍旧维持低杠杆、短久期的操作思路，多投资于估值波动较小的银行存款与回购等，组合整体流动性良好。六月末我们视组合流动性和市场情况，增配了高评级的同业存单以及同业存款等，维持组合收益水平。</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“3.1</w:t>
      </w:r>
      <w:r w:rsidRPr="0061644B">
        <w:rPr>
          <w:color w:val="000000"/>
          <w:sz w:val="24"/>
        </w:rPr>
        <w:t>主要会计数据和财务指标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A834B1" w:rsidRDefault="00B142EA">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下半年，我们将密切关注流动性宽松和信用风险收紧后债券和货币市场走势，警惕因中美贸易争端变化和通胀压力持续带来的货币政策边际变化，同时我们将继续观察银行理财子公司的发展以及类货币型理财产品对行业生态的影响。我们认为，海外美联储的宽松预期有回调风险，市场对于中美贸易争端的判断或将出现反复，货币政策预计会延续稳健宽松的状态，而财政政策或将更加积极。</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将根据不同资产收益率的动态变化，适时调整组合结构，根据期限利差动态调整组合杠杆率，通过对市场利率的前瞻性判断进行合理有效的久期管理，同时严格控制信用风险、流动性风险和利率风险，努力为持有人创造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A834B1" w:rsidRDefault="00B142E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834B1" w:rsidRDefault="00B142E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遵照法律法规及基金合同的约定，本基金每日分配收益，按月结转份额。本基金本报告期内利润分配情况参见</w:t>
      </w:r>
      <w:bookmarkStart w:id="7" w:name="_GoBack"/>
      <w:r w:rsidR="00645D0B" w:rsidRPr="00645D0B">
        <w:rPr>
          <w:rFonts w:hint="eastAsia"/>
          <w:color w:val="000000"/>
          <w:sz w:val="24"/>
        </w:rPr>
        <w:t>半年度报告正文</w:t>
      </w:r>
      <w:r w:rsidRPr="0061644B">
        <w:rPr>
          <w:color w:val="000000"/>
          <w:sz w:val="24"/>
        </w:rPr>
        <w:t>6.4.7.10</w:t>
      </w:r>
      <w:r w:rsidRPr="0061644B">
        <w:rPr>
          <w:color w:val="000000"/>
          <w:sz w:val="24"/>
        </w:rPr>
        <w:t>。</w:t>
      </w:r>
    </w:p>
    <w:bookmarkEnd w:id="7"/>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在托管本基金的过程中，本基金托管人中国农业银行股份有限公司严格遵守《证券投资基金法》相关法律法规的规定以及基金合同、托管协议的约定，对本基金基金管理人</w:t>
      </w:r>
      <w:r w:rsidRPr="0061644B">
        <w:rPr>
          <w:color w:val="000000"/>
          <w:sz w:val="24"/>
        </w:rPr>
        <w:t>—</w:t>
      </w:r>
      <w:r w:rsidRPr="0061644B">
        <w:rPr>
          <w:color w:val="000000"/>
          <w:sz w:val="24"/>
        </w:rPr>
        <w:t>交银施罗德基金管理有限公司</w:t>
      </w:r>
      <w:r w:rsidRPr="0061644B">
        <w:rPr>
          <w:color w:val="000000"/>
          <w:sz w:val="24"/>
        </w:rPr>
        <w:t xml:space="preserve">2019 </w:t>
      </w:r>
      <w:r w:rsidRPr="0061644B">
        <w:rPr>
          <w:color w:val="000000"/>
          <w:sz w:val="24"/>
        </w:rPr>
        <w:t>年</w:t>
      </w:r>
      <w:r w:rsidRPr="0061644B">
        <w:rPr>
          <w:color w:val="000000"/>
          <w:sz w:val="24"/>
        </w:rPr>
        <w:t>1</w:t>
      </w:r>
      <w:r w:rsidRPr="0061644B">
        <w:rPr>
          <w:color w:val="000000"/>
          <w:sz w:val="24"/>
        </w:rPr>
        <w:t>月</w:t>
      </w:r>
      <w:r w:rsidRPr="0061644B">
        <w:rPr>
          <w:color w:val="000000"/>
          <w:sz w:val="24"/>
        </w:rPr>
        <w:t>1</w:t>
      </w:r>
      <w:r w:rsidRPr="0061644B">
        <w:rPr>
          <w:color w:val="000000"/>
          <w:sz w:val="24"/>
        </w:rPr>
        <w:t>日至</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日基金的投资运作，进行了认真、独立的会计核算和必要的投资监督，认真履行了托管人的义务，没有从事任何损害基金份额持有人利益的行为。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本托管人认为</w:t>
      </w:r>
      <w:r w:rsidRPr="0061644B">
        <w:rPr>
          <w:color w:val="000000"/>
          <w:sz w:val="24"/>
        </w:rPr>
        <w:t xml:space="preserve">, </w:t>
      </w:r>
      <w:r w:rsidRPr="0061644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9064D7" w:rsidRPr="0061644B" w:rsidRDefault="009064D7" w:rsidP="00792A69">
      <w:pPr>
        <w:spacing w:before="29" w:line="288" w:lineRule="auto"/>
        <w:ind w:firstLineChars="200" w:firstLine="480"/>
        <w:rPr>
          <w:color w:val="000000"/>
          <w:sz w:val="24"/>
        </w:rPr>
      </w:pPr>
    </w:p>
    <w:p w:rsidR="00223DFB" w:rsidRPr="0061644B" w:rsidRDefault="005A4B4C" w:rsidP="00CC3C2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8" w:name="_Toc225498268"/>
      <w:bookmarkStart w:id="9"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8"/>
      <w:bookmarkEnd w:id="9"/>
    </w:p>
    <w:p w:rsidR="00633CCE" w:rsidRPr="0061644B" w:rsidRDefault="00633CCE" w:rsidP="00792A69">
      <w:pPr>
        <w:spacing w:before="29" w:line="288" w:lineRule="auto"/>
        <w:rPr>
          <w:color w:val="000000"/>
          <w:sz w:val="24"/>
        </w:rPr>
      </w:pPr>
      <w:r w:rsidRPr="0061644B">
        <w:rPr>
          <w:color w:val="000000"/>
          <w:sz w:val="24"/>
        </w:rPr>
        <w:t>会计主体：交银施罗德货币市场证券投资基金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108,048,671.62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353,896,457.51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4,670.79</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218,196,308.69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429,050,640.58</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218,196,308.69</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429,050,640.58</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6"/>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92,000,258.00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518,987,418.49</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1,004,541.97</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2,664,708.03</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432,281.35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1,005,120.63</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419,682,111.63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1,305,609,016.03</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2019</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p>
        </w:tc>
        <w:tc>
          <w:tcPr>
            <w:tcW w:w="2479" w:type="dxa"/>
            <w:vAlign w:val="center"/>
          </w:tcPr>
          <w:p w:rsidR="00633CCE" w:rsidRPr="0061644B" w:rsidRDefault="00633CCE" w:rsidP="00792A69">
            <w:pPr>
              <w:spacing w:before="29" w:line="288" w:lineRule="auto"/>
              <w:jc w:val="right"/>
              <w:rPr>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9,077,875.46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7,685,781.04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158,799.53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138,705.68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394,896.74</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42,032.00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119,665.66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60,599.61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85,590.77</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16,066.64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34,391.19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267,763.00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303,744.75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1,616.81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565,325.09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2,461,221.79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110,467.01</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181,033.01</w:t>
            </w:r>
          </w:p>
        </w:tc>
      </w:tr>
      <w:tr w:rsidR="00633CCE" w:rsidRPr="0061644B" w:rsidTr="000D6D89">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17,966,232.34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3,739,343.44</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p>
        </w:tc>
        <w:tc>
          <w:tcPr>
            <w:tcW w:w="2479" w:type="dxa"/>
            <w:vAlign w:val="center"/>
          </w:tcPr>
          <w:p w:rsidR="00633CCE" w:rsidRPr="0061644B" w:rsidRDefault="00633CCE" w:rsidP="00792A69">
            <w:pPr>
              <w:spacing w:before="29" w:line="288" w:lineRule="auto"/>
              <w:jc w:val="right"/>
              <w:rPr>
                <w:b/>
                <w:color w:val="000000"/>
                <w:sz w:val="24"/>
              </w:rPr>
            </w:pP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401,715,879.29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1,301,869,672.59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401,715,879.29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1,301,869,672.59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419,682,111.63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1,305,609,016.03</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401,715,879.29</w:t>
      </w:r>
      <w:r w:rsidRPr="0061644B">
        <w:rPr>
          <w:kern w:val="0"/>
          <w:sz w:val="24"/>
        </w:rPr>
        <w:t>份，其中</w:t>
      </w:r>
      <w:r w:rsidRPr="0061644B">
        <w:rPr>
          <w:kern w:val="0"/>
          <w:sz w:val="24"/>
        </w:rPr>
        <w:t>A</w:t>
      </w:r>
      <w:r w:rsidRPr="0061644B">
        <w:rPr>
          <w:kern w:val="0"/>
          <w:sz w:val="24"/>
        </w:rPr>
        <w:t>类基金份额</w:t>
      </w:r>
      <w:r w:rsidRPr="0061644B">
        <w:rPr>
          <w:kern w:val="0"/>
          <w:sz w:val="24"/>
        </w:rPr>
        <w:t>277,604,938.08</w:t>
      </w:r>
      <w:r w:rsidRPr="0061644B">
        <w:rPr>
          <w:kern w:val="0"/>
          <w:sz w:val="24"/>
        </w:rPr>
        <w:t>份，</w:t>
      </w:r>
      <w:r w:rsidRPr="0061644B">
        <w:rPr>
          <w:kern w:val="0"/>
          <w:sz w:val="24"/>
        </w:rPr>
        <w:t>B</w:t>
      </w:r>
      <w:r w:rsidRPr="0061644B">
        <w:rPr>
          <w:kern w:val="0"/>
          <w:sz w:val="24"/>
        </w:rPr>
        <w:t>类基金份额</w:t>
      </w:r>
      <w:r w:rsidRPr="0061644B">
        <w:rPr>
          <w:kern w:val="0"/>
          <w:sz w:val="24"/>
        </w:rPr>
        <w:t>124,110,941.21</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10" w:name="_Toc225498269"/>
      <w:bookmarkStart w:id="11"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10"/>
      <w:bookmarkEnd w:id="11"/>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交银施罗德货币市场证券投资基金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2019</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2018</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12,796,545.84</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203,989,630.88</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12,792,732.76</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201,789,393.49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5,189,828.65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80,511,640.65</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4,724,693.69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84,299,440.35</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998,088.38</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买入返售金融资产收入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2,878,210.42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35,980,224.11</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3,813.08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2,200,237.39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3,813.08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2,200,237.39</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6"/>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6"/>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2,836,799.20</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23,952,142.06</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1,414,035.91</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15,991,745.75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428,495.78</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4,845,983.41</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410,405.00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1,087,268.68</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430,679.25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1,641,107.57</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6"/>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430,679.25</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1,641,107.57</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9,598.01</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116,690.56</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6"/>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143,585.25</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269,346.09</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9,959,746.64</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180,037,488.82</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6"/>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9,959,746.64</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180,037,488.82</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交银施罗德货币市场证券投资基金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2019</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2019</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2019</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2019</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1,301,869,672.59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1,301,869,672.59</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9,959,746.64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9,959,746.64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-900,153,793.30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-900,153,793.30</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1,964,196,281.34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1,964,196,281.34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-2,864,350,074.64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-2,864,350,074.64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-9,959,746.64</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-9,959,746.64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401,715,879.29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401,715,879.29</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9,860,806,341.05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9,860,806,341.05</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180,037,488.82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180,037,488.82</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-6,545,036,936.26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-6,545,036,936.26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38,069,939,596.80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38,069,939,596.80</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-44,614,976,533.06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-44,614,976,533.06</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-180,037,488.82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-180,037,488.82</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3,315,769,404.79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3,315,769,404.79</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负责人：谢卫，主管会计工作负责人：夏华龙，会计机构负责人：单江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2" w:name="_Toc331410100"/>
      <w:bookmarkStart w:id="13"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2"/>
      <w:bookmarkEnd w:id="13"/>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A834B1" w:rsidRDefault="00B142EA">
      <w:pPr>
        <w:spacing w:before="29" w:line="288" w:lineRule="auto"/>
        <w:ind w:firstLineChars="200" w:firstLine="480"/>
        <w:rPr>
          <w:color w:val="000000"/>
          <w:sz w:val="24"/>
        </w:rPr>
      </w:pPr>
      <w:r>
        <w:rPr>
          <w:color w:val="000000"/>
          <w:sz w:val="24"/>
        </w:rPr>
        <w:t>交银施罗德货币市场证券投资基金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系由基金管理人交银施罗德基金管理有限公司依照《中华人民共和国证券投资基金法》、《交银施罗德货币市场证券投资基金基金合同》及其他有关法律法规的规定，经中国证券监督管理委员会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以证监基金字</w:t>
      </w:r>
      <w:r>
        <w:rPr>
          <w:color w:val="000000"/>
          <w:sz w:val="24"/>
        </w:rPr>
        <w:t>[2005]204</w:t>
      </w:r>
      <w:r>
        <w:rPr>
          <w:color w:val="000000"/>
          <w:sz w:val="24"/>
        </w:rPr>
        <w:t>号文批准公开募集。本基金为契约型开放式基金，存续期限不定，首次设立募集基金份额为</w:t>
      </w:r>
      <w:r>
        <w:rPr>
          <w:color w:val="000000"/>
          <w:sz w:val="24"/>
        </w:rPr>
        <w:t>4,741,255,133.16</w:t>
      </w:r>
      <w:r>
        <w:rPr>
          <w:color w:val="000000"/>
          <w:sz w:val="24"/>
        </w:rPr>
        <w:t>份，经德勤华永会计师事务所有限公司验证，并出具了编号为德师报</w:t>
      </w:r>
      <w:r>
        <w:rPr>
          <w:color w:val="000000"/>
          <w:sz w:val="24"/>
        </w:rPr>
        <w:t>(</w:t>
      </w:r>
      <w:r>
        <w:rPr>
          <w:color w:val="000000"/>
          <w:sz w:val="24"/>
        </w:rPr>
        <w:t>验</w:t>
      </w:r>
      <w:r>
        <w:rPr>
          <w:color w:val="000000"/>
          <w:sz w:val="24"/>
        </w:rPr>
        <w:t>)</w:t>
      </w:r>
      <w:r>
        <w:rPr>
          <w:color w:val="000000"/>
          <w:sz w:val="24"/>
        </w:rPr>
        <w:t>字</w:t>
      </w:r>
      <w:r>
        <w:rPr>
          <w:color w:val="000000"/>
          <w:sz w:val="24"/>
        </w:rPr>
        <w:t>(06)</w:t>
      </w:r>
      <w:r>
        <w:rPr>
          <w:color w:val="000000"/>
          <w:sz w:val="24"/>
        </w:rPr>
        <w:t>第</w:t>
      </w:r>
      <w:r>
        <w:rPr>
          <w:color w:val="000000"/>
          <w:sz w:val="24"/>
        </w:rPr>
        <w:t>0003</w:t>
      </w:r>
      <w:r>
        <w:rPr>
          <w:color w:val="000000"/>
          <w:sz w:val="24"/>
        </w:rPr>
        <w:t>号验资报告。《交银施罗德货币市场证券投资基金基金合同》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2006</w:t>
      </w:r>
      <w:r>
        <w:rPr>
          <w:color w:val="000000"/>
          <w:sz w:val="24"/>
        </w:rPr>
        <w:t>年</w:t>
      </w:r>
      <w:r>
        <w:rPr>
          <w:color w:val="000000"/>
          <w:sz w:val="24"/>
        </w:rPr>
        <w:t>1</w:t>
      </w:r>
      <w:r>
        <w:rPr>
          <w:color w:val="000000"/>
          <w:sz w:val="24"/>
        </w:rPr>
        <w:t>月</w:t>
      </w:r>
      <w:r>
        <w:rPr>
          <w:color w:val="000000"/>
          <w:sz w:val="24"/>
        </w:rPr>
        <w:t>20</w:t>
      </w:r>
      <w:r>
        <w:rPr>
          <w:color w:val="000000"/>
          <w:sz w:val="24"/>
        </w:rPr>
        <w:t>日正式生效。本基金因自</w:t>
      </w:r>
      <w:r>
        <w:rPr>
          <w:color w:val="000000"/>
          <w:sz w:val="24"/>
        </w:rPr>
        <w:t>2007</w:t>
      </w:r>
      <w:r>
        <w:rPr>
          <w:color w:val="000000"/>
          <w:sz w:val="24"/>
        </w:rPr>
        <w:t>年</w:t>
      </w:r>
      <w:r>
        <w:rPr>
          <w:color w:val="000000"/>
          <w:sz w:val="24"/>
        </w:rPr>
        <w:t>7</w:t>
      </w:r>
      <w:r>
        <w:rPr>
          <w:color w:val="000000"/>
          <w:sz w:val="24"/>
        </w:rPr>
        <w:t>月</w:t>
      </w:r>
      <w:r>
        <w:rPr>
          <w:color w:val="000000"/>
          <w:sz w:val="24"/>
        </w:rPr>
        <w:t>1</w:t>
      </w:r>
      <w:r>
        <w:rPr>
          <w:color w:val="000000"/>
          <w:sz w:val="24"/>
        </w:rPr>
        <w:t>日起执行财政部于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日颁布的企业会计准则及相关规定</w:t>
      </w:r>
      <w:r>
        <w:rPr>
          <w:color w:val="000000"/>
          <w:sz w:val="24"/>
        </w:rPr>
        <w:t>(</w:t>
      </w:r>
      <w:r>
        <w:rPr>
          <w:color w:val="000000"/>
          <w:sz w:val="24"/>
        </w:rPr>
        <w:t>以下简称</w:t>
      </w:r>
      <w:r>
        <w:rPr>
          <w:color w:val="000000"/>
          <w:sz w:val="24"/>
        </w:rPr>
        <w:t>“</w:t>
      </w:r>
      <w:r>
        <w:rPr>
          <w:color w:val="000000"/>
          <w:sz w:val="24"/>
        </w:rPr>
        <w:t>企业会计准则</w:t>
      </w:r>
      <w:r>
        <w:rPr>
          <w:color w:val="000000"/>
          <w:sz w:val="24"/>
        </w:rPr>
        <w:t>”)</w:t>
      </w:r>
      <w:r>
        <w:rPr>
          <w:color w:val="000000"/>
          <w:sz w:val="24"/>
        </w:rPr>
        <w:t>，于</w:t>
      </w:r>
      <w:r>
        <w:rPr>
          <w:color w:val="000000"/>
          <w:sz w:val="24"/>
        </w:rPr>
        <w:t>2007</w:t>
      </w:r>
      <w:r>
        <w:rPr>
          <w:color w:val="000000"/>
          <w:sz w:val="24"/>
        </w:rPr>
        <w:t>年</w:t>
      </w:r>
      <w:r>
        <w:rPr>
          <w:color w:val="000000"/>
          <w:sz w:val="24"/>
        </w:rPr>
        <w:t>9</w:t>
      </w:r>
      <w:r>
        <w:rPr>
          <w:color w:val="000000"/>
          <w:sz w:val="24"/>
        </w:rPr>
        <w:t>月</w:t>
      </w:r>
      <w:r>
        <w:rPr>
          <w:color w:val="000000"/>
          <w:sz w:val="24"/>
        </w:rPr>
        <w:t>29</w:t>
      </w:r>
      <w:r>
        <w:rPr>
          <w:color w:val="000000"/>
          <w:sz w:val="24"/>
        </w:rPr>
        <w:t>日公告了修改后的基金合同</w:t>
      </w:r>
      <w:r>
        <w:rPr>
          <w:color w:val="000000"/>
          <w:sz w:val="24"/>
        </w:rPr>
        <w:t>(</w:t>
      </w:r>
      <w:r>
        <w:rPr>
          <w:color w:val="000000"/>
          <w:sz w:val="24"/>
        </w:rPr>
        <w:t>以下简称</w:t>
      </w:r>
      <w:r>
        <w:rPr>
          <w:color w:val="000000"/>
          <w:sz w:val="24"/>
        </w:rPr>
        <w:t>“</w:t>
      </w:r>
      <w:r>
        <w:rPr>
          <w:color w:val="000000"/>
          <w:sz w:val="24"/>
        </w:rPr>
        <w:t>修改后的基金合同</w:t>
      </w:r>
      <w:r>
        <w:rPr>
          <w:color w:val="000000"/>
          <w:sz w:val="24"/>
        </w:rPr>
        <w:t>”)</w:t>
      </w:r>
      <w:r>
        <w:rPr>
          <w:color w:val="000000"/>
          <w:sz w:val="24"/>
        </w:rPr>
        <w:t>。本基金的管理人为交银施罗德基金管理有限公司，托管人为中国农业银行股份有限公司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根据《中华人民共和国证券投资基金法》、修改后的基金合同和定期更新的本基金招募说明书的有关规定，本基金的投资范围为现金、通知存款、一年以内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的银行定期存款或大额存单、剩余期限在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的中央银行票据、期限在一年以内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的债券回购、剩余期限在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的资产支持证券以及中国证监会、中国人民银行认可的其他具有良好流动性的货币市场工具。本基金的业绩比较基准采用：六个月银行定期存款利率</w:t>
      </w:r>
      <w:r w:rsidRPr="0061644B">
        <w:rPr>
          <w:color w:val="000000"/>
          <w:sz w:val="24"/>
        </w:rPr>
        <w:t>(</w:t>
      </w:r>
      <w:r w:rsidRPr="0061644B">
        <w:rPr>
          <w:color w:val="000000"/>
          <w:sz w:val="24"/>
        </w:rPr>
        <w:t>税后</w:t>
      </w:r>
      <w:r w:rsidRPr="0061644B">
        <w:rPr>
          <w:color w:val="000000"/>
          <w:sz w:val="24"/>
        </w:rPr>
        <w:t>)</w:t>
      </w:r>
      <w:r w:rsidRPr="0061644B">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本基金的财务报表按照财政部颁布的企业会计准则以及相关规定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》、中国证券投资基金业协会颁布的《证券投资基金会计核算业务指引》和在财务报表附注</w:t>
      </w:r>
      <w:r w:rsidRPr="0061644B">
        <w:rPr>
          <w:color w:val="000000"/>
          <w:sz w:val="24"/>
        </w:rPr>
        <w:t>6.4.4</w:t>
      </w:r>
      <w:r w:rsidRPr="0061644B">
        <w:rPr>
          <w:color w:val="000000"/>
          <w:sz w:val="24"/>
        </w:rPr>
        <w:t>所列示的中国证监会发布的基金行业实务操作编制。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2019</w:t>
      </w:r>
      <w:r w:rsidRPr="0061644B">
        <w:rPr>
          <w:color w:val="000000"/>
          <w:sz w:val="24"/>
        </w:rPr>
        <w:t>上半年度财务报表符合企业会计准则的要求，真实、完整地反映了本基金</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2019</w:t>
      </w:r>
      <w:r w:rsidRPr="0061644B">
        <w:rPr>
          <w:color w:val="000000"/>
          <w:sz w:val="24"/>
        </w:rPr>
        <w:t>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本基金在本报告期间无须说明的会计差错更正。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A834B1" w:rsidRDefault="00B142E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号《财政部、国家税务总局关于企业所得税若干优惠政策的通知》、财税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[2016]140</w:t>
      </w:r>
      <w:r>
        <w:rPr>
          <w:color w:val="000000"/>
          <w:sz w:val="24"/>
        </w:rPr>
        <w:t>号《关于明确金融房地产开发教育辅助服务等增值税政策的通知》、财税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号《关于租入固定资产进项税额抵扣等增值税政策的通知》及其他相关税务法规和实务操作，主要税项列示如下：</w:t>
      </w:r>
    </w:p>
    <w:p w:rsidR="00A834B1" w:rsidRDefault="00B142EA">
      <w:pPr>
        <w:spacing w:before="29" w:line="288" w:lineRule="auto"/>
        <w:ind w:firstLineChars="200" w:firstLine="480"/>
        <w:rPr>
          <w:color w:val="000000"/>
          <w:sz w:val="24"/>
        </w:rPr>
      </w:pPr>
      <w:r>
        <w:rPr>
          <w:color w:val="000000"/>
          <w:sz w:val="24"/>
        </w:rPr>
        <w:t>1)</w:t>
      </w:r>
      <w:r>
        <w:rPr>
          <w:color w:val="000000"/>
          <w:sz w:val="24"/>
        </w:rPr>
        <w:t>证券投资基金</w:t>
      </w:r>
      <w:r>
        <w:rPr>
          <w:color w:val="000000"/>
          <w:sz w:val="24"/>
        </w:rPr>
        <w:t>(</w:t>
      </w:r>
      <w:r>
        <w:rPr>
          <w:color w:val="000000"/>
          <w:sz w:val="24"/>
        </w:rPr>
        <w:t>封闭式证券投资基金，开放式证券投资基金</w:t>
      </w:r>
      <w:r>
        <w:rPr>
          <w:color w:val="000000"/>
          <w:sz w:val="24"/>
        </w:rPr>
        <w:t>)</w:t>
      </w:r>
      <w:r>
        <w:rPr>
          <w:color w:val="000000"/>
          <w:sz w:val="24"/>
        </w:rPr>
        <w:t>管理人运用基金买卖债券免征增值税；</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日起，公开募集证券投资基金运营过程中发生的其他增值税应税行为，以基金管理人为增值税纳税人，暂适用简易计税方法，按照</w:t>
      </w:r>
      <w:r>
        <w:rPr>
          <w:color w:val="000000"/>
          <w:sz w:val="24"/>
        </w:rPr>
        <w:t>3%</w:t>
      </w:r>
      <w:r>
        <w:rPr>
          <w:color w:val="000000"/>
          <w:sz w:val="24"/>
        </w:rPr>
        <w:t>的征收率缴纳增值税。</w:t>
      </w:r>
    </w:p>
    <w:p w:rsidR="00A834B1" w:rsidRDefault="00B142E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对基金从证券市场中取得的收入，包括买卖债券的差价收入，债券的利息收入及其他收入，暂不缴纳企业所得税。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3)</w:t>
      </w:r>
      <w:r w:rsidRPr="0061644B">
        <w:rPr>
          <w:color w:val="000000"/>
          <w:sz w:val="24"/>
        </w:rPr>
        <w:t>对于内地投资者持有的基金类别，对基金取得的企业债券利息收入，应由发行债券的企业在向基金支付利息时代扣代缴</w:t>
      </w:r>
      <w:r w:rsidRPr="0061644B">
        <w:rPr>
          <w:color w:val="000000"/>
          <w:sz w:val="24"/>
        </w:rPr>
        <w:t>20%</w:t>
      </w:r>
      <w:r w:rsidRPr="0061644B">
        <w:rPr>
          <w:color w:val="000000"/>
          <w:sz w:val="24"/>
        </w:rPr>
        <w:t>的个人所得税。</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A834B1">
        <w:tc>
          <w:tcPr>
            <w:tcW w:w="5219" w:type="dxa"/>
            <w:vAlign w:val="center"/>
          </w:tcPr>
          <w:p w:rsidR="00A834B1" w:rsidRDefault="00B142E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834B1" w:rsidRDefault="00B142EA">
            <w:pPr>
              <w:jc w:val="left"/>
            </w:pPr>
            <w:r>
              <w:rPr>
                <w:color w:val="000000"/>
                <w:sz w:val="24"/>
              </w:rPr>
              <w:t>基金管理人、基金销售机构</w:t>
            </w:r>
          </w:p>
        </w:tc>
      </w:tr>
      <w:tr w:rsidR="00A834B1">
        <w:tc>
          <w:tcPr>
            <w:tcW w:w="5219" w:type="dxa"/>
            <w:vAlign w:val="center"/>
          </w:tcPr>
          <w:p w:rsidR="00A834B1" w:rsidRDefault="00B142EA">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A834B1" w:rsidRDefault="00B142EA">
            <w:pPr>
              <w:jc w:val="left"/>
            </w:pPr>
            <w:r>
              <w:rPr>
                <w:color w:val="000000"/>
                <w:sz w:val="24"/>
              </w:rPr>
              <w:t>基金托管人、基金销售机构</w:t>
            </w:r>
          </w:p>
        </w:tc>
      </w:tr>
      <w:tr w:rsidR="00A834B1">
        <w:tc>
          <w:tcPr>
            <w:tcW w:w="5219" w:type="dxa"/>
            <w:vAlign w:val="center"/>
          </w:tcPr>
          <w:p w:rsidR="00A834B1" w:rsidRDefault="00B142E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834B1" w:rsidRDefault="00B142EA">
            <w:pPr>
              <w:jc w:val="left"/>
            </w:pPr>
            <w:r>
              <w:rPr>
                <w:color w:val="000000"/>
                <w:sz w:val="24"/>
              </w:rPr>
              <w:t>基金管理人的股东、基金销售机构</w:t>
            </w:r>
          </w:p>
        </w:tc>
      </w:tr>
      <w:tr w:rsidR="00A834B1">
        <w:tc>
          <w:tcPr>
            <w:tcW w:w="5219" w:type="dxa"/>
            <w:vAlign w:val="center"/>
          </w:tcPr>
          <w:p w:rsidR="00A834B1" w:rsidRDefault="00B142EA">
            <w:pPr>
              <w:jc w:val="left"/>
            </w:pPr>
            <w:r>
              <w:rPr>
                <w:color w:val="000000"/>
                <w:sz w:val="24"/>
              </w:rPr>
              <w:t>交银施罗德资产管理有限公司（</w:t>
            </w:r>
            <w:r>
              <w:rPr>
                <w:color w:val="000000"/>
                <w:sz w:val="24"/>
              </w:rPr>
              <w:t>“</w:t>
            </w:r>
            <w:r>
              <w:rPr>
                <w:color w:val="000000"/>
                <w:sz w:val="24"/>
              </w:rPr>
              <w:t>交银施罗德资管</w:t>
            </w:r>
            <w:r>
              <w:rPr>
                <w:color w:val="000000"/>
                <w:sz w:val="24"/>
              </w:rPr>
              <w:t>”</w:t>
            </w:r>
            <w:r>
              <w:rPr>
                <w:color w:val="000000"/>
                <w:sz w:val="24"/>
              </w:rPr>
              <w:t>）</w:t>
            </w:r>
          </w:p>
        </w:tc>
        <w:tc>
          <w:tcPr>
            <w:tcW w:w="3779" w:type="dxa"/>
            <w:vAlign w:val="center"/>
          </w:tcPr>
          <w:p w:rsidR="00A834B1" w:rsidRDefault="00B142EA">
            <w:pPr>
              <w:jc w:val="left"/>
            </w:pPr>
            <w:r>
              <w:rPr>
                <w:color w:val="000000"/>
                <w:sz w:val="24"/>
              </w:rPr>
              <w:t>基金管理人的子公司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1,414,035.91</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15,991,745.75</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154,792.50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457,835.11</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注：支付基金管理人的管理人报酬按前一日基金资产净值</w:t>
      </w:r>
      <w:r w:rsidRPr="0061644B">
        <w:rPr>
          <w:kern w:val="0"/>
          <w:sz w:val="24"/>
        </w:rPr>
        <w:t>0.33%</w:t>
      </w:r>
      <w:r w:rsidRPr="0061644B">
        <w:rPr>
          <w:kern w:val="0"/>
          <w:sz w:val="24"/>
        </w:rPr>
        <w:t>的年费率计提，逐日累计至每月月底，按月支付。其计算公式为：</w:t>
      </w:r>
      <w:r w:rsidRPr="0061644B">
        <w:rPr>
          <w:kern w:val="0"/>
          <w:sz w:val="24"/>
        </w:rPr>
        <w:t xml:space="preserve"> </w:t>
      </w:r>
      <w:r w:rsidRPr="0061644B">
        <w:rPr>
          <w:kern w:val="0"/>
          <w:sz w:val="24"/>
        </w:rPr>
        <w:t>日基金管理人报酬＝前一日基金资产净值</w:t>
      </w:r>
      <w:r w:rsidRPr="0061644B">
        <w:rPr>
          <w:kern w:val="0"/>
          <w:sz w:val="24"/>
        </w:rPr>
        <w:t>×0.33%÷</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428,495.78</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4,845,983.41</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注：支付基金托管人的托管费按前一日基金资产净值</w:t>
      </w:r>
      <w:r w:rsidRPr="0061644B">
        <w:rPr>
          <w:kern w:val="0"/>
          <w:sz w:val="24"/>
        </w:rPr>
        <w:t>0.1%</w:t>
      </w:r>
      <w:r w:rsidRPr="0061644B">
        <w:rPr>
          <w:kern w:val="0"/>
          <w:sz w:val="24"/>
        </w:rPr>
        <w:t>的年费率计提，逐日累计至每月月底，按月支付。其计算公式为：</w:t>
      </w:r>
      <w:r w:rsidRPr="0061644B">
        <w:rPr>
          <w:kern w:val="0"/>
          <w:sz w:val="24"/>
        </w:rPr>
        <w:t xml:space="preserve"> </w:t>
      </w:r>
      <w:r w:rsidRPr="0061644B">
        <w:rPr>
          <w:kern w:val="0"/>
          <w:sz w:val="24"/>
        </w:rPr>
        <w:t>日基金托管费＝前一日基金资产净值</w:t>
      </w:r>
      <w:r w:rsidRPr="0061644B">
        <w:rPr>
          <w:kern w:val="0"/>
          <w:sz w:val="24"/>
        </w:rPr>
        <w:t>×0.1%÷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1"/>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2019</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2019</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交银货币</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A834B1">
        <w:tc>
          <w:tcPr>
            <w:tcW w:w="1944" w:type="dxa"/>
            <w:vAlign w:val="center"/>
          </w:tcPr>
          <w:p w:rsidR="00A834B1" w:rsidRDefault="00B142EA">
            <w:pPr>
              <w:jc w:val="center"/>
            </w:pPr>
            <w:r>
              <w:rPr>
                <w:sz w:val="24"/>
              </w:rPr>
              <w:t>交银施罗德基金公司</w:t>
            </w:r>
          </w:p>
        </w:tc>
        <w:tc>
          <w:tcPr>
            <w:tcW w:w="2351" w:type="dxa"/>
            <w:vAlign w:val="center"/>
          </w:tcPr>
          <w:p w:rsidR="00A834B1" w:rsidRDefault="00B142EA">
            <w:pPr>
              <w:jc w:val="center"/>
            </w:pPr>
            <w:r>
              <w:rPr>
                <w:sz w:val="24"/>
              </w:rPr>
              <w:t>39,069.68</w:t>
            </w:r>
          </w:p>
        </w:tc>
        <w:tc>
          <w:tcPr>
            <w:tcW w:w="2351" w:type="dxa"/>
            <w:vAlign w:val="center"/>
          </w:tcPr>
          <w:p w:rsidR="00A834B1" w:rsidRDefault="00B142EA">
            <w:pPr>
              <w:jc w:val="center"/>
            </w:pPr>
            <w:r>
              <w:rPr>
                <w:sz w:val="24"/>
              </w:rPr>
              <w:t>23,102.33</w:t>
            </w:r>
          </w:p>
        </w:tc>
        <w:tc>
          <w:tcPr>
            <w:tcW w:w="2352" w:type="dxa"/>
            <w:vAlign w:val="center"/>
          </w:tcPr>
          <w:p w:rsidR="00A834B1" w:rsidRDefault="00B142EA">
            <w:pPr>
              <w:jc w:val="center"/>
            </w:pPr>
            <w:r>
              <w:rPr>
                <w:sz w:val="24"/>
              </w:rPr>
              <w:t>62,172.01</w:t>
            </w:r>
          </w:p>
        </w:tc>
      </w:tr>
      <w:tr w:rsidR="00A834B1">
        <w:tc>
          <w:tcPr>
            <w:tcW w:w="1944" w:type="dxa"/>
            <w:vAlign w:val="center"/>
          </w:tcPr>
          <w:p w:rsidR="00A834B1" w:rsidRDefault="00B142EA">
            <w:pPr>
              <w:jc w:val="center"/>
            </w:pPr>
            <w:r>
              <w:rPr>
                <w:sz w:val="24"/>
              </w:rPr>
              <w:t>交通银行</w:t>
            </w:r>
          </w:p>
        </w:tc>
        <w:tc>
          <w:tcPr>
            <w:tcW w:w="2351" w:type="dxa"/>
            <w:vAlign w:val="center"/>
          </w:tcPr>
          <w:p w:rsidR="00A834B1" w:rsidRDefault="00B142EA">
            <w:pPr>
              <w:jc w:val="center"/>
            </w:pPr>
            <w:r>
              <w:rPr>
                <w:sz w:val="24"/>
              </w:rPr>
              <w:t>238,042.39</w:t>
            </w:r>
          </w:p>
        </w:tc>
        <w:tc>
          <w:tcPr>
            <w:tcW w:w="2351" w:type="dxa"/>
            <w:vAlign w:val="center"/>
          </w:tcPr>
          <w:p w:rsidR="00A834B1" w:rsidRDefault="00B142EA">
            <w:pPr>
              <w:jc w:val="center"/>
            </w:pPr>
            <w:r>
              <w:rPr>
                <w:sz w:val="24"/>
              </w:rPr>
              <w:t>648.04</w:t>
            </w:r>
          </w:p>
        </w:tc>
        <w:tc>
          <w:tcPr>
            <w:tcW w:w="2352" w:type="dxa"/>
            <w:vAlign w:val="center"/>
          </w:tcPr>
          <w:p w:rsidR="00A834B1" w:rsidRDefault="00B142EA">
            <w:pPr>
              <w:jc w:val="center"/>
            </w:pPr>
            <w:r>
              <w:rPr>
                <w:sz w:val="24"/>
              </w:rPr>
              <w:t>238,690.43</w:t>
            </w:r>
          </w:p>
        </w:tc>
      </w:tr>
      <w:tr w:rsidR="00A834B1">
        <w:tc>
          <w:tcPr>
            <w:tcW w:w="1944" w:type="dxa"/>
            <w:vAlign w:val="center"/>
          </w:tcPr>
          <w:p w:rsidR="00A834B1" w:rsidRDefault="00B142EA">
            <w:pPr>
              <w:jc w:val="center"/>
            </w:pPr>
            <w:r>
              <w:rPr>
                <w:sz w:val="24"/>
              </w:rPr>
              <w:t>中国农业银行</w:t>
            </w:r>
          </w:p>
        </w:tc>
        <w:tc>
          <w:tcPr>
            <w:tcW w:w="2351" w:type="dxa"/>
            <w:vAlign w:val="center"/>
          </w:tcPr>
          <w:p w:rsidR="00A834B1" w:rsidRDefault="00B142EA">
            <w:pPr>
              <w:jc w:val="center"/>
            </w:pPr>
            <w:r>
              <w:rPr>
                <w:sz w:val="24"/>
              </w:rPr>
              <w:t>27,478.57</w:t>
            </w:r>
          </w:p>
        </w:tc>
        <w:tc>
          <w:tcPr>
            <w:tcW w:w="2351" w:type="dxa"/>
            <w:vAlign w:val="center"/>
          </w:tcPr>
          <w:p w:rsidR="00A834B1" w:rsidRDefault="00B142EA">
            <w:pPr>
              <w:jc w:val="center"/>
            </w:pPr>
            <w:r>
              <w:rPr>
                <w:sz w:val="24"/>
              </w:rPr>
              <w:t>608.44</w:t>
            </w:r>
          </w:p>
        </w:tc>
        <w:tc>
          <w:tcPr>
            <w:tcW w:w="2352" w:type="dxa"/>
            <w:vAlign w:val="center"/>
          </w:tcPr>
          <w:p w:rsidR="00A834B1" w:rsidRDefault="00B142EA">
            <w:pPr>
              <w:jc w:val="center"/>
            </w:pPr>
            <w:r>
              <w:rPr>
                <w:sz w:val="24"/>
              </w:rPr>
              <w:t>28,087.01</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304,590.64</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24,358.81</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328,949.45</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交银货币</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A834B1">
        <w:tc>
          <w:tcPr>
            <w:tcW w:w="1944" w:type="dxa"/>
            <w:vAlign w:val="center"/>
          </w:tcPr>
          <w:p w:rsidR="00A834B1" w:rsidRDefault="00B142EA">
            <w:pPr>
              <w:jc w:val="center"/>
            </w:pPr>
            <w:r>
              <w:rPr>
                <w:sz w:val="24"/>
              </w:rPr>
              <w:t>交银施罗德基金公司</w:t>
            </w:r>
          </w:p>
        </w:tc>
        <w:tc>
          <w:tcPr>
            <w:tcW w:w="2351" w:type="dxa"/>
            <w:vAlign w:val="center"/>
          </w:tcPr>
          <w:p w:rsidR="00A834B1" w:rsidRDefault="00B142EA">
            <w:pPr>
              <w:jc w:val="center"/>
            </w:pPr>
            <w:r>
              <w:rPr>
                <w:sz w:val="24"/>
              </w:rPr>
              <w:t>62,748.54</w:t>
            </w:r>
          </w:p>
        </w:tc>
        <w:tc>
          <w:tcPr>
            <w:tcW w:w="2351" w:type="dxa"/>
            <w:vAlign w:val="center"/>
          </w:tcPr>
          <w:p w:rsidR="00A834B1" w:rsidRDefault="00B142EA">
            <w:pPr>
              <w:jc w:val="center"/>
            </w:pPr>
            <w:r>
              <w:rPr>
                <w:sz w:val="24"/>
              </w:rPr>
              <w:t>443,405.87</w:t>
            </w:r>
          </w:p>
        </w:tc>
        <w:tc>
          <w:tcPr>
            <w:tcW w:w="2352" w:type="dxa"/>
            <w:vAlign w:val="center"/>
          </w:tcPr>
          <w:p w:rsidR="00A834B1" w:rsidRDefault="00B142EA">
            <w:pPr>
              <w:jc w:val="center"/>
            </w:pPr>
            <w:r>
              <w:rPr>
                <w:sz w:val="24"/>
              </w:rPr>
              <w:t>506,154.41</w:t>
            </w:r>
          </w:p>
        </w:tc>
      </w:tr>
      <w:tr w:rsidR="00A834B1">
        <w:tc>
          <w:tcPr>
            <w:tcW w:w="1944" w:type="dxa"/>
            <w:vAlign w:val="center"/>
          </w:tcPr>
          <w:p w:rsidR="00A834B1" w:rsidRDefault="00B142EA">
            <w:pPr>
              <w:jc w:val="center"/>
            </w:pPr>
            <w:r>
              <w:rPr>
                <w:sz w:val="24"/>
              </w:rPr>
              <w:t>交通银行</w:t>
            </w:r>
          </w:p>
        </w:tc>
        <w:tc>
          <w:tcPr>
            <w:tcW w:w="2351" w:type="dxa"/>
            <w:vAlign w:val="center"/>
          </w:tcPr>
          <w:p w:rsidR="00A834B1" w:rsidRDefault="00B142EA">
            <w:pPr>
              <w:jc w:val="center"/>
            </w:pPr>
            <w:r>
              <w:rPr>
                <w:sz w:val="24"/>
              </w:rPr>
              <w:t>415,728.91</w:t>
            </w:r>
          </w:p>
        </w:tc>
        <w:tc>
          <w:tcPr>
            <w:tcW w:w="2351" w:type="dxa"/>
            <w:vAlign w:val="center"/>
          </w:tcPr>
          <w:p w:rsidR="00A834B1" w:rsidRDefault="00B142EA">
            <w:pPr>
              <w:jc w:val="center"/>
            </w:pPr>
            <w:r>
              <w:rPr>
                <w:sz w:val="24"/>
              </w:rPr>
              <w:t>3,853.58</w:t>
            </w:r>
          </w:p>
        </w:tc>
        <w:tc>
          <w:tcPr>
            <w:tcW w:w="2352" w:type="dxa"/>
            <w:vAlign w:val="center"/>
          </w:tcPr>
          <w:p w:rsidR="00A834B1" w:rsidRDefault="00B142EA">
            <w:pPr>
              <w:jc w:val="center"/>
            </w:pPr>
            <w:r>
              <w:rPr>
                <w:sz w:val="24"/>
              </w:rPr>
              <w:t>419,582.49</w:t>
            </w:r>
          </w:p>
        </w:tc>
      </w:tr>
      <w:tr w:rsidR="00A834B1">
        <w:tc>
          <w:tcPr>
            <w:tcW w:w="1944" w:type="dxa"/>
            <w:vAlign w:val="center"/>
          </w:tcPr>
          <w:p w:rsidR="00A834B1" w:rsidRDefault="00B142EA">
            <w:pPr>
              <w:jc w:val="center"/>
            </w:pPr>
            <w:r>
              <w:rPr>
                <w:sz w:val="24"/>
              </w:rPr>
              <w:t>中国农业银行</w:t>
            </w:r>
          </w:p>
        </w:tc>
        <w:tc>
          <w:tcPr>
            <w:tcW w:w="2351" w:type="dxa"/>
            <w:vAlign w:val="center"/>
          </w:tcPr>
          <w:p w:rsidR="00A834B1" w:rsidRDefault="00B142EA">
            <w:pPr>
              <w:jc w:val="center"/>
            </w:pPr>
            <w:r>
              <w:rPr>
                <w:sz w:val="24"/>
              </w:rPr>
              <w:t>39,290.57</w:t>
            </w:r>
          </w:p>
        </w:tc>
        <w:tc>
          <w:tcPr>
            <w:tcW w:w="2351" w:type="dxa"/>
            <w:vAlign w:val="center"/>
          </w:tcPr>
          <w:p w:rsidR="00A834B1" w:rsidRDefault="00B142EA">
            <w:pPr>
              <w:jc w:val="center"/>
            </w:pPr>
            <w:r>
              <w:rPr>
                <w:sz w:val="24"/>
              </w:rPr>
              <w:t>2,363.06</w:t>
            </w:r>
          </w:p>
        </w:tc>
        <w:tc>
          <w:tcPr>
            <w:tcW w:w="2352" w:type="dxa"/>
            <w:vAlign w:val="center"/>
          </w:tcPr>
          <w:p w:rsidR="00A834B1" w:rsidRDefault="00B142EA">
            <w:pPr>
              <w:jc w:val="center"/>
            </w:pPr>
            <w:r>
              <w:rPr>
                <w:sz w:val="24"/>
              </w:rPr>
              <w:t>41,653.63</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517,768.02</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449,622.51</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967,390.53</w:t>
            </w:r>
          </w:p>
        </w:tc>
      </w:tr>
    </w:tbl>
    <w:p w:rsidR="00A834B1" w:rsidRDefault="00B142EA">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的年费率逐日计提销售服务费，</w:t>
      </w:r>
      <w:r>
        <w:rPr>
          <w:kern w:val="0"/>
          <w:sz w:val="24"/>
        </w:rPr>
        <w:t>B</w:t>
      </w:r>
      <w:r>
        <w:rPr>
          <w:kern w:val="0"/>
          <w:sz w:val="24"/>
        </w:rPr>
        <w:t>级基金按前一日基金资产净值</w:t>
      </w:r>
      <w:r>
        <w:rPr>
          <w:kern w:val="0"/>
          <w:sz w:val="24"/>
        </w:rPr>
        <w:t>0.01%</w:t>
      </w:r>
      <w:r>
        <w:rPr>
          <w:kern w:val="0"/>
          <w:sz w:val="24"/>
        </w:rPr>
        <w:t>的年费率逐日计提销售服务费。其计算公式为：</w:t>
      </w:r>
    </w:p>
    <w:p w:rsidR="00A834B1" w:rsidRDefault="00B142EA">
      <w:pPr>
        <w:tabs>
          <w:tab w:val="left" w:pos="426"/>
        </w:tabs>
        <w:spacing w:before="29" w:line="288" w:lineRule="auto"/>
        <w:jc w:val="left"/>
        <w:rPr>
          <w:kern w:val="0"/>
          <w:sz w:val="24"/>
        </w:rPr>
      </w:pPr>
      <w:r>
        <w:rPr>
          <w:kern w:val="0"/>
          <w:sz w:val="24"/>
        </w:rPr>
        <w:t>A</w:t>
      </w:r>
      <w:r>
        <w:rPr>
          <w:kern w:val="0"/>
          <w:sz w:val="24"/>
        </w:rPr>
        <w:t>级基金日销售服务费＝前一日</w:t>
      </w:r>
      <w:r>
        <w:rPr>
          <w:kern w:val="0"/>
          <w:sz w:val="24"/>
        </w:rPr>
        <w:t>A</w:t>
      </w:r>
      <w:r>
        <w:rPr>
          <w:kern w:val="0"/>
          <w:sz w:val="24"/>
        </w:rPr>
        <w:t>级基金资产净值</w:t>
      </w:r>
      <w:r>
        <w:rPr>
          <w:kern w:val="0"/>
          <w:sz w:val="24"/>
        </w:rPr>
        <w:t>×0.25%÷</w:t>
      </w:r>
      <w:r>
        <w:rPr>
          <w:kern w:val="0"/>
          <w:sz w:val="24"/>
        </w:rPr>
        <w:t>当年天数，</w:t>
      </w:r>
    </w:p>
    <w:p w:rsidR="006D141C" w:rsidRPr="0061644B" w:rsidRDefault="006D141C" w:rsidP="00792A69">
      <w:pPr>
        <w:tabs>
          <w:tab w:val="left" w:pos="426"/>
        </w:tabs>
        <w:spacing w:before="29" w:line="288" w:lineRule="auto"/>
        <w:jc w:val="left"/>
        <w:rPr>
          <w:kern w:val="0"/>
          <w:sz w:val="24"/>
        </w:rPr>
      </w:pPr>
      <w:r w:rsidRPr="0061644B">
        <w:rPr>
          <w:kern w:val="0"/>
          <w:sz w:val="24"/>
        </w:rPr>
        <w:t>B</w:t>
      </w:r>
      <w:r w:rsidRPr="0061644B">
        <w:rPr>
          <w:kern w:val="0"/>
          <w:sz w:val="24"/>
        </w:rPr>
        <w:t>级基金日销售服务费＝前一日</w:t>
      </w:r>
      <w:r w:rsidRPr="0061644B">
        <w:rPr>
          <w:kern w:val="0"/>
          <w:sz w:val="24"/>
        </w:rPr>
        <w:t>B</w:t>
      </w:r>
      <w:r w:rsidRPr="0061644B">
        <w:rPr>
          <w:kern w:val="0"/>
          <w:sz w:val="24"/>
        </w:rPr>
        <w:t>级基金资产净值</w:t>
      </w:r>
      <w:r w:rsidRPr="0061644B">
        <w:rPr>
          <w:kern w:val="0"/>
          <w:sz w:val="24"/>
        </w:rPr>
        <w:t>×0.01%÷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729"/>
        <w:gridCol w:w="1203"/>
        <w:gridCol w:w="1203"/>
        <w:gridCol w:w="1033"/>
        <w:gridCol w:w="1440"/>
        <w:gridCol w:w="1035"/>
      </w:tblGrid>
      <w:tr w:rsidR="006B4A69" w:rsidRPr="0061644B" w:rsidTr="004C4BDC">
        <w:tc>
          <w:tcPr>
            <w:tcW w:w="9435" w:type="dxa"/>
            <w:gridSpan w:val="7"/>
            <w:tcBorders>
              <w:top w:val="single" w:sz="4" w:space="0" w:color="000000"/>
              <w:left w:val="single" w:sz="4" w:space="0" w:color="000000"/>
              <w:bottom w:val="single" w:sz="4" w:space="0" w:color="000000"/>
              <w:right w:val="single" w:sz="4" w:space="0" w:color="000000"/>
            </w:tcBorders>
            <w:vAlign w:val="center"/>
            <w:hideMark/>
          </w:tcPr>
          <w:p w:rsidR="00F0162B" w:rsidRPr="00143156" w:rsidRDefault="00F0162B" w:rsidP="00F0162B">
            <w:pPr>
              <w:widowControl/>
              <w:autoSpaceDE w:val="0"/>
              <w:autoSpaceDN w:val="0"/>
              <w:spacing w:before="29" w:line="288" w:lineRule="auto"/>
              <w:ind w:right="-15"/>
              <w:jc w:val="center"/>
              <w:textAlignment w:val="bottom"/>
              <w:rPr>
                <w:bCs/>
                <w:color w:val="000000"/>
                <w:sz w:val="24"/>
              </w:rPr>
            </w:pPr>
            <w:r w:rsidRPr="00143156">
              <w:rPr>
                <w:bCs/>
                <w:color w:val="000000"/>
                <w:sz w:val="24"/>
              </w:rPr>
              <w:t>本期</w:t>
            </w:r>
          </w:p>
          <w:p w:rsidR="006D141C" w:rsidRPr="0061644B" w:rsidRDefault="00F0162B" w:rsidP="00F0162B">
            <w:pPr>
              <w:widowControl/>
              <w:autoSpaceDE w:val="0"/>
              <w:autoSpaceDN w:val="0"/>
              <w:spacing w:before="29" w:line="288" w:lineRule="auto"/>
              <w:ind w:right="-15"/>
              <w:jc w:val="center"/>
              <w:textAlignment w:val="bottom"/>
              <w:rPr>
                <w:bCs/>
                <w:sz w:val="24"/>
              </w:rPr>
            </w:pPr>
            <w:r w:rsidRPr="00143156">
              <w:rPr>
                <w:bCs/>
                <w:color w:val="000000"/>
                <w:sz w:val="24"/>
              </w:rPr>
              <w:t>2019</w:t>
            </w:r>
            <w:r w:rsidRPr="00143156">
              <w:rPr>
                <w:bCs/>
                <w:color w:val="000000"/>
                <w:sz w:val="24"/>
              </w:rPr>
              <w:t>年</w:t>
            </w:r>
            <w:r w:rsidRPr="00143156">
              <w:rPr>
                <w:bCs/>
                <w:color w:val="000000"/>
                <w:sz w:val="24"/>
              </w:rPr>
              <w:t>1</w:t>
            </w:r>
            <w:r w:rsidRPr="00143156">
              <w:rPr>
                <w:bCs/>
                <w:color w:val="000000"/>
                <w:sz w:val="24"/>
              </w:rPr>
              <w:t>月</w:t>
            </w:r>
            <w:r w:rsidRPr="00143156">
              <w:rPr>
                <w:bCs/>
                <w:color w:val="000000"/>
                <w:sz w:val="24"/>
              </w:rPr>
              <w:t>1</w:t>
            </w:r>
            <w:r w:rsidRPr="00143156">
              <w:rPr>
                <w:bCs/>
                <w:color w:val="000000"/>
                <w:sz w:val="24"/>
              </w:rPr>
              <w:t>日至</w:t>
            </w:r>
            <w:r w:rsidRPr="00143156">
              <w:rPr>
                <w:bCs/>
                <w:color w:val="000000"/>
                <w:sz w:val="24"/>
              </w:rPr>
              <w:t>2019</w:t>
            </w:r>
            <w:r w:rsidRPr="00143156">
              <w:rPr>
                <w:bCs/>
                <w:color w:val="000000"/>
                <w:sz w:val="24"/>
              </w:rPr>
              <w:t>年</w:t>
            </w:r>
            <w:r w:rsidRPr="00143156">
              <w:rPr>
                <w:bCs/>
                <w:color w:val="000000"/>
                <w:sz w:val="24"/>
              </w:rPr>
              <w:t>6</w:t>
            </w:r>
            <w:r w:rsidRPr="00143156">
              <w:rPr>
                <w:bCs/>
                <w:color w:val="000000"/>
                <w:sz w:val="24"/>
              </w:rPr>
              <w:t>月</w:t>
            </w:r>
            <w:r w:rsidRPr="00143156">
              <w:rPr>
                <w:bCs/>
                <w:color w:val="000000"/>
                <w:sz w:val="24"/>
              </w:rPr>
              <w:t>30</w:t>
            </w:r>
            <w:r w:rsidRPr="00143156">
              <w:rPr>
                <w:bCs/>
                <w:color w:val="000000"/>
                <w:sz w:val="24"/>
              </w:rPr>
              <w:t>日</w:t>
            </w:r>
          </w:p>
        </w:tc>
      </w:tr>
      <w:tr w:rsidR="006B4A69" w:rsidRPr="0061644B" w:rsidTr="004C4BD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银行间市场交易的各关联方名称</w:t>
            </w:r>
          </w:p>
        </w:tc>
        <w:tc>
          <w:tcPr>
            <w:tcW w:w="307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债券交易金额</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基金逆回购</w:t>
            </w:r>
          </w:p>
        </w:tc>
        <w:tc>
          <w:tcPr>
            <w:tcW w:w="259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基金正回购</w:t>
            </w:r>
          </w:p>
        </w:tc>
      </w:tr>
      <w:tr w:rsidR="006B4A69" w:rsidRPr="0061644B" w:rsidTr="004C4BDC">
        <w:tc>
          <w:tcPr>
            <w:tcW w:w="9435"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bCs/>
                <w:sz w:val="24"/>
              </w:rPr>
            </w:pP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基金买入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基金卖出</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利息收入</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利息支出</w:t>
            </w:r>
          </w:p>
        </w:tc>
      </w:tr>
      <w:tr w:rsidR="00A834B1">
        <w:tc>
          <w:tcPr>
            <w:tcW w:w="1355" w:type="dxa"/>
            <w:vAlign w:val="center"/>
          </w:tcPr>
          <w:p w:rsidR="00A834B1" w:rsidRDefault="00B142EA">
            <w:pPr>
              <w:jc w:val="center"/>
            </w:pPr>
            <w:r>
              <w:rPr>
                <w:bCs/>
                <w:sz w:val="24"/>
              </w:rPr>
              <w:t>中国农业银行</w:t>
            </w:r>
          </w:p>
        </w:tc>
        <w:tc>
          <w:tcPr>
            <w:tcW w:w="1729" w:type="dxa"/>
            <w:vAlign w:val="center"/>
          </w:tcPr>
          <w:p w:rsidR="00A834B1" w:rsidRDefault="00B142EA">
            <w:pPr>
              <w:jc w:val="center"/>
            </w:pPr>
            <w:r>
              <w:rPr>
                <w:bCs/>
                <w:sz w:val="24"/>
              </w:rPr>
              <w:t>-</w:t>
            </w:r>
          </w:p>
        </w:tc>
        <w:tc>
          <w:tcPr>
            <w:tcW w:w="1203" w:type="dxa"/>
            <w:vAlign w:val="center"/>
          </w:tcPr>
          <w:p w:rsidR="00A834B1" w:rsidRDefault="00B142EA">
            <w:pPr>
              <w:jc w:val="center"/>
            </w:pPr>
            <w:r>
              <w:rPr>
                <w:bCs/>
                <w:sz w:val="24"/>
              </w:rPr>
              <w:t>-</w:t>
            </w:r>
          </w:p>
        </w:tc>
        <w:tc>
          <w:tcPr>
            <w:tcW w:w="1203" w:type="dxa"/>
            <w:vAlign w:val="center"/>
          </w:tcPr>
          <w:p w:rsidR="00A834B1" w:rsidRDefault="00B142EA">
            <w:pPr>
              <w:jc w:val="center"/>
            </w:pPr>
            <w:r>
              <w:rPr>
                <w:bCs/>
                <w:sz w:val="24"/>
              </w:rPr>
              <w:t>-</w:t>
            </w:r>
          </w:p>
        </w:tc>
        <w:tc>
          <w:tcPr>
            <w:tcW w:w="1033" w:type="dxa"/>
            <w:vAlign w:val="center"/>
          </w:tcPr>
          <w:p w:rsidR="00A834B1" w:rsidRDefault="00B142EA">
            <w:pPr>
              <w:jc w:val="center"/>
            </w:pPr>
            <w:r>
              <w:rPr>
                <w:bCs/>
                <w:sz w:val="24"/>
              </w:rPr>
              <w:t>-</w:t>
            </w:r>
          </w:p>
        </w:tc>
        <w:tc>
          <w:tcPr>
            <w:tcW w:w="1440" w:type="dxa"/>
            <w:vAlign w:val="center"/>
          </w:tcPr>
          <w:p w:rsidR="00A834B1" w:rsidRDefault="00B142EA">
            <w:pPr>
              <w:jc w:val="center"/>
            </w:pPr>
            <w:r>
              <w:rPr>
                <w:bCs/>
                <w:sz w:val="24"/>
              </w:rPr>
              <w:t>-</w:t>
            </w:r>
          </w:p>
        </w:tc>
        <w:tc>
          <w:tcPr>
            <w:tcW w:w="1035" w:type="dxa"/>
            <w:vAlign w:val="center"/>
          </w:tcPr>
          <w:p w:rsidR="00A834B1" w:rsidRDefault="00B142EA">
            <w:pPr>
              <w:jc w:val="center"/>
            </w:pPr>
            <w:r>
              <w:rPr>
                <w:bCs/>
                <w:sz w:val="24"/>
              </w:rPr>
              <w:t>-</w:t>
            </w:r>
          </w:p>
        </w:tc>
      </w:tr>
      <w:tr w:rsidR="006B4A69" w:rsidRPr="0061644B" w:rsidTr="004C4BDC">
        <w:tc>
          <w:tcPr>
            <w:tcW w:w="9435" w:type="dxa"/>
            <w:gridSpan w:val="7"/>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bCs/>
                <w:sz w:val="24"/>
              </w:rPr>
            </w:pPr>
            <w:r w:rsidRPr="0061644B">
              <w:rPr>
                <w:bCs/>
                <w:sz w:val="24"/>
              </w:rPr>
              <w:t>2018</w:t>
            </w:r>
            <w:r w:rsidRPr="0061644B">
              <w:rPr>
                <w:bCs/>
                <w:sz w:val="24"/>
              </w:rPr>
              <w:t>年</w:t>
            </w:r>
            <w:r w:rsidRPr="0061644B">
              <w:rPr>
                <w:bCs/>
                <w:sz w:val="24"/>
              </w:rPr>
              <w:t>1</w:t>
            </w:r>
            <w:r w:rsidRPr="0061644B">
              <w:rPr>
                <w:bCs/>
                <w:sz w:val="24"/>
              </w:rPr>
              <w:t>月</w:t>
            </w:r>
            <w:r w:rsidRPr="0061644B">
              <w:rPr>
                <w:bCs/>
                <w:sz w:val="24"/>
              </w:rPr>
              <w:t>1</w:t>
            </w:r>
            <w:r w:rsidRPr="0061644B">
              <w:rPr>
                <w:bCs/>
                <w:sz w:val="24"/>
              </w:rPr>
              <w:t>日至</w:t>
            </w:r>
            <w:r w:rsidRPr="0061644B">
              <w:rPr>
                <w:bCs/>
                <w:sz w:val="24"/>
              </w:rPr>
              <w:t>2018</w:t>
            </w:r>
            <w:r w:rsidRPr="0061644B">
              <w:rPr>
                <w:bCs/>
                <w:sz w:val="24"/>
              </w:rPr>
              <w:t>年</w:t>
            </w:r>
            <w:r w:rsidRPr="0061644B">
              <w:rPr>
                <w:bCs/>
                <w:sz w:val="24"/>
              </w:rPr>
              <w:t>6</w:t>
            </w:r>
            <w:r w:rsidRPr="0061644B">
              <w:rPr>
                <w:bCs/>
                <w:sz w:val="24"/>
              </w:rPr>
              <w:t>月</w:t>
            </w:r>
            <w:r w:rsidRPr="0061644B">
              <w:rPr>
                <w:bCs/>
                <w:sz w:val="24"/>
              </w:rPr>
              <w:t>30</w:t>
            </w:r>
            <w:r w:rsidRPr="0061644B">
              <w:rPr>
                <w:bCs/>
                <w:sz w:val="24"/>
              </w:rPr>
              <w:t>日</w:t>
            </w:r>
          </w:p>
        </w:tc>
      </w:tr>
      <w:tr w:rsidR="006B4A69" w:rsidRPr="0061644B" w:rsidTr="004C4BDC">
        <w:tc>
          <w:tcPr>
            <w:tcW w:w="1422"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银行间市场交易的各关联方名称</w:t>
            </w:r>
          </w:p>
        </w:tc>
        <w:tc>
          <w:tcPr>
            <w:tcW w:w="3078"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债券交易金额</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基金逆回购</w:t>
            </w:r>
          </w:p>
        </w:tc>
        <w:tc>
          <w:tcPr>
            <w:tcW w:w="259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基金正回购</w:t>
            </w:r>
          </w:p>
        </w:tc>
      </w:tr>
      <w:tr w:rsidR="006B4A69" w:rsidRPr="0061644B" w:rsidTr="004C4BDC">
        <w:tc>
          <w:tcPr>
            <w:tcW w:w="9435"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bCs/>
                <w:sz w:val="24"/>
              </w:rPr>
            </w:pPr>
          </w:p>
        </w:tc>
        <w:tc>
          <w:tcPr>
            <w:tcW w:w="18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基金买入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基金卖出</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利息收入</w:t>
            </w:r>
          </w:p>
        </w:tc>
        <w:tc>
          <w:tcPr>
            <w:tcW w:w="15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交易金额</w:t>
            </w:r>
          </w:p>
        </w:tc>
        <w:tc>
          <w:tcPr>
            <w:tcW w:w="108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bCs/>
                <w:sz w:val="24"/>
              </w:rPr>
            </w:pPr>
            <w:r w:rsidRPr="0061644B">
              <w:rPr>
                <w:bCs/>
                <w:sz w:val="24"/>
              </w:rPr>
              <w:t>利息支出</w:t>
            </w:r>
          </w:p>
        </w:tc>
      </w:tr>
      <w:tr w:rsidR="00A834B1">
        <w:tc>
          <w:tcPr>
            <w:tcW w:w="1355" w:type="dxa"/>
            <w:vAlign w:val="center"/>
          </w:tcPr>
          <w:p w:rsidR="00A834B1" w:rsidRDefault="00B142EA">
            <w:pPr>
              <w:jc w:val="center"/>
            </w:pPr>
            <w:r>
              <w:rPr>
                <w:bCs/>
                <w:sz w:val="24"/>
              </w:rPr>
              <w:t>中国农业银行</w:t>
            </w:r>
          </w:p>
        </w:tc>
        <w:tc>
          <w:tcPr>
            <w:tcW w:w="1729" w:type="dxa"/>
            <w:vAlign w:val="center"/>
          </w:tcPr>
          <w:p w:rsidR="00A834B1" w:rsidRDefault="00B142EA">
            <w:pPr>
              <w:jc w:val="center"/>
            </w:pPr>
            <w:r>
              <w:rPr>
                <w:bCs/>
                <w:sz w:val="24"/>
              </w:rPr>
              <w:t>1,119,495,013.98</w:t>
            </w:r>
          </w:p>
        </w:tc>
        <w:tc>
          <w:tcPr>
            <w:tcW w:w="1203" w:type="dxa"/>
            <w:vAlign w:val="center"/>
          </w:tcPr>
          <w:p w:rsidR="00A834B1" w:rsidRDefault="00B142EA">
            <w:pPr>
              <w:jc w:val="center"/>
            </w:pPr>
            <w:r>
              <w:rPr>
                <w:bCs/>
                <w:sz w:val="24"/>
              </w:rPr>
              <w:t>-</w:t>
            </w:r>
          </w:p>
        </w:tc>
        <w:tc>
          <w:tcPr>
            <w:tcW w:w="1203" w:type="dxa"/>
            <w:vAlign w:val="center"/>
          </w:tcPr>
          <w:p w:rsidR="00A834B1" w:rsidRDefault="00B142EA">
            <w:pPr>
              <w:jc w:val="center"/>
            </w:pPr>
            <w:r>
              <w:rPr>
                <w:bCs/>
                <w:sz w:val="24"/>
              </w:rPr>
              <w:t>-</w:t>
            </w:r>
          </w:p>
        </w:tc>
        <w:tc>
          <w:tcPr>
            <w:tcW w:w="1033" w:type="dxa"/>
            <w:vAlign w:val="center"/>
          </w:tcPr>
          <w:p w:rsidR="00A834B1" w:rsidRDefault="00B142EA">
            <w:pPr>
              <w:jc w:val="center"/>
            </w:pPr>
            <w:r>
              <w:rPr>
                <w:bCs/>
                <w:sz w:val="24"/>
              </w:rPr>
              <w:t>-</w:t>
            </w:r>
          </w:p>
        </w:tc>
        <w:tc>
          <w:tcPr>
            <w:tcW w:w="1440" w:type="dxa"/>
            <w:vAlign w:val="center"/>
          </w:tcPr>
          <w:p w:rsidR="00A834B1" w:rsidRDefault="00B142EA">
            <w:pPr>
              <w:jc w:val="center"/>
            </w:pPr>
            <w:r>
              <w:rPr>
                <w:bCs/>
                <w:sz w:val="24"/>
              </w:rPr>
              <w:t>-</w:t>
            </w:r>
          </w:p>
        </w:tc>
        <w:tc>
          <w:tcPr>
            <w:tcW w:w="1035" w:type="dxa"/>
            <w:vAlign w:val="center"/>
          </w:tcPr>
          <w:p w:rsidR="00A834B1" w:rsidRDefault="00B142EA">
            <w:pPr>
              <w:jc w:val="center"/>
            </w:pPr>
            <w:r>
              <w:rPr>
                <w:bCs/>
                <w:sz w:val="24"/>
              </w:rPr>
              <w:t>-</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本报告期内及上年度可比期间未发生基金管理人运用固有资金投资本基金的情况。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交银货币</w:t>
      </w:r>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交银货币</w:t>
      </w:r>
      <w:r w:rsidRPr="0061644B">
        <w:rPr>
          <w:sz w:val="24"/>
        </w:rPr>
        <w:t>B</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交银货币</w:t>
            </w:r>
            <w:r w:rsidRPr="0061644B">
              <w:rPr>
                <w:sz w:val="24"/>
              </w:rPr>
              <w:t>B</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交银货币</w:t>
            </w:r>
            <w:r w:rsidRPr="0061644B">
              <w:rPr>
                <w:sz w:val="24"/>
              </w:rPr>
              <w:t>B</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A834B1">
        <w:tc>
          <w:tcPr>
            <w:tcW w:w="1946" w:type="dxa"/>
            <w:vAlign w:val="center"/>
          </w:tcPr>
          <w:p w:rsidR="00A834B1" w:rsidRDefault="00B142EA">
            <w:pPr>
              <w:jc w:val="center"/>
            </w:pPr>
            <w:r>
              <w:rPr>
                <w:sz w:val="24"/>
              </w:rPr>
              <w:t>交通银行</w:t>
            </w:r>
          </w:p>
        </w:tc>
        <w:tc>
          <w:tcPr>
            <w:tcW w:w="2013" w:type="dxa"/>
            <w:vAlign w:val="center"/>
          </w:tcPr>
          <w:p w:rsidR="00A834B1" w:rsidRDefault="00B142EA">
            <w:pPr>
              <w:jc w:val="center"/>
            </w:pPr>
            <w:r>
              <w:rPr>
                <w:sz w:val="24"/>
              </w:rPr>
              <w:t>-</w:t>
            </w:r>
          </w:p>
        </w:tc>
        <w:tc>
          <w:tcPr>
            <w:tcW w:w="1565" w:type="dxa"/>
            <w:vAlign w:val="center"/>
          </w:tcPr>
          <w:p w:rsidR="00A834B1" w:rsidRDefault="00B142EA">
            <w:pPr>
              <w:jc w:val="center"/>
            </w:pPr>
            <w:r>
              <w:rPr>
                <w:sz w:val="24"/>
              </w:rPr>
              <w:t>-</w:t>
            </w:r>
          </w:p>
        </w:tc>
        <w:tc>
          <w:tcPr>
            <w:tcW w:w="1846" w:type="dxa"/>
            <w:vAlign w:val="center"/>
          </w:tcPr>
          <w:p w:rsidR="00A834B1" w:rsidRDefault="00B142EA">
            <w:pPr>
              <w:jc w:val="center"/>
            </w:pPr>
            <w:r>
              <w:rPr>
                <w:sz w:val="24"/>
              </w:rPr>
              <w:t>355,802,292.29</w:t>
            </w:r>
          </w:p>
        </w:tc>
        <w:tc>
          <w:tcPr>
            <w:tcW w:w="1628" w:type="dxa"/>
            <w:vAlign w:val="center"/>
          </w:tcPr>
          <w:p w:rsidR="00A834B1" w:rsidRDefault="00B142EA">
            <w:pPr>
              <w:jc w:val="center"/>
            </w:pPr>
            <w:r>
              <w:rPr>
                <w:sz w:val="24"/>
              </w:rPr>
              <w:t>37.15%</w:t>
            </w:r>
          </w:p>
        </w:tc>
      </w:tr>
      <w:tr w:rsidR="00A834B1">
        <w:tc>
          <w:tcPr>
            <w:tcW w:w="1946" w:type="dxa"/>
            <w:vAlign w:val="center"/>
          </w:tcPr>
          <w:p w:rsidR="00A834B1" w:rsidRDefault="00B142EA">
            <w:pPr>
              <w:jc w:val="center"/>
            </w:pPr>
            <w:r>
              <w:rPr>
                <w:sz w:val="24"/>
              </w:rPr>
              <w:t>交银施罗德资管</w:t>
            </w:r>
          </w:p>
        </w:tc>
        <w:tc>
          <w:tcPr>
            <w:tcW w:w="2013" w:type="dxa"/>
            <w:vAlign w:val="center"/>
          </w:tcPr>
          <w:p w:rsidR="00A834B1" w:rsidRDefault="00B142EA">
            <w:pPr>
              <w:jc w:val="center"/>
            </w:pPr>
            <w:r>
              <w:rPr>
                <w:sz w:val="24"/>
              </w:rPr>
              <w:t>-</w:t>
            </w:r>
          </w:p>
        </w:tc>
        <w:tc>
          <w:tcPr>
            <w:tcW w:w="1565" w:type="dxa"/>
            <w:vAlign w:val="center"/>
          </w:tcPr>
          <w:p w:rsidR="00A834B1" w:rsidRDefault="00B142EA">
            <w:pPr>
              <w:jc w:val="center"/>
            </w:pPr>
            <w:r>
              <w:rPr>
                <w:sz w:val="24"/>
              </w:rPr>
              <w:t>-</w:t>
            </w:r>
          </w:p>
        </w:tc>
        <w:tc>
          <w:tcPr>
            <w:tcW w:w="1846" w:type="dxa"/>
            <w:vAlign w:val="center"/>
          </w:tcPr>
          <w:p w:rsidR="00A834B1" w:rsidRDefault="00B142EA">
            <w:pPr>
              <w:jc w:val="center"/>
            </w:pPr>
            <w:r>
              <w:rPr>
                <w:sz w:val="24"/>
              </w:rPr>
              <w:t>300,493,761.55</w:t>
            </w:r>
          </w:p>
        </w:tc>
        <w:tc>
          <w:tcPr>
            <w:tcW w:w="1628" w:type="dxa"/>
            <w:vAlign w:val="center"/>
          </w:tcPr>
          <w:p w:rsidR="00A834B1" w:rsidRDefault="00B142EA">
            <w:pPr>
              <w:jc w:val="center"/>
            </w:pPr>
            <w:r>
              <w:rPr>
                <w:sz w:val="24"/>
              </w:rPr>
              <w:t>31.37%</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注：本报告期末除基金管理人之外的其他关联方未持有本基金。</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2019</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2019</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A834B1">
        <w:tc>
          <w:tcPr>
            <w:tcW w:w="1799" w:type="dxa"/>
            <w:vAlign w:val="center"/>
          </w:tcPr>
          <w:p w:rsidR="00A834B1" w:rsidRDefault="00B142EA">
            <w:pPr>
              <w:jc w:val="center"/>
            </w:pPr>
            <w:r>
              <w:rPr>
                <w:sz w:val="24"/>
              </w:rPr>
              <w:t>中国农业银行股份有限公司</w:t>
            </w:r>
          </w:p>
        </w:tc>
        <w:tc>
          <w:tcPr>
            <w:tcW w:w="1799" w:type="dxa"/>
            <w:vAlign w:val="center"/>
          </w:tcPr>
          <w:p w:rsidR="00A834B1" w:rsidRDefault="00B142EA">
            <w:pPr>
              <w:jc w:val="center"/>
            </w:pPr>
            <w:r>
              <w:rPr>
                <w:sz w:val="24"/>
              </w:rPr>
              <w:t>8,048,671.62</w:t>
            </w:r>
          </w:p>
        </w:tc>
        <w:tc>
          <w:tcPr>
            <w:tcW w:w="1800" w:type="dxa"/>
            <w:vAlign w:val="center"/>
          </w:tcPr>
          <w:p w:rsidR="00A834B1" w:rsidRDefault="00B142EA">
            <w:pPr>
              <w:jc w:val="center"/>
            </w:pPr>
            <w:r>
              <w:rPr>
                <w:sz w:val="24"/>
              </w:rPr>
              <w:t>10,739.59</w:t>
            </w:r>
          </w:p>
        </w:tc>
        <w:tc>
          <w:tcPr>
            <w:tcW w:w="1800" w:type="dxa"/>
            <w:vAlign w:val="center"/>
          </w:tcPr>
          <w:p w:rsidR="00A834B1" w:rsidRDefault="00B142EA">
            <w:pPr>
              <w:jc w:val="center"/>
            </w:pPr>
            <w:r>
              <w:rPr>
                <w:sz w:val="24"/>
              </w:rPr>
              <w:t>1,268,451.87</w:t>
            </w:r>
          </w:p>
        </w:tc>
        <w:tc>
          <w:tcPr>
            <w:tcW w:w="1800" w:type="dxa"/>
            <w:vAlign w:val="center"/>
          </w:tcPr>
          <w:p w:rsidR="00A834B1" w:rsidRDefault="00B142EA">
            <w:pPr>
              <w:jc w:val="center"/>
            </w:pPr>
            <w:r>
              <w:rPr>
                <w:sz w:val="24"/>
              </w:rPr>
              <w:t>154,006.37</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B54CAD" w:rsidRPr="00690ED2" w:rsidRDefault="00B54CAD" w:rsidP="00CC3C2D">
      <w:pPr>
        <w:adjustRightInd w:val="0"/>
        <w:snapToGrid w:val="0"/>
        <w:spacing w:beforeLines="100" w:before="312"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 </w:t>
      </w:r>
      <w:bookmarkStart w:id="14" w:name="OLE_LINK189"/>
      <w:bookmarkStart w:id="15" w:name="OLE_LINK7"/>
      <w:bookmarkStart w:id="16" w:name="OLE_LINK6"/>
      <w:r w:rsidRPr="00690ED2">
        <w:rPr>
          <w:rFonts w:eastAsiaTheme="minorEastAsia" w:hint="eastAsia"/>
          <w:b/>
          <w:color w:val="000000" w:themeColor="text1"/>
          <w:szCs w:val="21"/>
        </w:rPr>
        <w:t>其他关联交易事项的说明</w:t>
      </w:r>
      <w:bookmarkEnd w:id="14"/>
      <w:bookmarkEnd w:id="15"/>
      <w:bookmarkEnd w:id="16"/>
    </w:p>
    <w:p w:rsidR="00B54CAD" w:rsidRDefault="00B54CAD" w:rsidP="00B54CAD">
      <w:pPr>
        <w:widowControl/>
        <w:spacing w:line="360" w:lineRule="auto"/>
        <w:ind w:firstLineChars="200" w:firstLine="420"/>
        <w:rPr>
          <w:rFonts w:eastAsiaTheme="minorEastAsia"/>
          <w:color w:val="000000" w:themeColor="text1"/>
          <w:kern w:val="0"/>
          <w:szCs w:val="21"/>
        </w:rPr>
      </w:pPr>
      <w:r w:rsidRPr="00690ED2">
        <w:rPr>
          <w:rFonts w:eastAsiaTheme="minorEastAsia"/>
          <w:color w:val="000000" w:themeColor="text1"/>
          <w:kern w:val="0"/>
          <w:szCs w:val="21"/>
        </w:rPr>
        <w:t>本基金本报告期内及上年度可比期间无其他关联交易事项。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2019</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2019</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9,077,875.46</w:t>
      </w:r>
      <w:r w:rsidRPr="0061644B">
        <w:rPr>
          <w:color w:val="000000"/>
          <w:sz w:val="24"/>
        </w:rPr>
        <w:t>元，是以如下债券作为抵押：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A834B1">
        <w:tc>
          <w:tcPr>
            <w:tcW w:w="1493" w:type="dxa"/>
            <w:vAlign w:val="center"/>
          </w:tcPr>
          <w:p w:rsidR="00A834B1" w:rsidRDefault="00B142EA">
            <w:pPr>
              <w:jc w:val="center"/>
            </w:pPr>
            <w:r>
              <w:rPr>
                <w:kern w:val="0"/>
                <w:sz w:val="24"/>
              </w:rPr>
              <w:t>111921204</w:t>
            </w:r>
          </w:p>
        </w:tc>
        <w:tc>
          <w:tcPr>
            <w:tcW w:w="1494" w:type="dxa"/>
            <w:vAlign w:val="center"/>
          </w:tcPr>
          <w:p w:rsidR="00A834B1" w:rsidRDefault="00B142EA">
            <w:pPr>
              <w:jc w:val="center"/>
            </w:pPr>
            <w:r>
              <w:rPr>
                <w:kern w:val="0"/>
                <w:sz w:val="24"/>
              </w:rPr>
              <w:t>19</w:t>
            </w:r>
            <w:r>
              <w:rPr>
                <w:kern w:val="0"/>
                <w:sz w:val="24"/>
              </w:rPr>
              <w:t>渤海银行</w:t>
            </w:r>
            <w:r>
              <w:rPr>
                <w:kern w:val="0"/>
                <w:sz w:val="24"/>
              </w:rPr>
              <w:t>CD204</w:t>
            </w:r>
          </w:p>
        </w:tc>
        <w:tc>
          <w:tcPr>
            <w:tcW w:w="1494" w:type="dxa"/>
            <w:vAlign w:val="center"/>
          </w:tcPr>
          <w:p w:rsidR="00A834B1" w:rsidRDefault="00B142EA">
            <w:pPr>
              <w:jc w:val="center"/>
            </w:pPr>
            <w:r>
              <w:rPr>
                <w:kern w:val="0"/>
                <w:sz w:val="24"/>
              </w:rPr>
              <w:t>2019-07-01</w:t>
            </w:r>
          </w:p>
        </w:tc>
        <w:tc>
          <w:tcPr>
            <w:tcW w:w="1255" w:type="dxa"/>
            <w:vAlign w:val="center"/>
          </w:tcPr>
          <w:p w:rsidR="00A834B1" w:rsidRDefault="00B142EA">
            <w:pPr>
              <w:jc w:val="right"/>
            </w:pPr>
            <w:r>
              <w:rPr>
                <w:kern w:val="0"/>
                <w:sz w:val="24"/>
              </w:rPr>
              <w:t>99.44</w:t>
            </w:r>
          </w:p>
        </w:tc>
        <w:tc>
          <w:tcPr>
            <w:tcW w:w="1434" w:type="dxa"/>
            <w:vAlign w:val="center"/>
          </w:tcPr>
          <w:p w:rsidR="00A834B1" w:rsidRDefault="00B142EA">
            <w:pPr>
              <w:jc w:val="right"/>
            </w:pPr>
            <w:r>
              <w:rPr>
                <w:kern w:val="0"/>
                <w:sz w:val="24"/>
              </w:rPr>
              <w:t>102,000</w:t>
            </w:r>
          </w:p>
        </w:tc>
        <w:tc>
          <w:tcPr>
            <w:tcW w:w="1828" w:type="dxa"/>
            <w:vAlign w:val="center"/>
          </w:tcPr>
          <w:p w:rsidR="00A834B1" w:rsidRDefault="00B142EA">
            <w:pPr>
              <w:jc w:val="right"/>
            </w:pPr>
            <w:r>
              <w:rPr>
                <w:kern w:val="0"/>
                <w:sz w:val="24"/>
              </w:rPr>
              <w:t>10,142,880.00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102,000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10,142,880.00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17" w:name="_Toc331410101"/>
      <w:bookmarkStart w:id="18" w:name="_Toc225498272"/>
      <w:r w:rsidRPr="0061644B">
        <w:rPr>
          <w:b/>
          <w:bCs/>
          <w:szCs w:val="24"/>
          <w:lang w:val="en-US"/>
        </w:rPr>
        <w:t>7</w:t>
      </w:r>
      <w:r w:rsidR="006D141C" w:rsidRPr="0061644B">
        <w:rPr>
          <w:b/>
          <w:bCs/>
          <w:szCs w:val="24"/>
          <w:lang w:val="en-US"/>
        </w:rPr>
        <w:t>投资组合报告</w:t>
      </w:r>
      <w:bookmarkEnd w:id="17"/>
      <w:bookmarkEnd w:id="18"/>
    </w:p>
    <w:p w:rsidR="006D141C" w:rsidRPr="0061644B" w:rsidRDefault="006D141C" w:rsidP="00792A69">
      <w:pPr>
        <w:pStyle w:val="20"/>
        <w:spacing w:before="29" w:after="0" w:line="288" w:lineRule="auto"/>
        <w:rPr>
          <w:rFonts w:ascii="Times New Roman" w:hAnsi="Times New Roman" w:cs="Times New Roman"/>
          <w:kern w:val="0"/>
          <w:szCs w:val="24"/>
        </w:rPr>
      </w:pPr>
      <w:bookmarkStart w:id="19" w:name="_Toc331410102"/>
      <w:bookmarkStart w:id="20"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9"/>
      <w:bookmarkEnd w:id="20"/>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218,196,308.69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51.99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218,196,308.69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51.99</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92,000,258.00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21.92</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108,048,671.62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25.75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1,436,873.32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0.34</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419,682,111.63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1" w:name="_Toc331410103"/>
      <w:bookmarkStart w:id="22" w:name="_Toc225498274"/>
      <w:r w:rsidRPr="0061644B">
        <w:rPr>
          <w:rFonts w:ascii="Times New Roman" w:hAnsi="Times New Roman" w:cs="Times New Roman"/>
          <w:szCs w:val="24"/>
        </w:rPr>
        <w:t>7.2</w:t>
      </w:r>
      <w:bookmarkEnd w:id="21"/>
      <w:bookmarkEnd w:id="22"/>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4.2</w:t>
            </w:r>
            <w:r w:rsidR="00B142EA">
              <w:rPr>
                <w:sz w:val="24"/>
              </w:rPr>
              <w:t>9</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9,077,875.46</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2.26</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r w:rsidRPr="0061644B">
        <w:rPr>
          <w:kern w:val="0"/>
          <w:sz w:val="24"/>
        </w:rPr>
        <w:t xml:space="preserve"> </w:t>
      </w:r>
    </w:p>
    <w:p w:rsidR="006D141C" w:rsidRPr="0061644B" w:rsidRDefault="006D141C"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3" w:name="_Toc275523745"/>
      <w:r w:rsidRPr="0061644B">
        <w:rPr>
          <w:b/>
          <w:bCs/>
          <w:sz w:val="24"/>
        </w:rPr>
        <w:t>7.3</w:t>
      </w:r>
      <w:bookmarkEnd w:id="23"/>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83</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87</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11</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本基金本报告期内投资组合平均剩余期限未超过</w:t>
      </w:r>
      <w:r w:rsidRPr="00453908">
        <w:rPr>
          <w:rFonts w:eastAsiaTheme="minorEastAsia"/>
          <w:color w:val="000000" w:themeColor="text1"/>
          <w:sz w:val="24"/>
        </w:rPr>
        <w:t>120</w:t>
      </w:r>
      <w:r w:rsidRPr="00453908">
        <w:rPr>
          <w:rFonts w:eastAsiaTheme="minorEastAsia"/>
          <w:color w:val="000000" w:themeColor="text1"/>
          <w:sz w:val="24"/>
        </w:rPr>
        <w:t>天。</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44.80</w:t>
            </w:r>
          </w:p>
        </w:tc>
        <w:tc>
          <w:tcPr>
            <w:tcW w:w="2550" w:type="dxa"/>
            <w:vAlign w:val="center"/>
          </w:tcPr>
          <w:p w:rsidR="004339AD" w:rsidRPr="0061644B" w:rsidRDefault="004339AD" w:rsidP="00792A69">
            <w:pPr>
              <w:spacing w:before="29" w:line="288" w:lineRule="auto"/>
              <w:jc w:val="right"/>
              <w:rPr>
                <w:sz w:val="24"/>
              </w:rPr>
            </w:pPr>
            <w:r w:rsidRPr="0061644B">
              <w:rPr>
                <w:sz w:val="24"/>
              </w:rPr>
              <w:t>2.26</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34.73</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24.58</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104.11</w:t>
            </w:r>
          </w:p>
        </w:tc>
        <w:tc>
          <w:tcPr>
            <w:tcW w:w="2550" w:type="dxa"/>
            <w:vAlign w:val="center"/>
          </w:tcPr>
          <w:p w:rsidR="001E0231" w:rsidRPr="0061644B" w:rsidRDefault="001E0231" w:rsidP="00792A69">
            <w:pPr>
              <w:spacing w:before="29" w:line="288" w:lineRule="auto"/>
              <w:jc w:val="right"/>
              <w:rPr>
                <w:sz w:val="24"/>
              </w:rPr>
            </w:pPr>
            <w:r w:rsidRPr="0061644B">
              <w:rPr>
                <w:sz w:val="24"/>
              </w:rPr>
              <w:t>2.26</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本基金本报告期内投资组合平均剩余存续期限未超过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4" w:name="_Toc331410106"/>
      <w:bookmarkStart w:id="25"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4"/>
      <w:bookmarkEnd w:id="25"/>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30,029,679.35</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7.48</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30,029,679.35</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7.48</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10,000,133.41</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2.49</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178,166,495.93</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44.35</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218,196,308.69</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54.32</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7"/>
      <w:r w:rsidRPr="0061644B">
        <w:rPr>
          <w:rFonts w:ascii="Times New Roman" w:hAnsi="Times New Roman" w:cs="Times New Roman"/>
          <w:kern w:val="0"/>
          <w:szCs w:val="24"/>
        </w:rPr>
        <w:t>7.6</w:t>
      </w:r>
      <w:bookmarkEnd w:id="26"/>
      <w:r w:rsidR="003A0E36" w:rsidRPr="0061644B">
        <w:rPr>
          <w:rFonts w:ascii="Times New Roman" w:hAnsi="Times New Roman" w:cs="Times New Roman"/>
          <w:kern w:val="0"/>
          <w:szCs w:val="24"/>
        </w:rPr>
        <w:t>期末按摊余成本占基金资产净值比例大小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A834B1">
        <w:tc>
          <w:tcPr>
            <w:tcW w:w="778" w:type="dxa"/>
            <w:vAlign w:val="center"/>
          </w:tcPr>
          <w:p w:rsidR="00A834B1" w:rsidRDefault="00B142EA">
            <w:pPr>
              <w:jc w:val="center"/>
            </w:pPr>
            <w:r>
              <w:rPr>
                <w:sz w:val="24"/>
              </w:rPr>
              <w:t>1</w:t>
            </w:r>
          </w:p>
        </w:tc>
        <w:tc>
          <w:tcPr>
            <w:tcW w:w="1348" w:type="dxa"/>
            <w:vAlign w:val="center"/>
          </w:tcPr>
          <w:p w:rsidR="00A834B1" w:rsidRDefault="00B142EA">
            <w:pPr>
              <w:jc w:val="center"/>
            </w:pPr>
            <w:r>
              <w:rPr>
                <w:sz w:val="24"/>
              </w:rPr>
              <w:t>111914113</w:t>
            </w:r>
          </w:p>
        </w:tc>
        <w:tc>
          <w:tcPr>
            <w:tcW w:w="1787" w:type="dxa"/>
            <w:vAlign w:val="center"/>
          </w:tcPr>
          <w:p w:rsidR="00A834B1" w:rsidRDefault="00B142EA">
            <w:pPr>
              <w:jc w:val="center"/>
            </w:pPr>
            <w:r>
              <w:rPr>
                <w:sz w:val="24"/>
              </w:rPr>
              <w:t>19</w:t>
            </w:r>
            <w:r>
              <w:rPr>
                <w:sz w:val="24"/>
              </w:rPr>
              <w:t>江苏银行</w:t>
            </w:r>
            <w:r>
              <w:rPr>
                <w:sz w:val="24"/>
              </w:rPr>
              <w:t>CD113</w:t>
            </w:r>
          </w:p>
        </w:tc>
        <w:tc>
          <w:tcPr>
            <w:tcW w:w="1756" w:type="dxa"/>
            <w:vAlign w:val="center"/>
          </w:tcPr>
          <w:p w:rsidR="00A834B1" w:rsidRDefault="00B142EA">
            <w:pPr>
              <w:jc w:val="center"/>
            </w:pPr>
            <w:r>
              <w:rPr>
                <w:sz w:val="24"/>
              </w:rPr>
              <w:t>500,000</w:t>
            </w:r>
          </w:p>
        </w:tc>
        <w:tc>
          <w:tcPr>
            <w:tcW w:w="2008" w:type="dxa"/>
            <w:vAlign w:val="center"/>
          </w:tcPr>
          <w:p w:rsidR="00A834B1" w:rsidRDefault="00B142EA">
            <w:pPr>
              <w:jc w:val="center"/>
            </w:pPr>
            <w:r>
              <w:rPr>
                <w:sz w:val="24"/>
              </w:rPr>
              <w:t>48,882,319.03</w:t>
            </w:r>
          </w:p>
        </w:tc>
        <w:tc>
          <w:tcPr>
            <w:tcW w:w="1542" w:type="dxa"/>
            <w:vAlign w:val="center"/>
          </w:tcPr>
          <w:p w:rsidR="00A834B1" w:rsidRDefault="00B142EA">
            <w:pPr>
              <w:jc w:val="center"/>
            </w:pPr>
            <w:r>
              <w:rPr>
                <w:sz w:val="24"/>
              </w:rPr>
              <w:t>12.17</w:t>
            </w:r>
          </w:p>
        </w:tc>
      </w:tr>
      <w:tr w:rsidR="00A834B1">
        <w:tc>
          <w:tcPr>
            <w:tcW w:w="778" w:type="dxa"/>
            <w:vAlign w:val="center"/>
          </w:tcPr>
          <w:p w:rsidR="00A834B1" w:rsidRDefault="00B142EA">
            <w:pPr>
              <w:jc w:val="center"/>
            </w:pPr>
            <w:r>
              <w:rPr>
                <w:sz w:val="24"/>
              </w:rPr>
              <w:t>2</w:t>
            </w:r>
          </w:p>
        </w:tc>
        <w:tc>
          <w:tcPr>
            <w:tcW w:w="1348" w:type="dxa"/>
            <w:vAlign w:val="center"/>
          </w:tcPr>
          <w:p w:rsidR="00A834B1" w:rsidRDefault="00B142EA">
            <w:pPr>
              <w:jc w:val="center"/>
            </w:pPr>
            <w:r>
              <w:rPr>
                <w:sz w:val="24"/>
              </w:rPr>
              <w:t>111915245</w:t>
            </w:r>
          </w:p>
        </w:tc>
        <w:tc>
          <w:tcPr>
            <w:tcW w:w="1787" w:type="dxa"/>
            <w:vAlign w:val="center"/>
          </w:tcPr>
          <w:p w:rsidR="00A834B1" w:rsidRDefault="00B142EA">
            <w:pPr>
              <w:jc w:val="center"/>
            </w:pPr>
            <w:r>
              <w:rPr>
                <w:sz w:val="24"/>
              </w:rPr>
              <w:t>19</w:t>
            </w:r>
            <w:r>
              <w:rPr>
                <w:sz w:val="24"/>
              </w:rPr>
              <w:t>民生银行</w:t>
            </w:r>
            <w:r>
              <w:rPr>
                <w:sz w:val="24"/>
              </w:rPr>
              <w:t>CD245</w:t>
            </w:r>
          </w:p>
        </w:tc>
        <w:tc>
          <w:tcPr>
            <w:tcW w:w="1756" w:type="dxa"/>
            <w:vAlign w:val="center"/>
          </w:tcPr>
          <w:p w:rsidR="00A834B1" w:rsidRDefault="00B142EA">
            <w:pPr>
              <w:jc w:val="center"/>
            </w:pPr>
            <w:r>
              <w:rPr>
                <w:sz w:val="24"/>
              </w:rPr>
              <w:t>400,000</w:t>
            </w:r>
          </w:p>
        </w:tc>
        <w:tc>
          <w:tcPr>
            <w:tcW w:w="2008" w:type="dxa"/>
            <w:vAlign w:val="center"/>
          </w:tcPr>
          <w:p w:rsidR="00A834B1" w:rsidRDefault="00B142EA">
            <w:pPr>
              <w:jc w:val="center"/>
            </w:pPr>
            <w:r>
              <w:rPr>
                <w:sz w:val="24"/>
              </w:rPr>
              <w:t>39,758,133.13</w:t>
            </w:r>
          </w:p>
        </w:tc>
        <w:tc>
          <w:tcPr>
            <w:tcW w:w="1542" w:type="dxa"/>
            <w:vAlign w:val="center"/>
          </w:tcPr>
          <w:p w:rsidR="00A834B1" w:rsidRDefault="00B142EA">
            <w:pPr>
              <w:jc w:val="center"/>
            </w:pPr>
            <w:r>
              <w:rPr>
                <w:sz w:val="24"/>
              </w:rPr>
              <w:t>9.90</w:t>
            </w:r>
          </w:p>
        </w:tc>
      </w:tr>
      <w:tr w:rsidR="00A834B1">
        <w:tc>
          <w:tcPr>
            <w:tcW w:w="778" w:type="dxa"/>
            <w:vAlign w:val="center"/>
          </w:tcPr>
          <w:p w:rsidR="00A834B1" w:rsidRDefault="00B142EA">
            <w:pPr>
              <w:jc w:val="center"/>
            </w:pPr>
            <w:r>
              <w:rPr>
                <w:sz w:val="24"/>
              </w:rPr>
              <w:t>3</w:t>
            </w:r>
          </w:p>
        </w:tc>
        <w:tc>
          <w:tcPr>
            <w:tcW w:w="1348" w:type="dxa"/>
            <w:vAlign w:val="center"/>
          </w:tcPr>
          <w:p w:rsidR="00A834B1" w:rsidRDefault="00B142EA">
            <w:pPr>
              <w:jc w:val="center"/>
            </w:pPr>
            <w:r>
              <w:rPr>
                <w:sz w:val="24"/>
              </w:rPr>
              <w:t>111981163</w:t>
            </w:r>
          </w:p>
        </w:tc>
        <w:tc>
          <w:tcPr>
            <w:tcW w:w="1787" w:type="dxa"/>
            <w:vAlign w:val="center"/>
          </w:tcPr>
          <w:p w:rsidR="00A834B1" w:rsidRDefault="00B142EA">
            <w:pPr>
              <w:jc w:val="center"/>
            </w:pPr>
            <w:r>
              <w:rPr>
                <w:sz w:val="24"/>
              </w:rPr>
              <w:t>19</w:t>
            </w:r>
            <w:r>
              <w:rPr>
                <w:sz w:val="24"/>
              </w:rPr>
              <w:t>广州农村商业银行</w:t>
            </w:r>
            <w:r>
              <w:rPr>
                <w:sz w:val="24"/>
              </w:rPr>
              <w:t>CD079</w:t>
            </w:r>
          </w:p>
        </w:tc>
        <w:tc>
          <w:tcPr>
            <w:tcW w:w="1756" w:type="dxa"/>
            <w:vAlign w:val="center"/>
          </w:tcPr>
          <w:p w:rsidR="00A834B1" w:rsidRDefault="00B142EA">
            <w:pPr>
              <w:jc w:val="center"/>
            </w:pPr>
            <w:r>
              <w:rPr>
                <w:sz w:val="24"/>
              </w:rPr>
              <w:t>300,000</w:t>
            </w:r>
          </w:p>
        </w:tc>
        <w:tc>
          <w:tcPr>
            <w:tcW w:w="2008" w:type="dxa"/>
            <w:vAlign w:val="center"/>
          </w:tcPr>
          <w:p w:rsidR="00A834B1" w:rsidRDefault="00B142EA">
            <w:pPr>
              <w:jc w:val="center"/>
            </w:pPr>
            <w:r>
              <w:rPr>
                <w:sz w:val="24"/>
              </w:rPr>
              <w:t>29,948,866.30</w:t>
            </w:r>
          </w:p>
        </w:tc>
        <w:tc>
          <w:tcPr>
            <w:tcW w:w="1542" w:type="dxa"/>
            <w:vAlign w:val="center"/>
          </w:tcPr>
          <w:p w:rsidR="00A834B1" w:rsidRDefault="00B142EA">
            <w:pPr>
              <w:jc w:val="center"/>
            </w:pPr>
            <w:r>
              <w:rPr>
                <w:sz w:val="24"/>
              </w:rPr>
              <w:t>7.46</w:t>
            </w:r>
          </w:p>
        </w:tc>
      </w:tr>
      <w:tr w:rsidR="00A834B1">
        <w:tc>
          <w:tcPr>
            <w:tcW w:w="778" w:type="dxa"/>
            <w:vAlign w:val="center"/>
          </w:tcPr>
          <w:p w:rsidR="00A834B1" w:rsidRDefault="00B142EA">
            <w:pPr>
              <w:jc w:val="center"/>
            </w:pPr>
            <w:r>
              <w:rPr>
                <w:sz w:val="24"/>
              </w:rPr>
              <w:t>4</w:t>
            </w:r>
          </w:p>
        </w:tc>
        <w:tc>
          <w:tcPr>
            <w:tcW w:w="1348" w:type="dxa"/>
            <w:vAlign w:val="center"/>
          </w:tcPr>
          <w:p w:rsidR="00A834B1" w:rsidRDefault="00B142EA">
            <w:pPr>
              <w:jc w:val="center"/>
            </w:pPr>
            <w:r>
              <w:rPr>
                <w:sz w:val="24"/>
              </w:rPr>
              <w:t>180410</w:t>
            </w:r>
          </w:p>
        </w:tc>
        <w:tc>
          <w:tcPr>
            <w:tcW w:w="1787" w:type="dxa"/>
            <w:vAlign w:val="center"/>
          </w:tcPr>
          <w:p w:rsidR="00A834B1" w:rsidRDefault="00B142EA">
            <w:pPr>
              <w:jc w:val="center"/>
            </w:pPr>
            <w:r>
              <w:rPr>
                <w:sz w:val="24"/>
              </w:rPr>
              <w:t>18</w:t>
            </w:r>
            <w:r>
              <w:rPr>
                <w:sz w:val="24"/>
              </w:rPr>
              <w:t>农发</w:t>
            </w:r>
            <w:r>
              <w:rPr>
                <w:sz w:val="24"/>
              </w:rPr>
              <w:t>10</w:t>
            </w:r>
          </w:p>
        </w:tc>
        <w:tc>
          <w:tcPr>
            <w:tcW w:w="1756" w:type="dxa"/>
            <w:vAlign w:val="center"/>
          </w:tcPr>
          <w:p w:rsidR="00A834B1" w:rsidRDefault="00B142EA">
            <w:pPr>
              <w:jc w:val="center"/>
            </w:pPr>
            <w:r>
              <w:rPr>
                <w:sz w:val="24"/>
              </w:rPr>
              <w:t>200,000</w:t>
            </w:r>
          </w:p>
        </w:tc>
        <w:tc>
          <w:tcPr>
            <w:tcW w:w="2008" w:type="dxa"/>
            <w:vAlign w:val="center"/>
          </w:tcPr>
          <w:p w:rsidR="00A834B1" w:rsidRDefault="00B142EA">
            <w:pPr>
              <w:jc w:val="center"/>
            </w:pPr>
            <w:r>
              <w:rPr>
                <w:sz w:val="24"/>
              </w:rPr>
              <w:t>20,014,165.04</w:t>
            </w:r>
          </w:p>
        </w:tc>
        <w:tc>
          <w:tcPr>
            <w:tcW w:w="1542" w:type="dxa"/>
            <w:vAlign w:val="center"/>
          </w:tcPr>
          <w:p w:rsidR="00A834B1" w:rsidRDefault="00B142EA">
            <w:pPr>
              <w:jc w:val="center"/>
            </w:pPr>
            <w:r>
              <w:rPr>
                <w:sz w:val="24"/>
              </w:rPr>
              <w:t>4.98</w:t>
            </w:r>
          </w:p>
        </w:tc>
      </w:tr>
      <w:tr w:rsidR="00A834B1">
        <w:tc>
          <w:tcPr>
            <w:tcW w:w="778" w:type="dxa"/>
            <w:vAlign w:val="center"/>
          </w:tcPr>
          <w:p w:rsidR="00A834B1" w:rsidRDefault="00B142EA">
            <w:pPr>
              <w:jc w:val="center"/>
            </w:pPr>
            <w:r>
              <w:rPr>
                <w:sz w:val="24"/>
              </w:rPr>
              <w:t>5</w:t>
            </w:r>
          </w:p>
        </w:tc>
        <w:tc>
          <w:tcPr>
            <w:tcW w:w="1348" w:type="dxa"/>
            <w:vAlign w:val="center"/>
          </w:tcPr>
          <w:p w:rsidR="00A834B1" w:rsidRDefault="00B142EA">
            <w:pPr>
              <w:jc w:val="center"/>
            </w:pPr>
            <w:r>
              <w:rPr>
                <w:sz w:val="24"/>
              </w:rPr>
              <w:t>111913041</w:t>
            </w:r>
          </w:p>
        </w:tc>
        <w:tc>
          <w:tcPr>
            <w:tcW w:w="1787" w:type="dxa"/>
            <w:vAlign w:val="center"/>
          </w:tcPr>
          <w:p w:rsidR="00A834B1" w:rsidRDefault="00B142EA">
            <w:pPr>
              <w:jc w:val="center"/>
            </w:pPr>
            <w:r>
              <w:rPr>
                <w:sz w:val="24"/>
              </w:rPr>
              <w:t>19</w:t>
            </w:r>
            <w:r>
              <w:rPr>
                <w:sz w:val="24"/>
              </w:rPr>
              <w:t>浙商银行</w:t>
            </w:r>
            <w:r>
              <w:rPr>
                <w:sz w:val="24"/>
              </w:rPr>
              <w:t>CD041</w:t>
            </w:r>
          </w:p>
        </w:tc>
        <w:tc>
          <w:tcPr>
            <w:tcW w:w="1756" w:type="dxa"/>
            <w:vAlign w:val="center"/>
          </w:tcPr>
          <w:p w:rsidR="00A834B1" w:rsidRDefault="00B142EA">
            <w:pPr>
              <w:jc w:val="center"/>
            </w:pPr>
            <w:r>
              <w:rPr>
                <w:sz w:val="24"/>
              </w:rPr>
              <w:t>200,000</w:t>
            </w:r>
          </w:p>
        </w:tc>
        <w:tc>
          <w:tcPr>
            <w:tcW w:w="2008" w:type="dxa"/>
            <w:vAlign w:val="center"/>
          </w:tcPr>
          <w:p w:rsidR="00A834B1" w:rsidRDefault="00B142EA">
            <w:pPr>
              <w:jc w:val="center"/>
            </w:pPr>
            <w:r>
              <w:rPr>
                <w:sz w:val="24"/>
              </w:rPr>
              <w:t>19,870,919.88</w:t>
            </w:r>
          </w:p>
        </w:tc>
        <w:tc>
          <w:tcPr>
            <w:tcW w:w="1542" w:type="dxa"/>
            <w:vAlign w:val="center"/>
          </w:tcPr>
          <w:p w:rsidR="00A834B1" w:rsidRDefault="00B142EA">
            <w:pPr>
              <w:jc w:val="center"/>
            </w:pPr>
            <w:r>
              <w:rPr>
                <w:sz w:val="24"/>
              </w:rPr>
              <w:t>4.95</w:t>
            </w:r>
          </w:p>
        </w:tc>
      </w:tr>
      <w:tr w:rsidR="00A834B1">
        <w:tc>
          <w:tcPr>
            <w:tcW w:w="778" w:type="dxa"/>
            <w:vAlign w:val="center"/>
          </w:tcPr>
          <w:p w:rsidR="00A834B1" w:rsidRDefault="00B142EA">
            <w:pPr>
              <w:jc w:val="center"/>
            </w:pPr>
            <w:r>
              <w:rPr>
                <w:sz w:val="24"/>
              </w:rPr>
              <w:t>6</w:t>
            </w:r>
          </w:p>
        </w:tc>
        <w:tc>
          <w:tcPr>
            <w:tcW w:w="1348" w:type="dxa"/>
            <w:vAlign w:val="center"/>
          </w:tcPr>
          <w:p w:rsidR="00A834B1" w:rsidRDefault="00B142EA">
            <w:pPr>
              <w:jc w:val="center"/>
            </w:pPr>
            <w:r>
              <w:rPr>
                <w:sz w:val="24"/>
              </w:rPr>
              <w:t>111921204</w:t>
            </w:r>
          </w:p>
        </w:tc>
        <w:tc>
          <w:tcPr>
            <w:tcW w:w="1787" w:type="dxa"/>
            <w:vAlign w:val="center"/>
          </w:tcPr>
          <w:p w:rsidR="00A834B1" w:rsidRDefault="00B142EA">
            <w:pPr>
              <w:jc w:val="center"/>
            </w:pPr>
            <w:r>
              <w:rPr>
                <w:sz w:val="24"/>
              </w:rPr>
              <w:t>19</w:t>
            </w:r>
            <w:r>
              <w:rPr>
                <w:sz w:val="24"/>
              </w:rPr>
              <w:t>渤海银行</w:t>
            </w:r>
            <w:r>
              <w:rPr>
                <w:sz w:val="24"/>
              </w:rPr>
              <w:t>CD204</w:t>
            </w:r>
          </w:p>
        </w:tc>
        <w:tc>
          <w:tcPr>
            <w:tcW w:w="1756" w:type="dxa"/>
            <w:vAlign w:val="center"/>
          </w:tcPr>
          <w:p w:rsidR="00A834B1" w:rsidRDefault="00B142EA">
            <w:pPr>
              <w:jc w:val="center"/>
            </w:pPr>
            <w:r>
              <w:rPr>
                <w:sz w:val="24"/>
              </w:rPr>
              <w:t>200,000</w:t>
            </w:r>
          </w:p>
        </w:tc>
        <w:tc>
          <w:tcPr>
            <w:tcW w:w="2008" w:type="dxa"/>
            <w:vAlign w:val="center"/>
          </w:tcPr>
          <w:p w:rsidR="00A834B1" w:rsidRDefault="00B142EA">
            <w:pPr>
              <w:jc w:val="center"/>
            </w:pPr>
            <w:r>
              <w:rPr>
                <w:sz w:val="24"/>
              </w:rPr>
              <w:t>19,865,462.44</w:t>
            </w:r>
          </w:p>
        </w:tc>
        <w:tc>
          <w:tcPr>
            <w:tcW w:w="1542" w:type="dxa"/>
            <w:vAlign w:val="center"/>
          </w:tcPr>
          <w:p w:rsidR="00A834B1" w:rsidRDefault="00B142EA">
            <w:pPr>
              <w:jc w:val="center"/>
            </w:pPr>
            <w:r>
              <w:rPr>
                <w:sz w:val="24"/>
              </w:rPr>
              <w:t>4.95</w:t>
            </w:r>
          </w:p>
        </w:tc>
      </w:tr>
      <w:tr w:rsidR="00A834B1">
        <w:tc>
          <w:tcPr>
            <w:tcW w:w="778" w:type="dxa"/>
            <w:vAlign w:val="center"/>
          </w:tcPr>
          <w:p w:rsidR="00A834B1" w:rsidRDefault="00B142EA">
            <w:pPr>
              <w:jc w:val="center"/>
            </w:pPr>
            <w:r>
              <w:rPr>
                <w:sz w:val="24"/>
              </w:rPr>
              <w:t>7</w:t>
            </w:r>
          </w:p>
        </w:tc>
        <w:tc>
          <w:tcPr>
            <w:tcW w:w="1348" w:type="dxa"/>
            <w:vAlign w:val="center"/>
          </w:tcPr>
          <w:p w:rsidR="00A834B1" w:rsidRDefault="00B142EA">
            <w:pPr>
              <w:jc w:val="center"/>
            </w:pPr>
            <w:r>
              <w:rPr>
                <w:sz w:val="24"/>
              </w:rPr>
              <w:t>180312</w:t>
            </w:r>
          </w:p>
        </w:tc>
        <w:tc>
          <w:tcPr>
            <w:tcW w:w="1787" w:type="dxa"/>
            <w:vAlign w:val="center"/>
          </w:tcPr>
          <w:p w:rsidR="00A834B1" w:rsidRDefault="00B142EA">
            <w:pPr>
              <w:jc w:val="center"/>
            </w:pPr>
            <w:r>
              <w:rPr>
                <w:sz w:val="24"/>
              </w:rPr>
              <w:t>18</w:t>
            </w:r>
            <w:r>
              <w:rPr>
                <w:sz w:val="24"/>
              </w:rPr>
              <w:t>进出</w:t>
            </w:r>
            <w:r>
              <w:rPr>
                <w:sz w:val="24"/>
              </w:rPr>
              <w:t>12</w:t>
            </w:r>
          </w:p>
        </w:tc>
        <w:tc>
          <w:tcPr>
            <w:tcW w:w="1756" w:type="dxa"/>
            <w:vAlign w:val="center"/>
          </w:tcPr>
          <w:p w:rsidR="00A834B1" w:rsidRDefault="00B142EA">
            <w:pPr>
              <w:jc w:val="center"/>
            </w:pPr>
            <w:r>
              <w:rPr>
                <w:sz w:val="24"/>
              </w:rPr>
              <w:t>100,000</w:t>
            </w:r>
          </w:p>
        </w:tc>
        <w:tc>
          <w:tcPr>
            <w:tcW w:w="2008" w:type="dxa"/>
            <w:vAlign w:val="center"/>
          </w:tcPr>
          <w:p w:rsidR="00A834B1" w:rsidRDefault="00B142EA">
            <w:pPr>
              <w:jc w:val="center"/>
            </w:pPr>
            <w:r>
              <w:rPr>
                <w:sz w:val="24"/>
              </w:rPr>
              <w:t>10,015,514.31</w:t>
            </w:r>
          </w:p>
        </w:tc>
        <w:tc>
          <w:tcPr>
            <w:tcW w:w="1542" w:type="dxa"/>
            <w:vAlign w:val="center"/>
          </w:tcPr>
          <w:p w:rsidR="00A834B1" w:rsidRDefault="00B142EA">
            <w:pPr>
              <w:jc w:val="center"/>
            </w:pPr>
            <w:r>
              <w:rPr>
                <w:sz w:val="24"/>
              </w:rPr>
              <w:t>2.49</w:t>
            </w:r>
          </w:p>
        </w:tc>
      </w:tr>
      <w:tr w:rsidR="00A834B1">
        <w:tc>
          <w:tcPr>
            <w:tcW w:w="778" w:type="dxa"/>
            <w:vAlign w:val="center"/>
          </w:tcPr>
          <w:p w:rsidR="00A834B1" w:rsidRDefault="00B142EA">
            <w:pPr>
              <w:jc w:val="center"/>
            </w:pPr>
            <w:r>
              <w:rPr>
                <w:sz w:val="24"/>
              </w:rPr>
              <w:t>8</w:t>
            </w:r>
          </w:p>
        </w:tc>
        <w:tc>
          <w:tcPr>
            <w:tcW w:w="1348" w:type="dxa"/>
            <w:vAlign w:val="center"/>
          </w:tcPr>
          <w:p w:rsidR="00A834B1" w:rsidRDefault="00B142EA">
            <w:pPr>
              <w:jc w:val="center"/>
            </w:pPr>
            <w:r>
              <w:rPr>
                <w:sz w:val="24"/>
              </w:rPr>
              <w:t>071900053</w:t>
            </w:r>
          </w:p>
        </w:tc>
        <w:tc>
          <w:tcPr>
            <w:tcW w:w="1787" w:type="dxa"/>
            <w:vAlign w:val="center"/>
          </w:tcPr>
          <w:p w:rsidR="00A834B1" w:rsidRDefault="00B142EA">
            <w:pPr>
              <w:jc w:val="center"/>
            </w:pPr>
            <w:r>
              <w:rPr>
                <w:sz w:val="24"/>
              </w:rPr>
              <w:t>19</w:t>
            </w:r>
            <w:r>
              <w:rPr>
                <w:sz w:val="24"/>
              </w:rPr>
              <w:t>招商</w:t>
            </w:r>
            <w:r>
              <w:rPr>
                <w:sz w:val="24"/>
              </w:rPr>
              <w:t>CP006</w:t>
            </w:r>
          </w:p>
        </w:tc>
        <w:tc>
          <w:tcPr>
            <w:tcW w:w="1756" w:type="dxa"/>
            <w:vAlign w:val="center"/>
          </w:tcPr>
          <w:p w:rsidR="00A834B1" w:rsidRDefault="00B142EA">
            <w:pPr>
              <w:jc w:val="center"/>
            </w:pPr>
            <w:r>
              <w:rPr>
                <w:sz w:val="24"/>
              </w:rPr>
              <w:t>100,000</w:t>
            </w:r>
          </w:p>
        </w:tc>
        <w:tc>
          <w:tcPr>
            <w:tcW w:w="2008" w:type="dxa"/>
            <w:vAlign w:val="center"/>
          </w:tcPr>
          <w:p w:rsidR="00A834B1" w:rsidRDefault="00B142EA">
            <w:pPr>
              <w:jc w:val="center"/>
            </w:pPr>
            <w:r>
              <w:rPr>
                <w:sz w:val="24"/>
              </w:rPr>
              <w:t>10,000,133.41</w:t>
            </w:r>
          </w:p>
        </w:tc>
        <w:tc>
          <w:tcPr>
            <w:tcW w:w="1542" w:type="dxa"/>
            <w:vAlign w:val="center"/>
          </w:tcPr>
          <w:p w:rsidR="00A834B1" w:rsidRDefault="00B142EA">
            <w:pPr>
              <w:jc w:val="center"/>
            </w:pPr>
            <w:r>
              <w:rPr>
                <w:sz w:val="24"/>
              </w:rPr>
              <w:t>2.49</w:t>
            </w:r>
          </w:p>
        </w:tc>
      </w:tr>
      <w:tr w:rsidR="00A834B1">
        <w:tc>
          <w:tcPr>
            <w:tcW w:w="778" w:type="dxa"/>
            <w:vAlign w:val="center"/>
          </w:tcPr>
          <w:p w:rsidR="00A834B1" w:rsidRDefault="00B142EA">
            <w:pPr>
              <w:jc w:val="center"/>
            </w:pPr>
            <w:r>
              <w:rPr>
                <w:sz w:val="24"/>
              </w:rPr>
              <w:t>9</w:t>
            </w:r>
          </w:p>
        </w:tc>
        <w:tc>
          <w:tcPr>
            <w:tcW w:w="1348" w:type="dxa"/>
            <w:vAlign w:val="center"/>
          </w:tcPr>
          <w:p w:rsidR="00A834B1" w:rsidRDefault="00B142EA">
            <w:pPr>
              <w:jc w:val="center"/>
            </w:pPr>
            <w:r>
              <w:rPr>
                <w:sz w:val="24"/>
              </w:rPr>
              <w:t>111981038</w:t>
            </w:r>
          </w:p>
        </w:tc>
        <w:tc>
          <w:tcPr>
            <w:tcW w:w="1787" w:type="dxa"/>
            <w:vAlign w:val="center"/>
          </w:tcPr>
          <w:p w:rsidR="00A834B1" w:rsidRDefault="00B142EA">
            <w:pPr>
              <w:jc w:val="center"/>
            </w:pPr>
            <w:r>
              <w:rPr>
                <w:sz w:val="24"/>
              </w:rPr>
              <w:t>19</w:t>
            </w:r>
            <w:r>
              <w:rPr>
                <w:sz w:val="24"/>
              </w:rPr>
              <w:t>北京农商银行</w:t>
            </w:r>
            <w:r>
              <w:rPr>
                <w:sz w:val="24"/>
              </w:rPr>
              <w:t>CD111</w:t>
            </w:r>
          </w:p>
        </w:tc>
        <w:tc>
          <w:tcPr>
            <w:tcW w:w="1756" w:type="dxa"/>
            <w:vAlign w:val="center"/>
          </w:tcPr>
          <w:p w:rsidR="00A834B1" w:rsidRDefault="00B142EA">
            <w:pPr>
              <w:jc w:val="center"/>
            </w:pPr>
            <w:r>
              <w:rPr>
                <w:sz w:val="24"/>
              </w:rPr>
              <w:t>100,000</w:t>
            </w:r>
          </w:p>
        </w:tc>
        <w:tc>
          <w:tcPr>
            <w:tcW w:w="2008" w:type="dxa"/>
            <w:vAlign w:val="center"/>
          </w:tcPr>
          <w:p w:rsidR="00A834B1" w:rsidRDefault="00B142EA">
            <w:pPr>
              <w:jc w:val="center"/>
            </w:pPr>
            <w:r>
              <w:rPr>
                <w:sz w:val="24"/>
              </w:rPr>
              <w:t>9,983,764.71</w:t>
            </w:r>
          </w:p>
        </w:tc>
        <w:tc>
          <w:tcPr>
            <w:tcW w:w="1542" w:type="dxa"/>
            <w:vAlign w:val="center"/>
          </w:tcPr>
          <w:p w:rsidR="00A834B1" w:rsidRDefault="00B142EA">
            <w:pPr>
              <w:jc w:val="center"/>
            </w:pPr>
            <w:r>
              <w:rPr>
                <w:sz w:val="24"/>
              </w:rPr>
              <w:t>2.49</w:t>
            </w:r>
          </w:p>
        </w:tc>
      </w:tr>
      <w:tr w:rsidR="00A834B1">
        <w:tc>
          <w:tcPr>
            <w:tcW w:w="778" w:type="dxa"/>
            <w:vAlign w:val="center"/>
          </w:tcPr>
          <w:p w:rsidR="00A834B1" w:rsidRDefault="00B142EA">
            <w:pPr>
              <w:jc w:val="center"/>
            </w:pPr>
            <w:r>
              <w:rPr>
                <w:sz w:val="24"/>
              </w:rPr>
              <w:t>10</w:t>
            </w:r>
          </w:p>
        </w:tc>
        <w:tc>
          <w:tcPr>
            <w:tcW w:w="1348" w:type="dxa"/>
            <w:vAlign w:val="center"/>
          </w:tcPr>
          <w:p w:rsidR="00A834B1" w:rsidRDefault="00B142EA">
            <w:pPr>
              <w:jc w:val="center"/>
            </w:pPr>
            <w:r>
              <w:rPr>
                <w:sz w:val="24"/>
              </w:rPr>
              <w:t>111981032</w:t>
            </w:r>
          </w:p>
        </w:tc>
        <w:tc>
          <w:tcPr>
            <w:tcW w:w="1787" w:type="dxa"/>
            <w:vAlign w:val="center"/>
          </w:tcPr>
          <w:p w:rsidR="00A834B1" w:rsidRDefault="00B142EA">
            <w:pPr>
              <w:jc w:val="center"/>
            </w:pPr>
            <w:r>
              <w:rPr>
                <w:sz w:val="24"/>
              </w:rPr>
              <w:t>19</w:t>
            </w:r>
            <w:r>
              <w:rPr>
                <w:sz w:val="24"/>
              </w:rPr>
              <w:t>甘肃银行</w:t>
            </w:r>
            <w:r>
              <w:rPr>
                <w:sz w:val="24"/>
              </w:rPr>
              <w:t>CD050</w:t>
            </w:r>
          </w:p>
        </w:tc>
        <w:tc>
          <w:tcPr>
            <w:tcW w:w="1756" w:type="dxa"/>
            <w:vAlign w:val="center"/>
          </w:tcPr>
          <w:p w:rsidR="00A834B1" w:rsidRDefault="00B142EA">
            <w:pPr>
              <w:jc w:val="center"/>
            </w:pPr>
            <w:r>
              <w:rPr>
                <w:sz w:val="24"/>
              </w:rPr>
              <w:t>100,000</w:t>
            </w:r>
          </w:p>
        </w:tc>
        <w:tc>
          <w:tcPr>
            <w:tcW w:w="2008" w:type="dxa"/>
            <w:vAlign w:val="center"/>
          </w:tcPr>
          <w:p w:rsidR="00A834B1" w:rsidRDefault="00B142EA">
            <w:pPr>
              <w:jc w:val="center"/>
            </w:pPr>
            <w:r>
              <w:rPr>
                <w:sz w:val="24"/>
              </w:rPr>
              <w:t>9,857,030.44</w:t>
            </w:r>
          </w:p>
        </w:tc>
        <w:tc>
          <w:tcPr>
            <w:tcW w:w="1542" w:type="dxa"/>
            <w:vAlign w:val="center"/>
          </w:tcPr>
          <w:p w:rsidR="00A834B1" w:rsidRDefault="00B142EA">
            <w:pPr>
              <w:jc w:val="center"/>
            </w:pPr>
            <w:r>
              <w:rPr>
                <w:sz w:val="24"/>
              </w:rPr>
              <w:t>2.45</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8"/>
      <w:r w:rsidRPr="0061644B">
        <w:rPr>
          <w:rFonts w:ascii="Times New Roman" w:hAnsi="Times New Roman" w:cs="Times New Roman"/>
          <w:kern w:val="0"/>
          <w:szCs w:val="24"/>
        </w:rPr>
        <w:t>7.7</w:t>
      </w:r>
      <w:bookmarkEnd w:id="27"/>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0.0261%</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-0.0130%</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0.0089%</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9"/>
      <w:r w:rsidRPr="0061644B">
        <w:rPr>
          <w:rFonts w:ascii="Times New Roman" w:hAnsi="Times New Roman" w:cs="Times New Roman"/>
          <w:kern w:val="0"/>
          <w:szCs w:val="24"/>
        </w:rPr>
        <w:t>7.8</w:t>
      </w:r>
      <w:bookmarkEnd w:id="28"/>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报告期内本基金投资的前十名证券的发行主体除</w:t>
      </w:r>
      <w:r w:rsidRPr="002801CE">
        <w:rPr>
          <w:sz w:val="24"/>
        </w:rPr>
        <w:t>19</w:t>
      </w:r>
      <w:r w:rsidRPr="002801CE">
        <w:rPr>
          <w:sz w:val="24"/>
        </w:rPr>
        <w:t>民生银行</w:t>
      </w:r>
      <w:r w:rsidRPr="002801CE">
        <w:rPr>
          <w:sz w:val="24"/>
        </w:rPr>
        <w:t>CD245</w:t>
      </w:r>
      <w:r w:rsidRPr="002801CE">
        <w:rPr>
          <w:sz w:val="24"/>
        </w:rPr>
        <w:t>（证券代码：</w:t>
      </w:r>
      <w:r w:rsidRPr="002801CE">
        <w:rPr>
          <w:sz w:val="24"/>
        </w:rPr>
        <w:t>111915245</w:t>
      </w:r>
      <w:r w:rsidRPr="002801CE">
        <w:rPr>
          <w:sz w:val="24"/>
        </w:rPr>
        <w:t>）、</w:t>
      </w:r>
      <w:r w:rsidRPr="002801CE">
        <w:rPr>
          <w:sz w:val="24"/>
        </w:rPr>
        <w:t>19</w:t>
      </w:r>
      <w:r w:rsidRPr="002801CE">
        <w:rPr>
          <w:sz w:val="24"/>
        </w:rPr>
        <w:t>招商</w:t>
      </w:r>
      <w:r w:rsidRPr="002801CE">
        <w:rPr>
          <w:sz w:val="24"/>
        </w:rPr>
        <w:t>CP006</w:t>
      </w:r>
      <w:r w:rsidRPr="002801CE">
        <w:rPr>
          <w:sz w:val="24"/>
        </w:rPr>
        <w:t>（证券代码：</w:t>
      </w:r>
      <w:r w:rsidRPr="002801CE">
        <w:rPr>
          <w:sz w:val="24"/>
        </w:rPr>
        <w:t>071900053</w:t>
      </w:r>
      <w:r w:rsidRPr="002801CE">
        <w:rPr>
          <w:sz w:val="24"/>
        </w:rPr>
        <w:t>）外，未出现被监管部门立案调查，或在报告编制日前一年内受到公开谴责、处罚的情形。</w:t>
      </w:r>
    </w:p>
    <w:p w:rsidR="00A834B1" w:rsidRDefault="00B142EA">
      <w:pPr>
        <w:spacing w:line="360" w:lineRule="auto"/>
        <w:rPr>
          <w:bCs/>
          <w:sz w:val="24"/>
        </w:rPr>
      </w:pPr>
      <w:r>
        <w:rPr>
          <w:sz w:val="24"/>
        </w:rPr>
        <w:t>报告期内本基金投资的前十名证券之一</w:t>
      </w:r>
      <w:r>
        <w:rPr>
          <w:sz w:val="24"/>
        </w:rPr>
        <w:t>19</w:t>
      </w:r>
      <w:r>
        <w:rPr>
          <w:sz w:val="24"/>
        </w:rPr>
        <w:t>民生银行</w:t>
      </w:r>
      <w:r>
        <w:rPr>
          <w:sz w:val="24"/>
        </w:rPr>
        <w:t>CD245</w:t>
      </w:r>
      <w:r>
        <w:rPr>
          <w:sz w:val="24"/>
        </w:rPr>
        <w:t>（证券代码：</w:t>
      </w:r>
      <w:r>
        <w:rPr>
          <w:sz w:val="24"/>
        </w:rPr>
        <w:t>111915245</w:t>
      </w:r>
      <w:r>
        <w:rPr>
          <w:sz w:val="24"/>
        </w:rPr>
        <w:t>）的发行主体民生银行，根据银保监会</w:t>
      </w:r>
      <w:r>
        <w:rPr>
          <w:sz w:val="24"/>
        </w:rPr>
        <w:t>2018</w:t>
      </w:r>
      <w:r>
        <w:rPr>
          <w:sz w:val="24"/>
        </w:rPr>
        <w:t>年</w:t>
      </w:r>
      <w:r>
        <w:rPr>
          <w:sz w:val="24"/>
        </w:rPr>
        <w:t>12</w:t>
      </w:r>
      <w:r>
        <w:rPr>
          <w:sz w:val="24"/>
        </w:rPr>
        <w:t>月</w:t>
      </w:r>
      <w:r>
        <w:rPr>
          <w:sz w:val="24"/>
        </w:rPr>
        <w:t>7</w:t>
      </w:r>
      <w:r>
        <w:rPr>
          <w:sz w:val="24"/>
        </w:rPr>
        <w:t>日公布的《中国银行保险监督管理委员会行政处罚信息公开表</w:t>
      </w:r>
      <w:r>
        <w:rPr>
          <w:sz w:val="24"/>
        </w:rPr>
        <w:t>(</w:t>
      </w:r>
      <w:r>
        <w:rPr>
          <w:sz w:val="24"/>
        </w:rPr>
        <w:t>银保监银罚决字〔</w:t>
      </w:r>
      <w:r>
        <w:rPr>
          <w:sz w:val="24"/>
        </w:rPr>
        <w:t>2018</w:t>
      </w:r>
      <w:r>
        <w:rPr>
          <w:sz w:val="24"/>
        </w:rPr>
        <w:t>〕</w:t>
      </w:r>
      <w:r>
        <w:rPr>
          <w:sz w:val="24"/>
        </w:rPr>
        <w:t>5</w:t>
      </w:r>
      <w:r>
        <w:rPr>
          <w:sz w:val="24"/>
        </w:rPr>
        <w:t>号</w:t>
      </w:r>
      <w:r>
        <w:rPr>
          <w:sz w:val="24"/>
        </w:rPr>
        <w:t>)</w:t>
      </w:r>
      <w:r>
        <w:rPr>
          <w:sz w:val="24"/>
        </w:rPr>
        <w:t>》，因存在贷款业务严重违反审慎经营规则等违法违规事实，被中国银行保险监督管理委员会处以行政处罚，罚款</w:t>
      </w:r>
      <w:r>
        <w:rPr>
          <w:sz w:val="24"/>
        </w:rPr>
        <w:t>200</w:t>
      </w:r>
      <w:r>
        <w:rPr>
          <w:sz w:val="24"/>
        </w:rPr>
        <w:t>万元；根据银保监会</w:t>
      </w:r>
      <w:r>
        <w:rPr>
          <w:sz w:val="24"/>
        </w:rPr>
        <w:t>2018</w:t>
      </w:r>
      <w:r>
        <w:rPr>
          <w:sz w:val="24"/>
        </w:rPr>
        <w:t>年</w:t>
      </w:r>
      <w:r>
        <w:rPr>
          <w:sz w:val="24"/>
        </w:rPr>
        <w:t>12</w:t>
      </w:r>
      <w:r>
        <w:rPr>
          <w:sz w:val="24"/>
        </w:rPr>
        <w:t>月</w:t>
      </w:r>
      <w:r>
        <w:rPr>
          <w:sz w:val="24"/>
        </w:rPr>
        <w:t>7</w:t>
      </w:r>
      <w:r>
        <w:rPr>
          <w:sz w:val="24"/>
        </w:rPr>
        <w:t>日公布的《中国银行保险监督管理委员会行政处罚信息公开表</w:t>
      </w:r>
      <w:r>
        <w:rPr>
          <w:sz w:val="24"/>
        </w:rPr>
        <w:t>(</w:t>
      </w:r>
      <w:r>
        <w:rPr>
          <w:sz w:val="24"/>
        </w:rPr>
        <w:t>银保监银罚决字〔</w:t>
      </w:r>
      <w:r>
        <w:rPr>
          <w:sz w:val="24"/>
        </w:rPr>
        <w:t>2018</w:t>
      </w:r>
      <w:r>
        <w:rPr>
          <w:sz w:val="24"/>
        </w:rPr>
        <w:t>〕</w:t>
      </w:r>
      <w:r>
        <w:rPr>
          <w:sz w:val="24"/>
        </w:rPr>
        <w:t>8</w:t>
      </w:r>
      <w:r>
        <w:rPr>
          <w:sz w:val="24"/>
        </w:rPr>
        <w:t>号</w:t>
      </w:r>
      <w:r>
        <w:rPr>
          <w:sz w:val="24"/>
        </w:rPr>
        <w:t>)</w:t>
      </w:r>
      <w:r>
        <w:rPr>
          <w:sz w:val="24"/>
        </w:rPr>
        <w:t>》，因存在内控管理严重违反审慎经营规则、同业投资违规接受担保、同业投资、理财资金违规投资房地产，用于缴交或置换土地出让金及土地储备融资、本行理财产品之间风险隔离不到位、个人理财资金违规投资、票据代理未明示，增信未簿记和计提资本占用、为非保本理财产品提供保本承诺等违法违规事实，被中国银行保险监督管理委员会处以行政处罚，罚款</w:t>
      </w:r>
      <w:r>
        <w:rPr>
          <w:sz w:val="24"/>
        </w:rPr>
        <w:t>3160</w:t>
      </w:r>
      <w:r>
        <w:rPr>
          <w:sz w:val="24"/>
        </w:rPr>
        <w:t>万元。</w:t>
      </w:r>
    </w:p>
    <w:p w:rsidR="00A834B1" w:rsidRDefault="00B142EA">
      <w:pPr>
        <w:spacing w:line="360" w:lineRule="auto"/>
        <w:rPr>
          <w:bCs/>
          <w:sz w:val="24"/>
        </w:rPr>
      </w:pPr>
      <w:r>
        <w:rPr>
          <w:sz w:val="24"/>
        </w:rPr>
        <w:t>报告期内本基金投资的前十名证券之一</w:t>
      </w:r>
      <w:r>
        <w:rPr>
          <w:sz w:val="24"/>
        </w:rPr>
        <w:t>19</w:t>
      </w:r>
      <w:r>
        <w:rPr>
          <w:sz w:val="24"/>
        </w:rPr>
        <w:t>招商</w:t>
      </w:r>
      <w:r>
        <w:rPr>
          <w:sz w:val="24"/>
        </w:rPr>
        <w:t>CP006</w:t>
      </w:r>
      <w:r>
        <w:rPr>
          <w:sz w:val="24"/>
        </w:rPr>
        <w:t>（证券代码：</w:t>
      </w:r>
      <w:r>
        <w:rPr>
          <w:sz w:val="24"/>
        </w:rPr>
        <w:t>071900053</w:t>
      </w:r>
      <w:r>
        <w:rPr>
          <w:sz w:val="24"/>
        </w:rPr>
        <w:t>）的发行主体招商证券于</w:t>
      </w:r>
      <w:r>
        <w:rPr>
          <w:sz w:val="24"/>
        </w:rPr>
        <w:t>2019</w:t>
      </w:r>
      <w:r>
        <w:rPr>
          <w:sz w:val="24"/>
        </w:rPr>
        <w:t>年</w:t>
      </w:r>
      <w:r>
        <w:rPr>
          <w:sz w:val="24"/>
        </w:rPr>
        <w:t>5</w:t>
      </w:r>
      <w:r>
        <w:rPr>
          <w:sz w:val="24"/>
        </w:rPr>
        <w:t>月</w:t>
      </w:r>
      <w:r>
        <w:rPr>
          <w:sz w:val="24"/>
        </w:rPr>
        <w:t>29</w:t>
      </w:r>
      <w:r>
        <w:rPr>
          <w:sz w:val="24"/>
        </w:rPr>
        <w:t>日公告，因全资子公司招商证券（香港）有限公司在担任中国金属再生资源（控股）有限公司上市申请的联席保荐人时（</w:t>
      </w:r>
      <w:r>
        <w:rPr>
          <w:sz w:val="24"/>
        </w:rPr>
        <w:t>2008</w:t>
      </w:r>
      <w:r>
        <w:rPr>
          <w:sz w:val="24"/>
        </w:rPr>
        <w:t>年</w:t>
      </w:r>
      <w:r>
        <w:rPr>
          <w:sz w:val="24"/>
        </w:rPr>
        <w:t>11</w:t>
      </w:r>
      <w:r>
        <w:rPr>
          <w:sz w:val="24"/>
        </w:rPr>
        <w:t>月至</w:t>
      </w:r>
      <w:r>
        <w:rPr>
          <w:sz w:val="24"/>
        </w:rPr>
        <w:t>2009</w:t>
      </w:r>
      <w:r>
        <w:rPr>
          <w:sz w:val="24"/>
        </w:rPr>
        <w:t>年</w:t>
      </w:r>
      <w:r>
        <w:rPr>
          <w:sz w:val="24"/>
        </w:rPr>
        <w:t>6</w:t>
      </w:r>
      <w:r>
        <w:rPr>
          <w:sz w:val="24"/>
        </w:rPr>
        <w:t>月）没有履行其应尽的尽职审查责任，近日香港证券及期货事务监察委员会对招商证券（香港）有限公司采取纪律行动，包括处以罚款</w:t>
      </w:r>
      <w:r>
        <w:rPr>
          <w:sz w:val="24"/>
        </w:rPr>
        <w:t>2700</w:t>
      </w:r>
      <w:r>
        <w:rPr>
          <w:sz w:val="24"/>
        </w:rPr>
        <w:t>万元港币；公司于</w:t>
      </w:r>
      <w:r>
        <w:rPr>
          <w:sz w:val="24"/>
        </w:rPr>
        <w:t>2019</w:t>
      </w:r>
      <w:r>
        <w:rPr>
          <w:sz w:val="24"/>
        </w:rPr>
        <w:t>年</w:t>
      </w:r>
      <w:r>
        <w:rPr>
          <w:sz w:val="24"/>
        </w:rPr>
        <w:t>6</w:t>
      </w:r>
      <w:r>
        <w:rPr>
          <w:sz w:val="24"/>
        </w:rPr>
        <w:t>月</w:t>
      </w:r>
      <w:r>
        <w:rPr>
          <w:sz w:val="24"/>
        </w:rPr>
        <w:t>1</w:t>
      </w:r>
      <w:r>
        <w:rPr>
          <w:sz w:val="24"/>
        </w:rPr>
        <w:t>日公告，因全资子公司招商证券（香港）有限公司错误处理客户款项</w:t>
      </w:r>
      <w:r>
        <w:rPr>
          <w:sz w:val="24"/>
        </w:rPr>
        <w:t>(</w:t>
      </w:r>
      <w:r>
        <w:rPr>
          <w:sz w:val="24"/>
        </w:rPr>
        <w:t>发生于</w:t>
      </w:r>
      <w:r>
        <w:rPr>
          <w:sz w:val="24"/>
        </w:rPr>
        <w:t>2011</w:t>
      </w:r>
      <w:r>
        <w:rPr>
          <w:sz w:val="24"/>
        </w:rPr>
        <w:t>年</w:t>
      </w:r>
      <w:r>
        <w:rPr>
          <w:sz w:val="24"/>
        </w:rPr>
        <w:t>10</w:t>
      </w:r>
      <w:r>
        <w:rPr>
          <w:sz w:val="24"/>
        </w:rPr>
        <w:t>月至</w:t>
      </w:r>
      <w:r>
        <w:rPr>
          <w:sz w:val="24"/>
        </w:rPr>
        <w:t>2014</w:t>
      </w:r>
      <w:r>
        <w:rPr>
          <w:sz w:val="24"/>
        </w:rPr>
        <w:t>年</w:t>
      </w:r>
      <w:r>
        <w:rPr>
          <w:sz w:val="24"/>
        </w:rPr>
        <w:t>9</w:t>
      </w:r>
      <w:r>
        <w:rPr>
          <w:sz w:val="24"/>
        </w:rPr>
        <w:t>月期间</w:t>
      </w:r>
      <w:r>
        <w:rPr>
          <w:sz w:val="24"/>
        </w:rPr>
        <w:t>)</w:t>
      </w:r>
      <w:r>
        <w:rPr>
          <w:sz w:val="24"/>
        </w:rPr>
        <w:t>，近日香港证券及期货事务监察委员会对招商证券（香港）有限公司采取纪律行动，包括处以罚款</w:t>
      </w:r>
      <w:r>
        <w:rPr>
          <w:sz w:val="24"/>
        </w:rPr>
        <w:t>500</w:t>
      </w:r>
      <w:r>
        <w:rPr>
          <w:sz w:val="24"/>
        </w:rPr>
        <w:t>万元港币。</w:t>
      </w:r>
    </w:p>
    <w:p w:rsidR="00A834B1" w:rsidRDefault="00B142EA">
      <w:pPr>
        <w:spacing w:line="360" w:lineRule="auto"/>
        <w:rPr>
          <w:bCs/>
          <w:sz w:val="24"/>
        </w:rPr>
      </w:pPr>
      <w:r>
        <w:rPr>
          <w:sz w:val="24"/>
        </w:rPr>
        <w:t>本基金管理人对上述证券投资决策程序的说明如下：本基金管理人对证券投资特别是重仓个券的投资有严格的投资决策流程控制。本基金在对上述证券的投资也严格执行投资决策流程。在对上述证券的选择上，严格执行公司个券审核流程。在对上述证券的持有过程中研究员密切关注债券发行主体动向。在上述处罚发生时及时分析其对投资决策的影响，经过分析认为此事件对债券发行主体财务状况、经营成果和现金流量未产生重大的实质性影响，所以不影响对上述债券基本面和投资价值的判断。</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4C4D13" w:rsidP="00792A69">
      <w:pPr>
        <w:autoSpaceDE w:val="0"/>
        <w:autoSpaceDN w:val="0"/>
        <w:adjustRightInd w:val="0"/>
        <w:spacing w:before="29" w:line="288" w:lineRule="auto"/>
        <w:ind w:left="15"/>
        <w:jc w:val="right"/>
        <w:rPr>
          <w:kern w:val="0"/>
          <w:sz w:val="24"/>
        </w:rPr>
      </w:pPr>
      <w:r>
        <w:rPr>
          <w:rFonts w:hint="eastAsia"/>
          <w:sz w:val="24"/>
        </w:rPr>
        <w:t>金额</w:t>
      </w:r>
      <w:r w:rsidR="005B4215"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1,004,541.97</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432,281.35</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50.00</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1,436,873.32</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156174" w:rsidRPr="00156174">
        <w:rPr>
          <w:rFonts w:hint="eastAsia"/>
          <w:b/>
          <w:sz w:val="24"/>
        </w:rPr>
        <w:t>投资组合报告附注的其他文字描述部分</w:t>
      </w:r>
    </w:p>
    <w:p w:rsidR="006D141C" w:rsidRDefault="006D141C" w:rsidP="00792A69">
      <w:pPr>
        <w:spacing w:before="29" w:line="288" w:lineRule="auto"/>
        <w:ind w:firstLineChars="200" w:firstLine="480"/>
        <w:rPr>
          <w:color w:val="000000"/>
          <w:sz w:val="24"/>
        </w:rPr>
      </w:pPr>
      <w:r w:rsidRPr="0061644B">
        <w:rPr>
          <w:color w:val="000000"/>
          <w:sz w:val="24"/>
        </w:rPr>
        <w:t>由于四舍五入原因，分项之和与合计项之间可能存在尾差。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CC3C2D">
      <w:pPr>
        <w:pStyle w:val="1"/>
        <w:keepNext/>
        <w:keepLines/>
        <w:widowControl w:val="0"/>
        <w:spacing w:beforeLines="100" w:before="312" w:afterLines="100" w:after="312" w:line="288" w:lineRule="auto"/>
        <w:jc w:val="center"/>
        <w:rPr>
          <w:b/>
          <w:bCs/>
          <w:szCs w:val="24"/>
          <w:lang w:val="en-US"/>
        </w:rPr>
      </w:pPr>
      <w:bookmarkStart w:id="29" w:name="_Toc331410111"/>
      <w:bookmarkStart w:id="30" w:name="_Toc225500050"/>
      <w:r w:rsidRPr="0061644B">
        <w:rPr>
          <w:b/>
          <w:bCs/>
          <w:szCs w:val="24"/>
          <w:lang w:val="en-US"/>
        </w:rPr>
        <w:t>8</w:t>
      </w:r>
      <w:r w:rsidR="006D141C" w:rsidRPr="0061644B">
        <w:rPr>
          <w:b/>
          <w:bCs/>
          <w:szCs w:val="24"/>
          <w:lang w:val="en-US"/>
        </w:rPr>
        <w:t>基金份额持有人信息</w:t>
      </w:r>
      <w:bookmarkEnd w:id="29"/>
      <w:bookmarkEnd w:id="30"/>
    </w:p>
    <w:p w:rsidR="008531F2" w:rsidRPr="0061644B" w:rsidRDefault="008531F2" w:rsidP="00792A69">
      <w:pPr>
        <w:pStyle w:val="20"/>
        <w:spacing w:before="29" w:after="0" w:line="288" w:lineRule="auto"/>
        <w:rPr>
          <w:rFonts w:ascii="Times New Roman" w:hAnsi="Times New Roman" w:cs="Times New Roman"/>
          <w:kern w:val="0"/>
          <w:szCs w:val="24"/>
        </w:rPr>
      </w:pPr>
      <w:bookmarkStart w:id="31" w:name="_Toc331410112"/>
      <w:bookmarkStart w:id="32"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1"/>
      <w:bookmarkEnd w:id="32"/>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470"/>
        <w:gridCol w:w="876"/>
        <w:gridCol w:w="1596"/>
        <w:gridCol w:w="1716"/>
        <w:gridCol w:w="956"/>
        <w:gridCol w:w="1716"/>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持有人结构</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交银货币</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33,630</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8,254.68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15,853,437.36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5.71%</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261,751,500.72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94.29%</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交银货币</w:t>
            </w:r>
            <w:r w:rsidRPr="00495552">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15,513,867.65</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118,144,626.36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95.19%</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5,966,314.85</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4.81%</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33,638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11,942.32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133,998,063.72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33.36%</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267,717,815.57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66.64%</w:t>
            </w:r>
          </w:p>
        </w:tc>
      </w:tr>
    </w:tbl>
    <w:p w:rsidR="008531F2" w:rsidRPr="002E74C6" w:rsidRDefault="008531F2" w:rsidP="00792A69">
      <w:pPr>
        <w:spacing w:before="29" w:line="288" w:lineRule="auto"/>
        <w:rPr>
          <w:sz w:val="24"/>
        </w:rPr>
      </w:pPr>
    </w:p>
    <w:p w:rsidR="00652E25" w:rsidRPr="005C0F38" w:rsidRDefault="00652E25" w:rsidP="00652E25">
      <w:pPr>
        <w:pStyle w:val="20"/>
        <w:spacing w:beforeLines="100" w:before="312" w:after="0"/>
        <w:rPr>
          <w:rFonts w:ascii="Times New Roman" w:eastAsiaTheme="minorEastAsia" w:hAnsi="Times New Roman"/>
          <w:color w:val="000000" w:themeColor="text1"/>
          <w:kern w:val="0"/>
          <w:sz w:val="21"/>
          <w:szCs w:val="21"/>
        </w:rPr>
      </w:pPr>
      <w:bookmarkStart w:id="33" w:name="OLE_LINK147"/>
      <w:bookmarkStart w:id="34" w:name="OLE_LINK148"/>
      <w:bookmarkStart w:id="35" w:name="OLE_LINK149"/>
      <w:bookmarkStart w:id="36" w:name="OLE_LINK160"/>
      <w:r w:rsidRPr="005C0F38">
        <w:rPr>
          <w:rFonts w:ascii="Times New Roman" w:eastAsiaTheme="minorEastAsia" w:hAnsi="Times New Roman"/>
          <w:color w:val="000000" w:themeColor="text1"/>
          <w:kern w:val="0"/>
          <w:sz w:val="21"/>
          <w:szCs w:val="21"/>
        </w:rPr>
        <w:t xml:space="preserve">8.2 </w:t>
      </w:r>
      <w:r w:rsidRPr="005C0F38">
        <w:rPr>
          <w:rFonts w:ascii="Times New Roman" w:eastAsiaTheme="minorEastAsia" w:hAnsi="Times New Roman" w:hint="eastAsia"/>
          <w:color w:val="000000" w:themeColor="text1"/>
          <w:kern w:val="0"/>
          <w:sz w:val="21"/>
          <w:szCs w:val="21"/>
        </w:rPr>
        <w:t>期末货币市场基金前十名份额持有人情况</w:t>
      </w:r>
    </w:p>
    <w:tbl>
      <w:tblPr>
        <w:tblStyle w:val="af7"/>
        <w:tblW w:w="8931" w:type="dxa"/>
        <w:tblInd w:w="108" w:type="dxa"/>
        <w:tblLayout w:type="fixed"/>
        <w:tblLook w:val="04A0" w:firstRow="1" w:lastRow="0" w:firstColumn="1" w:lastColumn="0" w:noHBand="0" w:noVBand="1"/>
      </w:tblPr>
      <w:tblGrid>
        <w:gridCol w:w="1560"/>
        <w:gridCol w:w="2835"/>
        <w:gridCol w:w="2551"/>
        <w:gridCol w:w="1985"/>
      </w:tblGrid>
      <w:tr w:rsidR="00652E25" w:rsidRPr="005C0F38" w:rsidTr="00652E25">
        <w:tc>
          <w:tcPr>
            <w:tcW w:w="1560" w:type="dxa"/>
            <w:vAlign w:val="center"/>
          </w:tcPr>
          <w:p w:rsidR="00652E25" w:rsidRPr="005C0F38" w:rsidRDefault="00652E25" w:rsidP="00110209">
            <w:pPr>
              <w:spacing w:line="276" w:lineRule="auto"/>
              <w:jc w:val="center"/>
              <w:rPr>
                <w:rFonts w:eastAsiaTheme="minorEastAsia"/>
                <w:szCs w:val="21"/>
              </w:rPr>
            </w:pPr>
            <w:r w:rsidRPr="005C0F38">
              <w:rPr>
                <w:rFonts w:eastAsiaTheme="minorEastAsia"/>
                <w:szCs w:val="21"/>
              </w:rPr>
              <w:t>序号</w:t>
            </w:r>
          </w:p>
        </w:tc>
        <w:tc>
          <w:tcPr>
            <w:tcW w:w="2835" w:type="dxa"/>
            <w:vAlign w:val="center"/>
          </w:tcPr>
          <w:p w:rsidR="00652E25" w:rsidRPr="005C0F38" w:rsidRDefault="00652E25" w:rsidP="00110209">
            <w:pPr>
              <w:spacing w:line="276" w:lineRule="auto"/>
              <w:jc w:val="center"/>
              <w:rPr>
                <w:rFonts w:eastAsiaTheme="minorEastAsia"/>
                <w:szCs w:val="21"/>
              </w:rPr>
            </w:pPr>
            <w:r w:rsidRPr="005C0F38">
              <w:rPr>
                <w:rFonts w:eastAsiaTheme="minorEastAsia"/>
                <w:szCs w:val="21"/>
              </w:rPr>
              <w:t>持有人类别</w:t>
            </w:r>
          </w:p>
        </w:tc>
        <w:tc>
          <w:tcPr>
            <w:tcW w:w="2551" w:type="dxa"/>
            <w:vAlign w:val="center"/>
          </w:tcPr>
          <w:p w:rsidR="00652E25" w:rsidRPr="005C0F38" w:rsidRDefault="00652E25" w:rsidP="00110209">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持有份额（份）</w:t>
            </w:r>
          </w:p>
        </w:tc>
        <w:tc>
          <w:tcPr>
            <w:tcW w:w="1985" w:type="dxa"/>
            <w:vAlign w:val="center"/>
          </w:tcPr>
          <w:p w:rsidR="00652E25" w:rsidRPr="005C0F38" w:rsidRDefault="00652E25" w:rsidP="00110209">
            <w:pPr>
              <w:spacing w:line="276" w:lineRule="auto"/>
              <w:jc w:val="center"/>
              <w:rPr>
                <w:rFonts w:asciiTheme="minorEastAsia" w:eastAsiaTheme="minorEastAsia" w:hAnsiTheme="minorEastAsia"/>
                <w:szCs w:val="21"/>
              </w:rPr>
            </w:pPr>
            <w:r w:rsidRPr="005C0F38">
              <w:rPr>
                <w:rFonts w:asciiTheme="minorEastAsia" w:eastAsiaTheme="minorEastAsia" w:hAnsiTheme="minorEastAsia"/>
                <w:szCs w:val="21"/>
              </w:rPr>
              <w:t>占总份额比例</w:t>
            </w:r>
          </w:p>
        </w:tc>
      </w:tr>
      <w:tr w:rsidR="00A834B1">
        <w:tc>
          <w:tcPr>
            <w:tcW w:w="1560" w:type="dxa"/>
            <w:vAlign w:val="center"/>
          </w:tcPr>
          <w:p w:rsidR="00A834B1" w:rsidRDefault="00B142EA">
            <w:pPr>
              <w:jc w:val="center"/>
            </w:pPr>
            <w:r>
              <w:rPr>
                <w:rFonts w:eastAsiaTheme="minorEastAsia"/>
                <w:color w:val="000000" w:themeColor="text1"/>
                <w:szCs w:val="21"/>
              </w:rPr>
              <w:t>1</w:t>
            </w:r>
          </w:p>
        </w:tc>
        <w:tc>
          <w:tcPr>
            <w:tcW w:w="2835" w:type="dxa"/>
            <w:vAlign w:val="center"/>
          </w:tcPr>
          <w:p w:rsidR="00A834B1" w:rsidRDefault="00B142EA">
            <w:pPr>
              <w:jc w:val="right"/>
            </w:pPr>
            <w:r>
              <w:rPr>
                <w:rFonts w:eastAsiaTheme="minorEastAsia"/>
                <w:color w:val="000000" w:themeColor="text1"/>
                <w:szCs w:val="21"/>
              </w:rPr>
              <w:t>其他机构</w:t>
            </w:r>
          </w:p>
        </w:tc>
        <w:tc>
          <w:tcPr>
            <w:tcW w:w="2551" w:type="dxa"/>
            <w:vAlign w:val="center"/>
          </w:tcPr>
          <w:p w:rsidR="00A834B1" w:rsidRDefault="00B142EA">
            <w:pPr>
              <w:jc w:val="right"/>
            </w:pPr>
            <w:r>
              <w:rPr>
                <w:rFonts w:eastAsiaTheme="minorEastAsia"/>
                <w:color w:val="000000" w:themeColor="text1"/>
                <w:szCs w:val="21"/>
              </w:rPr>
              <w:t>58,262,297.15</w:t>
            </w:r>
          </w:p>
        </w:tc>
        <w:tc>
          <w:tcPr>
            <w:tcW w:w="1985" w:type="dxa"/>
            <w:vAlign w:val="center"/>
          </w:tcPr>
          <w:p w:rsidR="00A834B1" w:rsidRDefault="00B142EA">
            <w:pPr>
              <w:jc w:val="right"/>
            </w:pPr>
            <w:r>
              <w:rPr>
                <w:rFonts w:eastAsiaTheme="minorEastAsia"/>
                <w:color w:val="000000" w:themeColor="text1"/>
                <w:szCs w:val="21"/>
              </w:rPr>
              <w:t>14.50%</w:t>
            </w:r>
          </w:p>
        </w:tc>
      </w:tr>
      <w:tr w:rsidR="00A834B1">
        <w:tc>
          <w:tcPr>
            <w:tcW w:w="1560" w:type="dxa"/>
            <w:vAlign w:val="center"/>
          </w:tcPr>
          <w:p w:rsidR="00A834B1" w:rsidRDefault="00B142EA">
            <w:pPr>
              <w:jc w:val="center"/>
            </w:pPr>
            <w:r>
              <w:rPr>
                <w:rFonts w:eastAsiaTheme="minorEastAsia"/>
                <w:color w:val="000000" w:themeColor="text1"/>
                <w:szCs w:val="21"/>
              </w:rPr>
              <w:t>2</w:t>
            </w:r>
          </w:p>
        </w:tc>
        <w:tc>
          <w:tcPr>
            <w:tcW w:w="2835" w:type="dxa"/>
            <w:vAlign w:val="center"/>
          </w:tcPr>
          <w:p w:rsidR="00A834B1" w:rsidRDefault="00B142EA">
            <w:pPr>
              <w:jc w:val="right"/>
            </w:pPr>
            <w:r>
              <w:rPr>
                <w:rFonts w:eastAsiaTheme="minorEastAsia"/>
                <w:color w:val="000000" w:themeColor="text1"/>
                <w:szCs w:val="21"/>
              </w:rPr>
              <w:t>其他机构</w:t>
            </w:r>
          </w:p>
        </w:tc>
        <w:tc>
          <w:tcPr>
            <w:tcW w:w="2551" w:type="dxa"/>
            <w:vAlign w:val="center"/>
          </w:tcPr>
          <w:p w:rsidR="00A834B1" w:rsidRDefault="00B142EA">
            <w:pPr>
              <w:jc w:val="right"/>
            </w:pPr>
            <w:r>
              <w:rPr>
                <w:rFonts w:eastAsiaTheme="minorEastAsia"/>
                <w:color w:val="000000" w:themeColor="text1"/>
                <w:szCs w:val="21"/>
              </w:rPr>
              <w:t>21,396,229.94</w:t>
            </w:r>
          </w:p>
        </w:tc>
        <w:tc>
          <w:tcPr>
            <w:tcW w:w="1985" w:type="dxa"/>
            <w:vAlign w:val="center"/>
          </w:tcPr>
          <w:p w:rsidR="00A834B1" w:rsidRDefault="00B142EA">
            <w:pPr>
              <w:jc w:val="right"/>
            </w:pPr>
            <w:r>
              <w:rPr>
                <w:rFonts w:eastAsiaTheme="minorEastAsia"/>
                <w:color w:val="000000" w:themeColor="text1"/>
                <w:szCs w:val="21"/>
              </w:rPr>
              <w:t>5.33%</w:t>
            </w:r>
          </w:p>
        </w:tc>
      </w:tr>
      <w:tr w:rsidR="00A834B1">
        <w:tc>
          <w:tcPr>
            <w:tcW w:w="1560" w:type="dxa"/>
            <w:vAlign w:val="center"/>
          </w:tcPr>
          <w:p w:rsidR="00A834B1" w:rsidRDefault="00B142EA">
            <w:pPr>
              <w:jc w:val="center"/>
            </w:pPr>
            <w:r>
              <w:rPr>
                <w:rFonts w:eastAsiaTheme="minorEastAsia"/>
                <w:color w:val="000000" w:themeColor="text1"/>
                <w:szCs w:val="21"/>
              </w:rPr>
              <w:t>3</w:t>
            </w:r>
          </w:p>
        </w:tc>
        <w:tc>
          <w:tcPr>
            <w:tcW w:w="2835" w:type="dxa"/>
            <w:vAlign w:val="center"/>
          </w:tcPr>
          <w:p w:rsidR="00A834B1" w:rsidRDefault="00B142EA">
            <w:pPr>
              <w:jc w:val="right"/>
            </w:pPr>
            <w:r>
              <w:rPr>
                <w:rFonts w:eastAsiaTheme="minorEastAsia"/>
                <w:color w:val="000000" w:themeColor="text1"/>
                <w:szCs w:val="21"/>
              </w:rPr>
              <w:t>保险类机构</w:t>
            </w:r>
          </w:p>
        </w:tc>
        <w:tc>
          <w:tcPr>
            <w:tcW w:w="2551" w:type="dxa"/>
            <w:vAlign w:val="center"/>
          </w:tcPr>
          <w:p w:rsidR="00A834B1" w:rsidRDefault="00B142EA">
            <w:pPr>
              <w:jc w:val="right"/>
            </w:pPr>
            <w:r>
              <w:rPr>
                <w:rFonts w:eastAsiaTheme="minorEastAsia"/>
                <w:color w:val="000000" w:themeColor="text1"/>
                <w:szCs w:val="21"/>
              </w:rPr>
              <w:t>15,648,922.97</w:t>
            </w:r>
          </w:p>
        </w:tc>
        <w:tc>
          <w:tcPr>
            <w:tcW w:w="1985" w:type="dxa"/>
            <w:vAlign w:val="center"/>
          </w:tcPr>
          <w:p w:rsidR="00A834B1" w:rsidRDefault="00B142EA">
            <w:pPr>
              <w:jc w:val="right"/>
            </w:pPr>
            <w:r>
              <w:rPr>
                <w:rFonts w:eastAsiaTheme="minorEastAsia"/>
                <w:color w:val="000000" w:themeColor="text1"/>
                <w:szCs w:val="21"/>
              </w:rPr>
              <w:t>3.90%</w:t>
            </w:r>
          </w:p>
        </w:tc>
      </w:tr>
      <w:tr w:rsidR="00A834B1">
        <w:tc>
          <w:tcPr>
            <w:tcW w:w="1560" w:type="dxa"/>
            <w:vAlign w:val="center"/>
          </w:tcPr>
          <w:p w:rsidR="00A834B1" w:rsidRDefault="00B142EA">
            <w:pPr>
              <w:jc w:val="center"/>
            </w:pPr>
            <w:r>
              <w:rPr>
                <w:rFonts w:eastAsiaTheme="minorEastAsia"/>
                <w:color w:val="000000" w:themeColor="text1"/>
                <w:szCs w:val="21"/>
              </w:rPr>
              <w:t>4</w:t>
            </w:r>
          </w:p>
        </w:tc>
        <w:tc>
          <w:tcPr>
            <w:tcW w:w="2835" w:type="dxa"/>
            <w:vAlign w:val="center"/>
          </w:tcPr>
          <w:p w:rsidR="00A834B1" w:rsidRDefault="00B142EA">
            <w:pPr>
              <w:jc w:val="right"/>
            </w:pPr>
            <w:r>
              <w:rPr>
                <w:rFonts w:eastAsiaTheme="minorEastAsia"/>
                <w:color w:val="000000" w:themeColor="text1"/>
                <w:szCs w:val="21"/>
              </w:rPr>
              <w:t>其他机构</w:t>
            </w:r>
          </w:p>
        </w:tc>
        <w:tc>
          <w:tcPr>
            <w:tcW w:w="2551" w:type="dxa"/>
            <w:vAlign w:val="center"/>
          </w:tcPr>
          <w:p w:rsidR="00A834B1" w:rsidRDefault="00B142EA">
            <w:pPr>
              <w:jc w:val="right"/>
            </w:pPr>
            <w:r>
              <w:rPr>
                <w:rFonts w:eastAsiaTheme="minorEastAsia"/>
                <w:color w:val="000000" w:themeColor="text1"/>
                <w:szCs w:val="21"/>
              </w:rPr>
              <w:t>11,802,955.06</w:t>
            </w:r>
          </w:p>
        </w:tc>
        <w:tc>
          <w:tcPr>
            <w:tcW w:w="1985" w:type="dxa"/>
            <w:vAlign w:val="center"/>
          </w:tcPr>
          <w:p w:rsidR="00A834B1" w:rsidRDefault="00B142EA">
            <w:pPr>
              <w:jc w:val="right"/>
            </w:pPr>
            <w:r>
              <w:rPr>
                <w:rFonts w:eastAsiaTheme="minorEastAsia"/>
                <w:color w:val="000000" w:themeColor="text1"/>
                <w:szCs w:val="21"/>
              </w:rPr>
              <w:t>2.94%</w:t>
            </w:r>
          </w:p>
        </w:tc>
      </w:tr>
      <w:tr w:rsidR="00A834B1">
        <w:tc>
          <w:tcPr>
            <w:tcW w:w="1560" w:type="dxa"/>
            <w:vAlign w:val="center"/>
          </w:tcPr>
          <w:p w:rsidR="00A834B1" w:rsidRDefault="00B142EA">
            <w:pPr>
              <w:jc w:val="center"/>
            </w:pPr>
            <w:r>
              <w:rPr>
                <w:rFonts w:eastAsiaTheme="minorEastAsia"/>
                <w:color w:val="000000" w:themeColor="text1"/>
                <w:szCs w:val="21"/>
              </w:rPr>
              <w:t>5</w:t>
            </w:r>
          </w:p>
        </w:tc>
        <w:tc>
          <w:tcPr>
            <w:tcW w:w="2835" w:type="dxa"/>
            <w:vAlign w:val="center"/>
          </w:tcPr>
          <w:p w:rsidR="00A834B1" w:rsidRDefault="00B142EA">
            <w:pPr>
              <w:jc w:val="right"/>
            </w:pPr>
            <w:r>
              <w:rPr>
                <w:rFonts w:eastAsiaTheme="minorEastAsia"/>
                <w:color w:val="000000" w:themeColor="text1"/>
                <w:szCs w:val="21"/>
              </w:rPr>
              <w:t>其他机构</w:t>
            </w:r>
          </w:p>
        </w:tc>
        <w:tc>
          <w:tcPr>
            <w:tcW w:w="2551" w:type="dxa"/>
            <w:vAlign w:val="center"/>
          </w:tcPr>
          <w:p w:rsidR="00A834B1" w:rsidRDefault="00B142EA">
            <w:pPr>
              <w:jc w:val="right"/>
            </w:pPr>
            <w:r>
              <w:rPr>
                <w:rFonts w:eastAsiaTheme="minorEastAsia"/>
                <w:color w:val="000000" w:themeColor="text1"/>
                <w:szCs w:val="21"/>
              </w:rPr>
              <w:t>6,034,221.24</w:t>
            </w:r>
          </w:p>
        </w:tc>
        <w:tc>
          <w:tcPr>
            <w:tcW w:w="1985" w:type="dxa"/>
            <w:vAlign w:val="center"/>
          </w:tcPr>
          <w:p w:rsidR="00A834B1" w:rsidRDefault="00B142EA">
            <w:pPr>
              <w:jc w:val="right"/>
            </w:pPr>
            <w:r>
              <w:rPr>
                <w:rFonts w:eastAsiaTheme="minorEastAsia"/>
                <w:color w:val="000000" w:themeColor="text1"/>
                <w:szCs w:val="21"/>
              </w:rPr>
              <w:t>1.50%</w:t>
            </w:r>
          </w:p>
        </w:tc>
      </w:tr>
      <w:tr w:rsidR="00A834B1">
        <w:tc>
          <w:tcPr>
            <w:tcW w:w="1560" w:type="dxa"/>
            <w:vAlign w:val="center"/>
          </w:tcPr>
          <w:p w:rsidR="00A834B1" w:rsidRDefault="00B142EA">
            <w:pPr>
              <w:jc w:val="center"/>
            </w:pPr>
            <w:r>
              <w:rPr>
                <w:rFonts w:eastAsiaTheme="minorEastAsia"/>
                <w:color w:val="000000" w:themeColor="text1"/>
                <w:szCs w:val="21"/>
              </w:rPr>
              <w:t>6</w:t>
            </w:r>
          </w:p>
        </w:tc>
        <w:tc>
          <w:tcPr>
            <w:tcW w:w="2835" w:type="dxa"/>
            <w:vAlign w:val="center"/>
          </w:tcPr>
          <w:p w:rsidR="00A834B1" w:rsidRDefault="00B142EA">
            <w:pPr>
              <w:jc w:val="right"/>
            </w:pPr>
            <w:r>
              <w:rPr>
                <w:rFonts w:eastAsiaTheme="minorEastAsia"/>
                <w:color w:val="000000" w:themeColor="text1"/>
                <w:szCs w:val="21"/>
              </w:rPr>
              <w:t>个人</w:t>
            </w:r>
          </w:p>
        </w:tc>
        <w:tc>
          <w:tcPr>
            <w:tcW w:w="2551" w:type="dxa"/>
            <w:vAlign w:val="center"/>
          </w:tcPr>
          <w:p w:rsidR="00A834B1" w:rsidRDefault="00B142EA">
            <w:pPr>
              <w:jc w:val="right"/>
            </w:pPr>
            <w:r>
              <w:rPr>
                <w:rFonts w:eastAsiaTheme="minorEastAsia"/>
                <w:color w:val="000000" w:themeColor="text1"/>
                <w:szCs w:val="21"/>
              </w:rPr>
              <w:t>5,966,314.85</w:t>
            </w:r>
          </w:p>
        </w:tc>
        <w:tc>
          <w:tcPr>
            <w:tcW w:w="1985" w:type="dxa"/>
            <w:vAlign w:val="center"/>
          </w:tcPr>
          <w:p w:rsidR="00A834B1" w:rsidRDefault="00B142EA">
            <w:pPr>
              <w:jc w:val="right"/>
            </w:pPr>
            <w:r>
              <w:rPr>
                <w:rFonts w:eastAsiaTheme="minorEastAsia"/>
                <w:color w:val="000000" w:themeColor="text1"/>
                <w:szCs w:val="21"/>
              </w:rPr>
              <w:t>1.49%</w:t>
            </w:r>
          </w:p>
        </w:tc>
      </w:tr>
      <w:tr w:rsidR="00A834B1">
        <w:tc>
          <w:tcPr>
            <w:tcW w:w="1560" w:type="dxa"/>
            <w:vAlign w:val="center"/>
          </w:tcPr>
          <w:p w:rsidR="00A834B1" w:rsidRDefault="00B142EA">
            <w:pPr>
              <w:jc w:val="center"/>
            </w:pPr>
            <w:r>
              <w:rPr>
                <w:rFonts w:eastAsiaTheme="minorEastAsia"/>
                <w:color w:val="000000" w:themeColor="text1"/>
                <w:szCs w:val="21"/>
              </w:rPr>
              <w:t>7</w:t>
            </w:r>
          </w:p>
        </w:tc>
        <w:tc>
          <w:tcPr>
            <w:tcW w:w="2835" w:type="dxa"/>
            <w:vAlign w:val="center"/>
          </w:tcPr>
          <w:p w:rsidR="00A834B1" w:rsidRDefault="00B142EA">
            <w:pPr>
              <w:jc w:val="right"/>
            </w:pPr>
            <w:r>
              <w:rPr>
                <w:rFonts w:eastAsiaTheme="minorEastAsia"/>
                <w:color w:val="000000" w:themeColor="text1"/>
                <w:szCs w:val="21"/>
              </w:rPr>
              <w:t>其他机构</w:t>
            </w:r>
          </w:p>
        </w:tc>
        <w:tc>
          <w:tcPr>
            <w:tcW w:w="2551" w:type="dxa"/>
            <w:vAlign w:val="center"/>
          </w:tcPr>
          <w:p w:rsidR="00A834B1" w:rsidRDefault="00B142EA">
            <w:pPr>
              <w:jc w:val="right"/>
            </w:pPr>
            <w:r>
              <w:rPr>
                <w:rFonts w:eastAsiaTheme="minorEastAsia"/>
                <w:color w:val="000000" w:themeColor="text1"/>
                <w:szCs w:val="21"/>
              </w:rPr>
              <w:t>5,000,000.00</w:t>
            </w:r>
          </w:p>
        </w:tc>
        <w:tc>
          <w:tcPr>
            <w:tcW w:w="1985" w:type="dxa"/>
            <w:vAlign w:val="center"/>
          </w:tcPr>
          <w:p w:rsidR="00A834B1" w:rsidRDefault="00B142EA">
            <w:pPr>
              <w:jc w:val="right"/>
            </w:pPr>
            <w:r>
              <w:rPr>
                <w:rFonts w:eastAsiaTheme="minorEastAsia"/>
                <w:color w:val="000000" w:themeColor="text1"/>
                <w:szCs w:val="21"/>
              </w:rPr>
              <w:t>1.24%</w:t>
            </w:r>
          </w:p>
        </w:tc>
      </w:tr>
      <w:tr w:rsidR="00A834B1">
        <w:tc>
          <w:tcPr>
            <w:tcW w:w="1560" w:type="dxa"/>
            <w:vAlign w:val="center"/>
          </w:tcPr>
          <w:p w:rsidR="00A834B1" w:rsidRDefault="00B142EA">
            <w:pPr>
              <w:jc w:val="center"/>
            </w:pPr>
            <w:r>
              <w:rPr>
                <w:rFonts w:eastAsiaTheme="minorEastAsia"/>
                <w:color w:val="000000" w:themeColor="text1"/>
                <w:szCs w:val="21"/>
              </w:rPr>
              <w:t>8</w:t>
            </w:r>
          </w:p>
        </w:tc>
        <w:tc>
          <w:tcPr>
            <w:tcW w:w="2835" w:type="dxa"/>
            <w:vAlign w:val="center"/>
          </w:tcPr>
          <w:p w:rsidR="00A834B1" w:rsidRDefault="00B142EA">
            <w:pPr>
              <w:jc w:val="right"/>
            </w:pPr>
            <w:r>
              <w:rPr>
                <w:rFonts w:eastAsiaTheme="minorEastAsia"/>
                <w:color w:val="000000" w:themeColor="text1"/>
                <w:szCs w:val="21"/>
              </w:rPr>
              <w:t>个人</w:t>
            </w:r>
          </w:p>
        </w:tc>
        <w:tc>
          <w:tcPr>
            <w:tcW w:w="2551" w:type="dxa"/>
            <w:vAlign w:val="center"/>
          </w:tcPr>
          <w:p w:rsidR="00A834B1" w:rsidRDefault="00B142EA">
            <w:pPr>
              <w:jc w:val="right"/>
            </w:pPr>
            <w:r>
              <w:rPr>
                <w:rFonts w:eastAsiaTheme="minorEastAsia"/>
                <w:color w:val="000000" w:themeColor="text1"/>
                <w:szCs w:val="21"/>
              </w:rPr>
              <w:t>4,374,854.31</w:t>
            </w:r>
          </w:p>
        </w:tc>
        <w:tc>
          <w:tcPr>
            <w:tcW w:w="1985" w:type="dxa"/>
            <w:vAlign w:val="center"/>
          </w:tcPr>
          <w:p w:rsidR="00A834B1" w:rsidRDefault="00B142EA">
            <w:pPr>
              <w:jc w:val="right"/>
            </w:pPr>
            <w:r>
              <w:rPr>
                <w:rFonts w:eastAsiaTheme="minorEastAsia"/>
                <w:color w:val="000000" w:themeColor="text1"/>
                <w:szCs w:val="21"/>
              </w:rPr>
              <w:t>1.09%</w:t>
            </w:r>
          </w:p>
        </w:tc>
      </w:tr>
      <w:tr w:rsidR="00A834B1">
        <w:tc>
          <w:tcPr>
            <w:tcW w:w="1560" w:type="dxa"/>
            <w:vAlign w:val="center"/>
          </w:tcPr>
          <w:p w:rsidR="00A834B1" w:rsidRDefault="00B142EA">
            <w:pPr>
              <w:jc w:val="center"/>
            </w:pPr>
            <w:r>
              <w:rPr>
                <w:rFonts w:eastAsiaTheme="minorEastAsia"/>
                <w:color w:val="000000" w:themeColor="text1"/>
                <w:szCs w:val="21"/>
              </w:rPr>
              <w:t>9</w:t>
            </w:r>
          </w:p>
        </w:tc>
        <w:tc>
          <w:tcPr>
            <w:tcW w:w="2835" w:type="dxa"/>
            <w:vAlign w:val="center"/>
          </w:tcPr>
          <w:p w:rsidR="00A834B1" w:rsidRDefault="00B142EA">
            <w:pPr>
              <w:jc w:val="right"/>
            </w:pPr>
            <w:r>
              <w:rPr>
                <w:rFonts w:eastAsiaTheme="minorEastAsia"/>
                <w:color w:val="000000" w:themeColor="text1"/>
                <w:szCs w:val="21"/>
              </w:rPr>
              <w:t>其他机构</w:t>
            </w:r>
          </w:p>
        </w:tc>
        <w:tc>
          <w:tcPr>
            <w:tcW w:w="2551" w:type="dxa"/>
            <w:vAlign w:val="center"/>
          </w:tcPr>
          <w:p w:rsidR="00A834B1" w:rsidRDefault="00B142EA">
            <w:pPr>
              <w:jc w:val="right"/>
            </w:pPr>
            <w:r>
              <w:rPr>
                <w:rFonts w:eastAsiaTheme="minorEastAsia"/>
                <w:color w:val="000000" w:themeColor="text1"/>
                <w:szCs w:val="21"/>
              </w:rPr>
              <w:t>4,317,984.61</w:t>
            </w:r>
          </w:p>
        </w:tc>
        <w:tc>
          <w:tcPr>
            <w:tcW w:w="1985" w:type="dxa"/>
            <w:vAlign w:val="center"/>
          </w:tcPr>
          <w:p w:rsidR="00A834B1" w:rsidRDefault="00B142EA">
            <w:pPr>
              <w:jc w:val="right"/>
            </w:pPr>
            <w:r>
              <w:rPr>
                <w:rFonts w:eastAsiaTheme="minorEastAsia"/>
                <w:color w:val="000000" w:themeColor="text1"/>
                <w:szCs w:val="21"/>
              </w:rPr>
              <w:t>1.07%</w:t>
            </w:r>
          </w:p>
        </w:tc>
      </w:tr>
      <w:tr w:rsidR="00A834B1">
        <w:tc>
          <w:tcPr>
            <w:tcW w:w="1560" w:type="dxa"/>
            <w:vAlign w:val="center"/>
          </w:tcPr>
          <w:p w:rsidR="00A834B1" w:rsidRDefault="00B142EA">
            <w:pPr>
              <w:jc w:val="center"/>
            </w:pPr>
            <w:r>
              <w:rPr>
                <w:rFonts w:eastAsiaTheme="minorEastAsia"/>
                <w:color w:val="000000" w:themeColor="text1"/>
                <w:szCs w:val="21"/>
              </w:rPr>
              <w:t>10</w:t>
            </w:r>
          </w:p>
        </w:tc>
        <w:tc>
          <w:tcPr>
            <w:tcW w:w="2835" w:type="dxa"/>
            <w:vAlign w:val="center"/>
          </w:tcPr>
          <w:p w:rsidR="00A834B1" w:rsidRDefault="00B142EA">
            <w:pPr>
              <w:jc w:val="right"/>
            </w:pPr>
            <w:r>
              <w:rPr>
                <w:rFonts w:eastAsiaTheme="minorEastAsia"/>
                <w:color w:val="000000" w:themeColor="text1"/>
                <w:szCs w:val="21"/>
              </w:rPr>
              <w:t>个人</w:t>
            </w:r>
          </w:p>
        </w:tc>
        <w:tc>
          <w:tcPr>
            <w:tcW w:w="2551" w:type="dxa"/>
            <w:vAlign w:val="center"/>
          </w:tcPr>
          <w:p w:rsidR="00A834B1" w:rsidRDefault="00B142EA">
            <w:pPr>
              <w:jc w:val="right"/>
            </w:pPr>
            <w:r>
              <w:rPr>
                <w:rFonts w:eastAsiaTheme="minorEastAsia"/>
                <w:color w:val="000000" w:themeColor="text1"/>
                <w:szCs w:val="21"/>
              </w:rPr>
              <w:t>3,285,291.99</w:t>
            </w:r>
          </w:p>
        </w:tc>
        <w:tc>
          <w:tcPr>
            <w:tcW w:w="1985" w:type="dxa"/>
            <w:vAlign w:val="center"/>
          </w:tcPr>
          <w:p w:rsidR="00A834B1" w:rsidRDefault="00B142EA">
            <w:pPr>
              <w:jc w:val="right"/>
            </w:pPr>
            <w:r>
              <w:rPr>
                <w:rFonts w:eastAsiaTheme="minorEastAsia"/>
                <w:color w:val="000000" w:themeColor="text1"/>
                <w:szCs w:val="21"/>
              </w:rPr>
              <w:t>0.82%</w:t>
            </w:r>
          </w:p>
        </w:tc>
      </w:tr>
      <w:bookmarkEnd w:id="33"/>
      <w:bookmarkEnd w:id="34"/>
      <w:bookmarkEnd w:id="35"/>
      <w:bookmarkEnd w:id="36"/>
    </w:tbl>
    <w:p w:rsidR="00652E25" w:rsidRPr="00652E25" w:rsidRDefault="00652E25"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7" w:name="_Toc331410113"/>
      <w:r w:rsidRPr="0061644B">
        <w:rPr>
          <w:rFonts w:ascii="Times New Roman" w:hAnsi="Times New Roman" w:cs="Times New Roman"/>
          <w:kern w:val="0"/>
          <w:szCs w:val="24"/>
        </w:rPr>
        <w:t>8.3</w:t>
      </w:r>
      <w:r w:rsidRPr="0061644B">
        <w:rPr>
          <w:rFonts w:ascii="Times New Roman" w:hAnsi="Times New Roman" w:cs="Times New Roman"/>
          <w:kern w:val="0"/>
          <w:szCs w:val="24"/>
        </w:rPr>
        <w:t>期末基金管理人的从业人员持有本基金的情况</w:t>
      </w:r>
      <w:bookmarkEnd w:id="37"/>
    </w:p>
    <w:tbl>
      <w:tblPr>
        <w:tblStyle w:val="af7"/>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交银货币</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3,973,459.25</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1.43%</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交银货币</w:t>
            </w:r>
            <w:r w:rsidRPr="0061644B">
              <w:rPr>
                <w:sz w:val="24"/>
              </w:rPr>
              <w:t>B</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3,973,459.25</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0.99%</w:t>
            </w:r>
          </w:p>
        </w:tc>
      </w:tr>
    </w:tbl>
    <w:p w:rsidR="0027759A" w:rsidRPr="0027759A" w:rsidRDefault="0027759A"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8.4</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交银货币</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0~10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本基金基金经理持有本开放式基金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交银货币</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交银货币</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CC3C2D">
      <w:pPr>
        <w:pStyle w:val="1"/>
        <w:keepNext/>
        <w:keepLines/>
        <w:widowControl w:val="0"/>
        <w:spacing w:beforeLines="100" w:before="312" w:afterLines="100" w:after="312" w:line="288" w:lineRule="auto"/>
        <w:jc w:val="center"/>
        <w:rPr>
          <w:b/>
          <w:bCs/>
          <w:szCs w:val="24"/>
          <w:lang w:val="en-US"/>
        </w:rPr>
      </w:pPr>
      <w:bookmarkStart w:id="38" w:name="_Toc331410115"/>
      <w:bookmarkStart w:id="39" w:name="_Toc225500053"/>
      <w:r w:rsidRPr="0061644B">
        <w:rPr>
          <w:b/>
          <w:bCs/>
          <w:szCs w:val="24"/>
          <w:lang w:val="en-US"/>
        </w:rPr>
        <w:t>9</w:t>
      </w:r>
      <w:r w:rsidR="006D141C" w:rsidRPr="0061644B">
        <w:rPr>
          <w:b/>
          <w:bCs/>
          <w:szCs w:val="24"/>
          <w:lang w:val="en-US"/>
        </w:rPr>
        <w:t>开放式基金份额变动</w:t>
      </w:r>
      <w:bookmarkEnd w:id="38"/>
      <w:bookmarkEnd w:id="39"/>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交银货币</w:t>
            </w:r>
            <w:r w:rsidRPr="0061644B">
              <w:rPr>
                <w:sz w:val="24"/>
              </w:rPr>
              <w:t>B</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2006</w:t>
            </w:r>
            <w:r w:rsidRPr="0061644B">
              <w:rPr>
                <w:sz w:val="24"/>
              </w:rPr>
              <w:t>年</w:t>
            </w:r>
            <w:r w:rsidRPr="0061644B">
              <w:rPr>
                <w:sz w:val="24"/>
              </w:rPr>
              <w:t>1</w:t>
            </w:r>
            <w:r w:rsidRPr="0061644B">
              <w:rPr>
                <w:sz w:val="24"/>
              </w:rPr>
              <w:t>月</w:t>
            </w:r>
            <w:r w:rsidRPr="0061644B">
              <w:rPr>
                <w:sz w:val="24"/>
              </w:rPr>
              <w:t>20</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4,741,255,133.16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344,115,922.75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957,753,749.84</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291,637,541.36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1,672,558,739.98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358,148,526.03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2,506,201,548.61</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277,604,938.08</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124,110,941.21</w:t>
            </w:r>
          </w:p>
        </w:tc>
      </w:tr>
    </w:tbl>
    <w:p w:rsidR="00A834B1" w:rsidRDefault="00B142E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r>
        <w:rPr>
          <w:kern w:val="0"/>
          <w:sz w:val="24"/>
        </w:rPr>
        <w:t xml:space="preserve"> </w:t>
      </w:r>
    </w:p>
    <w:p w:rsidR="00A834B1" w:rsidRDefault="00B142EA">
      <w:pPr>
        <w:tabs>
          <w:tab w:val="left" w:pos="426"/>
        </w:tabs>
        <w:spacing w:before="29" w:line="288" w:lineRule="auto"/>
        <w:jc w:val="left"/>
        <w:rPr>
          <w:kern w:val="0"/>
          <w:sz w:val="24"/>
        </w:rPr>
      </w:pPr>
      <w:r>
        <w:rPr>
          <w:kern w:val="0"/>
          <w:sz w:val="24"/>
        </w:rPr>
        <w:t xml:space="preserve">    2</w:t>
      </w:r>
      <w:r>
        <w:rPr>
          <w:kern w:val="0"/>
          <w:sz w:val="24"/>
        </w:rPr>
        <w:t>、如果本报告期间发生转换出、份额级别调整业务，则总赎回份额中包含该业务。</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、本基金于</w:t>
      </w:r>
      <w:r w:rsidRPr="0061644B">
        <w:rPr>
          <w:kern w:val="0"/>
          <w:sz w:val="24"/>
        </w:rPr>
        <w:t>2007</w:t>
      </w:r>
      <w:r w:rsidRPr="0061644B">
        <w:rPr>
          <w:kern w:val="0"/>
          <w:sz w:val="24"/>
        </w:rPr>
        <w:t>年</w:t>
      </w:r>
      <w:r w:rsidRPr="0061644B">
        <w:rPr>
          <w:kern w:val="0"/>
          <w:sz w:val="24"/>
        </w:rPr>
        <w:t>6</w:t>
      </w:r>
      <w:r w:rsidRPr="0061644B">
        <w:rPr>
          <w:kern w:val="0"/>
          <w:sz w:val="24"/>
        </w:rPr>
        <w:t>月</w:t>
      </w:r>
      <w:r w:rsidRPr="0061644B">
        <w:rPr>
          <w:kern w:val="0"/>
          <w:sz w:val="24"/>
        </w:rPr>
        <w:t>22</w:t>
      </w:r>
      <w:r w:rsidRPr="0061644B">
        <w:rPr>
          <w:kern w:val="0"/>
          <w:sz w:val="24"/>
        </w:rPr>
        <w:t>日起实行销售服务费分级收费方式。</w:t>
      </w:r>
    </w:p>
    <w:p w:rsidR="00F41287" w:rsidRPr="0061644B" w:rsidRDefault="00F41287" w:rsidP="00792A69">
      <w:pPr>
        <w:tabs>
          <w:tab w:val="left" w:pos="426"/>
        </w:tabs>
        <w:spacing w:before="29" w:line="288" w:lineRule="auto"/>
        <w:jc w:val="left"/>
        <w:rPr>
          <w:kern w:val="0"/>
          <w:sz w:val="24"/>
        </w:rPr>
      </w:pPr>
    </w:p>
    <w:p w:rsidR="006D141C" w:rsidRPr="00B54CAD" w:rsidRDefault="006D141C" w:rsidP="00CC3C2D">
      <w:pPr>
        <w:pStyle w:val="1"/>
        <w:keepNext/>
        <w:keepLines/>
        <w:widowControl w:val="0"/>
        <w:spacing w:beforeLines="100" w:before="312" w:afterLines="100" w:after="312" w:line="288" w:lineRule="auto"/>
        <w:jc w:val="center"/>
        <w:rPr>
          <w:b/>
          <w:bCs/>
          <w:szCs w:val="24"/>
          <w:lang w:val="en-US"/>
        </w:rPr>
      </w:pPr>
      <w:bookmarkStart w:id="40" w:name="_Toc331410116"/>
      <w:bookmarkStart w:id="41" w:name="_Toc225500054"/>
      <w:r w:rsidRPr="00B54CAD">
        <w:rPr>
          <w:b/>
          <w:bCs/>
          <w:szCs w:val="24"/>
          <w:lang w:val="en-US"/>
        </w:rPr>
        <w:t>10</w:t>
      </w:r>
      <w:r w:rsidRPr="00B54CAD">
        <w:rPr>
          <w:b/>
          <w:bCs/>
          <w:szCs w:val="24"/>
          <w:lang w:val="en-US"/>
        </w:rPr>
        <w:t>重大事件揭示</w:t>
      </w:r>
      <w:bookmarkEnd w:id="40"/>
      <w:bookmarkEnd w:id="41"/>
    </w:p>
    <w:p w:rsidR="00B54CAD" w:rsidRPr="00B54CAD" w:rsidRDefault="00B54CAD" w:rsidP="00B54CAD">
      <w:pPr>
        <w:pStyle w:val="20"/>
        <w:spacing w:before="29" w:after="0" w:line="288" w:lineRule="auto"/>
        <w:rPr>
          <w:rFonts w:ascii="Times New Roman" w:hAnsi="Times New Roman"/>
          <w:kern w:val="0"/>
          <w:szCs w:val="24"/>
        </w:rPr>
      </w:pPr>
      <w:bookmarkStart w:id="42" w:name="_Toc374438161"/>
      <w:bookmarkStart w:id="43" w:name="_Toc361324894"/>
      <w:bookmarkStart w:id="44" w:name="OLE_LINK179"/>
      <w:bookmarkStart w:id="45" w:name="OLE_LINK178"/>
      <w:bookmarkStart w:id="46" w:name="OLE_LINK174"/>
      <w:bookmarkStart w:id="47" w:name="OLE_LINK165"/>
      <w:bookmarkStart w:id="48" w:name="OLE_LINK145"/>
      <w:bookmarkStart w:id="49" w:name="OLE_LINK135"/>
      <w:bookmarkStart w:id="50" w:name="OLE_LINK84"/>
      <w:bookmarkStart w:id="51" w:name="OLE_LINK75"/>
      <w:bookmarkStart w:id="52" w:name="OLE_LINK59"/>
      <w:bookmarkStart w:id="53" w:name="OLE_LINK34"/>
      <w:bookmarkStart w:id="54" w:name="OLE_LINK33"/>
      <w:bookmarkStart w:id="55" w:name="OLE_LINK28"/>
      <w:bookmarkStart w:id="56" w:name="OLE_LINK170"/>
      <w:bookmarkStart w:id="57" w:name="OLE_LINK159"/>
      <w:bookmarkStart w:id="58" w:name="OLE_LINK143"/>
      <w:bookmarkStart w:id="59" w:name="OLE_LINK130"/>
      <w:bookmarkStart w:id="60" w:name="OLE_LINK102"/>
      <w:bookmarkStart w:id="61" w:name="OLE_LINK101"/>
      <w:bookmarkStart w:id="62" w:name="OLE_LINK72"/>
      <w:bookmarkStart w:id="63" w:name="OLE_LINK50"/>
      <w:bookmarkStart w:id="64" w:name="OLE_LINK49"/>
      <w:r w:rsidRPr="00B54CAD">
        <w:rPr>
          <w:rFonts w:ascii="Times New Roman" w:hAnsi="Times New Roman"/>
          <w:kern w:val="0"/>
          <w:szCs w:val="24"/>
        </w:rPr>
        <w:t>10.1</w:t>
      </w:r>
      <w:r w:rsidRPr="00B54CAD">
        <w:rPr>
          <w:rFonts w:ascii="Times New Roman" w:hAnsi="Times New Roman"/>
          <w:kern w:val="0"/>
          <w:szCs w:val="24"/>
        </w:rPr>
        <w:tab/>
      </w:r>
      <w:r w:rsidRPr="00B54CAD">
        <w:rPr>
          <w:rFonts w:ascii="Times New Roman" w:hAnsi="Times New Roman" w:hint="eastAsia"/>
          <w:kern w:val="0"/>
          <w:szCs w:val="24"/>
        </w:rPr>
        <w:t>基金份额持有人大会决议</w:t>
      </w:r>
      <w:bookmarkEnd w:id="42"/>
      <w:bookmarkEnd w:id="43"/>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5" w:name="_Toc374438162"/>
      <w:bookmarkStart w:id="66" w:name="_Toc361324895"/>
      <w:r w:rsidRPr="00B54CAD">
        <w:rPr>
          <w:rFonts w:ascii="Times New Roman" w:hAnsi="Times New Roman"/>
          <w:kern w:val="0"/>
          <w:szCs w:val="24"/>
        </w:rPr>
        <w:t>10.2</w:t>
      </w:r>
      <w:r w:rsidRPr="00B54CAD">
        <w:rPr>
          <w:rFonts w:ascii="Times New Roman" w:hAnsi="Times New Roman"/>
          <w:kern w:val="0"/>
          <w:szCs w:val="24"/>
        </w:rPr>
        <w:tab/>
      </w:r>
      <w:r w:rsidRPr="00B54CAD">
        <w:rPr>
          <w:rFonts w:ascii="Times New Roman" w:hAnsi="Times New Roman" w:hint="eastAsia"/>
          <w:kern w:val="0"/>
          <w:szCs w:val="24"/>
        </w:rPr>
        <w:t>基金管理人、基金托管人的专门基金托管部门的重大人事变动</w:t>
      </w:r>
      <w:bookmarkEnd w:id="65"/>
      <w:bookmarkEnd w:id="66"/>
    </w:p>
    <w:p w:rsidR="00A834B1" w:rsidRDefault="00B142EA">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、基金托管人的基金托管部门的重大人事变动：本基金托管人中国农业银行股份有限公司于</w:t>
      </w:r>
      <w:r w:rsidRPr="00B54CAD">
        <w:rPr>
          <w:kern w:val="0"/>
          <w:sz w:val="24"/>
        </w:rPr>
        <w:t>2019</w:t>
      </w:r>
      <w:r w:rsidRPr="00B54CAD">
        <w:rPr>
          <w:kern w:val="0"/>
          <w:sz w:val="24"/>
        </w:rPr>
        <w:t>年</w:t>
      </w:r>
      <w:r w:rsidRPr="00B54CAD">
        <w:rPr>
          <w:kern w:val="0"/>
          <w:sz w:val="24"/>
        </w:rPr>
        <w:t>1</w:t>
      </w:r>
      <w:r w:rsidRPr="00B54CAD">
        <w:rPr>
          <w:kern w:val="0"/>
          <w:sz w:val="24"/>
        </w:rPr>
        <w:t>月免去史静欣托管业务部副总裁职务，</w:t>
      </w:r>
      <w:r w:rsidRPr="00B54CAD">
        <w:rPr>
          <w:kern w:val="0"/>
          <w:sz w:val="24"/>
        </w:rPr>
        <w:t>2019</w:t>
      </w:r>
      <w:r w:rsidRPr="00B54CAD">
        <w:rPr>
          <w:kern w:val="0"/>
          <w:sz w:val="24"/>
        </w:rPr>
        <w:t>年</w:t>
      </w:r>
      <w:r w:rsidRPr="00B54CAD">
        <w:rPr>
          <w:kern w:val="0"/>
          <w:sz w:val="24"/>
        </w:rPr>
        <w:t>4</w:t>
      </w:r>
      <w:r w:rsidRPr="00B54CAD">
        <w:rPr>
          <w:kern w:val="0"/>
          <w:sz w:val="24"/>
        </w:rPr>
        <w:t>月免去马曙光托管业务部总裁职务。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7" w:name="_Toc374438163"/>
      <w:bookmarkStart w:id="68" w:name="_Toc361324896"/>
      <w:r w:rsidRPr="00B54CAD">
        <w:rPr>
          <w:rFonts w:ascii="Times New Roman" w:hAnsi="Times New Roman"/>
          <w:kern w:val="0"/>
          <w:szCs w:val="24"/>
        </w:rPr>
        <w:t>10.3</w:t>
      </w:r>
      <w:r w:rsidRPr="00B54CAD">
        <w:rPr>
          <w:rFonts w:ascii="Times New Roman" w:hAnsi="Times New Roman"/>
          <w:kern w:val="0"/>
          <w:szCs w:val="24"/>
        </w:rPr>
        <w:tab/>
      </w:r>
      <w:r w:rsidRPr="00B54CAD">
        <w:rPr>
          <w:rFonts w:ascii="Times New Roman" w:hAnsi="Times New Roman" w:hint="eastAsia"/>
          <w:kern w:val="0"/>
          <w:szCs w:val="24"/>
        </w:rPr>
        <w:t>涉及基金管理人、基金财产、基金托管业务的诉讼</w:t>
      </w:r>
      <w:bookmarkEnd w:id="67"/>
      <w:bookmarkEnd w:id="68"/>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9" w:name="_Toc374438164"/>
      <w:bookmarkStart w:id="70" w:name="_Toc361324897"/>
      <w:r w:rsidRPr="00B54CAD">
        <w:rPr>
          <w:rFonts w:ascii="Times New Roman" w:hAnsi="Times New Roman"/>
          <w:kern w:val="0"/>
          <w:szCs w:val="24"/>
        </w:rPr>
        <w:t>10.4</w:t>
      </w:r>
      <w:r w:rsidRPr="00B54CAD">
        <w:rPr>
          <w:rFonts w:ascii="Times New Roman" w:hAnsi="Times New Roman"/>
          <w:kern w:val="0"/>
          <w:szCs w:val="24"/>
        </w:rPr>
        <w:tab/>
      </w:r>
      <w:r w:rsidRPr="00B54CAD">
        <w:rPr>
          <w:rFonts w:ascii="Times New Roman" w:hAnsi="Times New Roman" w:hint="eastAsia"/>
          <w:kern w:val="0"/>
          <w:szCs w:val="24"/>
        </w:rPr>
        <w:t>基金投资策略的改变</w:t>
      </w:r>
      <w:bookmarkEnd w:id="69"/>
      <w:bookmarkEnd w:id="70"/>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1" w:name="_Toc409100103"/>
      <w:bookmarkStart w:id="72"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71"/>
      <w:bookmarkEnd w:id="72"/>
    </w:p>
    <w:p w:rsidR="00B54CAD" w:rsidRPr="00B54CAD" w:rsidRDefault="00B54CAD" w:rsidP="00B54CAD">
      <w:pPr>
        <w:tabs>
          <w:tab w:val="left" w:pos="426"/>
        </w:tabs>
        <w:spacing w:before="29" w:line="288" w:lineRule="auto"/>
        <w:jc w:val="left"/>
        <w:rPr>
          <w:kern w:val="0"/>
          <w:sz w:val="24"/>
        </w:rPr>
      </w:pPr>
      <w:bookmarkStart w:id="73" w:name="OLE_LINK3"/>
      <w:r w:rsidRPr="00B54CAD">
        <w:rPr>
          <w:kern w:val="0"/>
          <w:sz w:val="24"/>
        </w:rPr>
        <w:t>本基金自基金合同生效日起聘请德勤华永会计师事务所（特殊普通合伙）为本基金提供审计服务。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4" w:name="_Toc361324899"/>
      <w:bookmarkStart w:id="75" w:name="_Toc409100467"/>
      <w:bookmarkStart w:id="76" w:name="_Toc409100104"/>
      <w:bookmarkEnd w:id="73"/>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4"/>
      <w:bookmarkEnd w:id="75"/>
      <w:bookmarkEnd w:id="76"/>
    </w:p>
    <w:p w:rsidR="00A834B1" w:rsidRDefault="00B142EA">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A834B1" w:rsidRDefault="00B142EA">
      <w:pPr>
        <w:tabs>
          <w:tab w:val="left" w:pos="426"/>
        </w:tabs>
        <w:spacing w:before="29" w:line="288" w:lineRule="auto"/>
        <w:jc w:val="left"/>
        <w:rPr>
          <w:kern w:val="0"/>
          <w:sz w:val="24"/>
        </w:rPr>
      </w:pPr>
      <w:r>
        <w:rPr>
          <w:kern w:val="0"/>
          <w:sz w:val="24"/>
        </w:rPr>
        <w:t>基金管理人及其高级管理人员本报告期内未受监管部门稽查或处罚。</w:t>
      </w:r>
    </w:p>
    <w:p w:rsidR="00A834B1" w:rsidRDefault="00B142EA">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7" w:name="_Toc409100105"/>
      <w:bookmarkStart w:id="78" w:name="_Toc409100468"/>
      <w:bookmarkStart w:id="79"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7"/>
      <w:bookmarkEnd w:id="78"/>
      <w:bookmarkEnd w:id="79"/>
    </w:p>
    <w:p w:rsidR="00B54CAD" w:rsidRPr="00B54CAD" w:rsidRDefault="00B54CAD" w:rsidP="00B54CAD">
      <w:pPr>
        <w:tabs>
          <w:tab w:val="left" w:pos="426"/>
        </w:tabs>
        <w:spacing w:before="29" w:line="288" w:lineRule="auto"/>
        <w:jc w:val="left"/>
        <w:rPr>
          <w:b/>
          <w:kern w:val="0"/>
          <w:sz w:val="24"/>
        </w:rPr>
      </w:pPr>
      <w:bookmarkStart w:id="80" w:name="_Toc249760070"/>
      <w:r w:rsidRPr="00B54CAD">
        <w:rPr>
          <w:b/>
          <w:kern w:val="0"/>
          <w:sz w:val="24"/>
        </w:rPr>
        <w:t>10.8.1</w:t>
      </w:r>
      <w:r w:rsidRPr="00B54CAD">
        <w:rPr>
          <w:rFonts w:hint="eastAsia"/>
          <w:b/>
          <w:kern w:val="0"/>
          <w:sz w:val="24"/>
        </w:rPr>
        <w:t>基金租用证券公司交易单元进行股票投资及佣金支付情况</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80"/>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81" w:name="_Toc249760071"/>
            <w:r w:rsidRPr="00B54CAD">
              <w:rPr>
                <w:sz w:val="24"/>
              </w:rPr>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A834B1">
        <w:tc>
          <w:tcPr>
            <w:tcW w:w="1559" w:type="dxa"/>
            <w:vAlign w:val="center"/>
          </w:tcPr>
          <w:p w:rsidR="00A834B1" w:rsidRDefault="00B142EA">
            <w:pPr>
              <w:jc w:val="center"/>
            </w:pPr>
            <w:r>
              <w:rPr>
                <w:sz w:val="24"/>
              </w:rPr>
              <w:t>申万宏源证券有限公司</w:t>
            </w:r>
          </w:p>
        </w:tc>
        <w:tc>
          <w:tcPr>
            <w:tcW w:w="779" w:type="dxa"/>
            <w:vAlign w:val="center"/>
          </w:tcPr>
          <w:p w:rsidR="00A834B1" w:rsidRDefault="00B142EA">
            <w:pPr>
              <w:jc w:val="right"/>
            </w:pPr>
            <w:r>
              <w:rPr>
                <w:sz w:val="24"/>
              </w:rPr>
              <w:t>1</w:t>
            </w:r>
          </w:p>
        </w:tc>
        <w:tc>
          <w:tcPr>
            <w:tcW w:w="1800" w:type="dxa"/>
            <w:vAlign w:val="center"/>
          </w:tcPr>
          <w:p w:rsidR="00A834B1" w:rsidRDefault="00B142EA">
            <w:pPr>
              <w:jc w:val="right"/>
            </w:pPr>
            <w:r>
              <w:rPr>
                <w:sz w:val="24"/>
              </w:rPr>
              <w:t>-</w:t>
            </w:r>
          </w:p>
        </w:tc>
        <w:tc>
          <w:tcPr>
            <w:tcW w:w="1080" w:type="dxa"/>
            <w:vAlign w:val="center"/>
          </w:tcPr>
          <w:p w:rsidR="00A834B1" w:rsidRDefault="00B142EA">
            <w:pPr>
              <w:jc w:val="right"/>
            </w:pPr>
            <w:r>
              <w:rPr>
                <w:sz w:val="24"/>
              </w:rPr>
              <w:t>-</w:t>
            </w:r>
          </w:p>
        </w:tc>
        <w:tc>
          <w:tcPr>
            <w:tcW w:w="1620" w:type="dxa"/>
            <w:vAlign w:val="center"/>
          </w:tcPr>
          <w:p w:rsidR="00A834B1" w:rsidRDefault="00B142EA">
            <w:pPr>
              <w:jc w:val="right"/>
            </w:pPr>
            <w:r>
              <w:rPr>
                <w:sz w:val="24"/>
              </w:rPr>
              <w:t>-</w:t>
            </w:r>
          </w:p>
        </w:tc>
        <w:tc>
          <w:tcPr>
            <w:tcW w:w="1080" w:type="dxa"/>
            <w:vAlign w:val="center"/>
          </w:tcPr>
          <w:p w:rsidR="00A834B1" w:rsidRDefault="00B142EA">
            <w:pPr>
              <w:jc w:val="right"/>
            </w:pPr>
            <w:r>
              <w:rPr>
                <w:sz w:val="24"/>
              </w:rPr>
              <w:t>-</w:t>
            </w:r>
          </w:p>
        </w:tc>
        <w:tc>
          <w:tcPr>
            <w:tcW w:w="1080" w:type="dxa"/>
            <w:vAlign w:val="center"/>
          </w:tcPr>
          <w:p w:rsidR="00A834B1" w:rsidRDefault="00B142EA">
            <w:pPr>
              <w:jc w:val="left"/>
            </w:pPr>
            <w:r>
              <w:rPr>
                <w:sz w:val="24"/>
              </w:rPr>
              <w:t>-</w:t>
            </w:r>
          </w:p>
        </w:tc>
      </w:tr>
    </w:tbl>
    <w:p w:rsidR="00A834B1" w:rsidRDefault="00B142E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A834B1" w:rsidRDefault="00B142E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B54CAD" w:rsidRDefault="006D141C" w:rsidP="00792A69">
      <w:pPr>
        <w:tabs>
          <w:tab w:val="left" w:pos="426"/>
        </w:tabs>
        <w:spacing w:before="29" w:line="288" w:lineRule="auto"/>
        <w:jc w:val="left"/>
        <w:rPr>
          <w:kern w:val="0"/>
          <w:sz w:val="24"/>
        </w:rPr>
      </w:pPr>
      <w:r w:rsidRPr="00B54CAD">
        <w:rPr>
          <w:kern w:val="0"/>
          <w:sz w:val="24"/>
        </w:rPr>
        <w:t xml:space="preserve">    3</w:t>
      </w:r>
      <w:r w:rsidRPr="00B54CAD">
        <w:rPr>
          <w:kern w:val="0"/>
          <w:sz w:val="24"/>
        </w:rPr>
        <w:t>、租用证券公司交易单元的程序：首先根据租用证券公司交易单元的选择标准进行综合评价，然后根据评价选择基金交易单元。研究部提交方案，并上报公司批准。</w:t>
      </w:r>
    </w:p>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82" w:name="OLE_LINK177"/>
      <w:bookmarkStart w:id="83" w:name="OLE_LINK176"/>
      <w:bookmarkStart w:id="84" w:name="OLE_LINK175"/>
      <w:bookmarkStart w:id="85" w:name="OLE_LINK156"/>
      <w:bookmarkStart w:id="86" w:name="OLE_LINK146"/>
      <w:bookmarkStart w:id="87" w:name="OLE_LINK108"/>
      <w:bookmarkStart w:id="88" w:name="OLE_LINK37"/>
      <w:bookmarkStart w:id="89" w:name="OLE_LINK36"/>
      <w:bookmarkStart w:id="90" w:name="OLE_LINK35"/>
      <w:bookmarkStart w:id="91" w:name="OLE_LINK32"/>
      <w:bookmarkStart w:id="92" w:name="OLE_LINK31"/>
      <w:bookmarkStart w:id="93" w:name="OLE_LINK30"/>
      <w:bookmarkStart w:id="94" w:name="OLE_LINK29"/>
      <w:bookmarkEnd w:id="81"/>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82"/>
      <w:bookmarkEnd w:id="83"/>
      <w:bookmarkEnd w:id="84"/>
      <w:bookmarkEnd w:id="85"/>
      <w:bookmarkEnd w:id="86"/>
      <w:bookmarkEnd w:id="87"/>
      <w:bookmarkEnd w:id="88"/>
      <w:bookmarkEnd w:id="89"/>
      <w:bookmarkEnd w:id="90"/>
      <w:bookmarkEnd w:id="91"/>
      <w:bookmarkEnd w:id="92"/>
      <w:bookmarkEnd w:id="93"/>
      <w:bookmarkEnd w:id="94"/>
    </w:p>
    <w:p w:rsidR="006D141C" w:rsidRPr="0061644B" w:rsidRDefault="006D141C" w:rsidP="00792A69">
      <w:pPr>
        <w:tabs>
          <w:tab w:val="left" w:pos="426"/>
        </w:tabs>
        <w:spacing w:before="29" w:line="288" w:lineRule="auto"/>
        <w:jc w:val="left"/>
        <w:rPr>
          <w:kern w:val="0"/>
          <w:sz w:val="24"/>
        </w:rPr>
      </w:pPr>
      <w:r w:rsidRPr="0061644B">
        <w:rPr>
          <w:kern w:val="0"/>
          <w:sz w:val="24"/>
        </w:rPr>
        <w:t>无。</w:t>
      </w: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本基金本报告期内未存在偏离度绝对值超过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CC3C2D">
      <w:pPr>
        <w:pStyle w:val="1"/>
        <w:keepNext/>
        <w:keepLines/>
        <w:widowControl w:val="0"/>
        <w:spacing w:beforeLines="100" w:before="312" w:afterLines="100" w:after="312" w:line="360" w:lineRule="auto"/>
        <w:jc w:val="center"/>
        <w:rPr>
          <w:rFonts w:eastAsiaTheme="minorEastAsia"/>
          <w:b/>
          <w:bCs/>
          <w:sz w:val="21"/>
          <w:szCs w:val="21"/>
          <w:lang w:val="en-US"/>
        </w:rPr>
      </w:pPr>
      <w:bookmarkStart w:id="95"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5"/>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A834B1">
        <w:tc>
          <w:tcPr>
            <w:tcW w:w="993" w:type="dxa"/>
            <w:vMerge w:val="restart"/>
          </w:tcPr>
          <w:p w:rsidR="00A834B1" w:rsidRDefault="00A834B1"/>
          <w:p w:rsidR="00A834B1" w:rsidRDefault="00B142EA">
            <w:r>
              <w:rPr>
                <w:rFonts w:ascii="宋体" w:hAnsi="宋体" w:hint="eastAsia"/>
                <w:bCs/>
                <w:color w:val="000000"/>
                <w:kern w:val="0"/>
                <w:szCs w:val="21"/>
              </w:rPr>
              <w:t>机构</w:t>
            </w:r>
          </w:p>
        </w:tc>
        <w:tc>
          <w:tcPr>
            <w:tcW w:w="992" w:type="dxa"/>
            <w:vAlign w:val="center"/>
          </w:tcPr>
          <w:p w:rsidR="00A834B1" w:rsidRDefault="00B142EA">
            <w:pPr>
              <w:jc w:val="center"/>
            </w:pPr>
            <w:r>
              <w:rPr>
                <w:rFonts w:ascii="宋体" w:hAnsi="宋体"/>
                <w:color w:val="000000"/>
                <w:kern w:val="0"/>
                <w:szCs w:val="21"/>
              </w:rPr>
              <w:t>1</w:t>
            </w:r>
          </w:p>
        </w:tc>
        <w:tc>
          <w:tcPr>
            <w:tcW w:w="1843" w:type="dxa"/>
            <w:vAlign w:val="center"/>
          </w:tcPr>
          <w:p w:rsidR="00A834B1" w:rsidRDefault="00B142EA">
            <w:pPr>
              <w:jc w:val="center"/>
            </w:pPr>
            <w:r>
              <w:rPr>
                <w:rFonts w:ascii="宋体" w:hAnsi="宋体"/>
                <w:color w:val="000000"/>
                <w:kern w:val="0"/>
                <w:szCs w:val="21"/>
              </w:rPr>
              <w:t>2019/1/1-2019/6/30</w:t>
            </w:r>
          </w:p>
        </w:tc>
        <w:tc>
          <w:tcPr>
            <w:tcW w:w="851" w:type="dxa"/>
            <w:vAlign w:val="center"/>
          </w:tcPr>
          <w:p w:rsidR="00A834B1" w:rsidRDefault="00B142EA">
            <w:pPr>
              <w:jc w:val="center"/>
            </w:pPr>
            <w:r>
              <w:rPr>
                <w:rFonts w:ascii="宋体" w:hAnsi="宋体"/>
                <w:color w:val="000000"/>
                <w:kern w:val="0"/>
                <w:szCs w:val="21"/>
              </w:rPr>
              <w:t>300,493,761.55</w:t>
            </w:r>
          </w:p>
        </w:tc>
        <w:tc>
          <w:tcPr>
            <w:tcW w:w="850" w:type="dxa"/>
            <w:vAlign w:val="center"/>
          </w:tcPr>
          <w:p w:rsidR="00A834B1" w:rsidRDefault="00B142EA">
            <w:pPr>
              <w:jc w:val="center"/>
            </w:pPr>
            <w:r>
              <w:rPr>
                <w:rFonts w:ascii="宋体" w:hAnsi="宋体"/>
                <w:color w:val="000000"/>
                <w:kern w:val="0"/>
                <w:szCs w:val="21"/>
              </w:rPr>
              <w:t>658,249.18</w:t>
            </w:r>
          </w:p>
        </w:tc>
        <w:tc>
          <w:tcPr>
            <w:tcW w:w="1134" w:type="dxa"/>
            <w:vAlign w:val="center"/>
          </w:tcPr>
          <w:p w:rsidR="00A834B1" w:rsidRDefault="00B142EA">
            <w:pPr>
              <w:jc w:val="center"/>
            </w:pPr>
            <w:r>
              <w:rPr>
                <w:rFonts w:ascii="宋体" w:hAnsi="宋体"/>
                <w:color w:val="000000"/>
                <w:kern w:val="0"/>
                <w:szCs w:val="21"/>
              </w:rPr>
              <w:t>301,152,010.73</w:t>
            </w:r>
          </w:p>
        </w:tc>
        <w:tc>
          <w:tcPr>
            <w:tcW w:w="1419" w:type="dxa"/>
            <w:vAlign w:val="center"/>
          </w:tcPr>
          <w:p w:rsidR="00A834B1" w:rsidRDefault="00B142EA">
            <w:pPr>
              <w:jc w:val="center"/>
            </w:pPr>
            <w:r>
              <w:rPr>
                <w:rFonts w:ascii="宋体" w:hAnsi="宋体"/>
                <w:color w:val="000000"/>
                <w:kern w:val="0"/>
                <w:szCs w:val="21"/>
              </w:rPr>
              <w:t>-</w:t>
            </w:r>
          </w:p>
        </w:tc>
        <w:tc>
          <w:tcPr>
            <w:tcW w:w="1130" w:type="dxa"/>
            <w:vAlign w:val="center"/>
          </w:tcPr>
          <w:p w:rsidR="00A834B1" w:rsidRDefault="00B142EA">
            <w:pPr>
              <w:jc w:val="center"/>
            </w:pPr>
            <w:r>
              <w:rPr>
                <w:rFonts w:ascii="宋体" w:hAnsi="宋体"/>
                <w:color w:val="000000"/>
                <w:kern w:val="0"/>
                <w:szCs w:val="21"/>
              </w:rPr>
              <w:t>-</w:t>
            </w:r>
          </w:p>
        </w:tc>
      </w:tr>
      <w:tr w:rsidR="00A834B1">
        <w:tc>
          <w:tcPr>
            <w:tcW w:w="993" w:type="dxa"/>
            <w:vMerge/>
          </w:tcPr>
          <w:p w:rsidR="00A834B1" w:rsidRDefault="00A834B1"/>
        </w:tc>
        <w:tc>
          <w:tcPr>
            <w:tcW w:w="992" w:type="dxa"/>
            <w:vAlign w:val="center"/>
          </w:tcPr>
          <w:p w:rsidR="00A834B1" w:rsidRDefault="00B142EA">
            <w:pPr>
              <w:jc w:val="center"/>
            </w:pPr>
            <w:r>
              <w:rPr>
                <w:rFonts w:ascii="宋体" w:hAnsi="宋体"/>
                <w:color w:val="000000"/>
                <w:kern w:val="0"/>
                <w:szCs w:val="21"/>
              </w:rPr>
              <w:t>2</w:t>
            </w:r>
          </w:p>
        </w:tc>
        <w:tc>
          <w:tcPr>
            <w:tcW w:w="1843" w:type="dxa"/>
            <w:vAlign w:val="center"/>
          </w:tcPr>
          <w:p w:rsidR="00A834B1" w:rsidRDefault="00B142EA">
            <w:pPr>
              <w:jc w:val="center"/>
            </w:pPr>
            <w:r>
              <w:rPr>
                <w:rFonts w:ascii="宋体" w:hAnsi="宋体"/>
                <w:color w:val="000000"/>
                <w:kern w:val="0"/>
                <w:szCs w:val="21"/>
              </w:rPr>
              <w:t>2019/1/1-2019/6/30</w:t>
            </w:r>
          </w:p>
        </w:tc>
        <w:tc>
          <w:tcPr>
            <w:tcW w:w="851" w:type="dxa"/>
            <w:vAlign w:val="center"/>
          </w:tcPr>
          <w:p w:rsidR="00A834B1" w:rsidRDefault="00B142EA">
            <w:pPr>
              <w:jc w:val="center"/>
            </w:pPr>
            <w:r>
              <w:rPr>
                <w:rFonts w:ascii="宋体" w:hAnsi="宋体"/>
                <w:color w:val="000000"/>
                <w:kern w:val="0"/>
                <w:szCs w:val="21"/>
              </w:rPr>
              <w:t>355,802,292.29</w:t>
            </w:r>
          </w:p>
        </w:tc>
        <w:tc>
          <w:tcPr>
            <w:tcW w:w="850" w:type="dxa"/>
            <w:vAlign w:val="center"/>
          </w:tcPr>
          <w:p w:rsidR="00A834B1" w:rsidRDefault="00B142EA">
            <w:pPr>
              <w:jc w:val="center"/>
            </w:pPr>
            <w:r>
              <w:rPr>
                <w:rFonts w:ascii="宋体" w:hAnsi="宋体"/>
                <w:color w:val="000000"/>
                <w:kern w:val="0"/>
                <w:szCs w:val="21"/>
              </w:rPr>
              <w:t>2,336,632.70</w:t>
            </w:r>
          </w:p>
        </w:tc>
        <w:tc>
          <w:tcPr>
            <w:tcW w:w="1134" w:type="dxa"/>
            <w:vAlign w:val="center"/>
          </w:tcPr>
          <w:p w:rsidR="00A834B1" w:rsidRDefault="00B142EA">
            <w:pPr>
              <w:jc w:val="center"/>
            </w:pPr>
            <w:r>
              <w:rPr>
                <w:rFonts w:ascii="宋体" w:hAnsi="宋体"/>
                <w:color w:val="000000"/>
                <w:kern w:val="0"/>
                <w:szCs w:val="21"/>
              </w:rPr>
              <w:t>358,138,924.99</w:t>
            </w:r>
          </w:p>
        </w:tc>
        <w:tc>
          <w:tcPr>
            <w:tcW w:w="1419" w:type="dxa"/>
            <w:vAlign w:val="center"/>
          </w:tcPr>
          <w:p w:rsidR="00A834B1" w:rsidRDefault="00B142EA">
            <w:pPr>
              <w:jc w:val="center"/>
            </w:pPr>
            <w:r>
              <w:rPr>
                <w:rFonts w:ascii="宋体" w:hAnsi="宋体"/>
                <w:color w:val="000000"/>
                <w:kern w:val="0"/>
                <w:szCs w:val="21"/>
              </w:rPr>
              <w:t>-</w:t>
            </w:r>
          </w:p>
        </w:tc>
        <w:tc>
          <w:tcPr>
            <w:tcW w:w="1130" w:type="dxa"/>
            <w:vAlign w:val="center"/>
          </w:tcPr>
          <w:p w:rsidR="00A834B1" w:rsidRDefault="00B142EA">
            <w:pPr>
              <w:jc w:val="center"/>
            </w:pPr>
            <w:r>
              <w:rPr>
                <w:rFonts w:ascii="宋体" w:hAnsi="宋体"/>
                <w:color w:val="000000"/>
                <w:kern w:val="0"/>
                <w:szCs w:val="21"/>
              </w:rPr>
              <w:t>-</w:t>
            </w:r>
          </w:p>
        </w:tc>
      </w:tr>
      <w:tr w:rsidR="00A834B1">
        <w:tc>
          <w:tcPr>
            <w:tcW w:w="993" w:type="dxa"/>
            <w:vMerge/>
          </w:tcPr>
          <w:p w:rsidR="00A834B1" w:rsidRDefault="00A834B1"/>
        </w:tc>
        <w:tc>
          <w:tcPr>
            <w:tcW w:w="992" w:type="dxa"/>
            <w:vAlign w:val="center"/>
          </w:tcPr>
          <w:p w:rsidR="00A834B1" w:rsidRDefault="00B142EA">
            <w:pPr>
              <w:jc w:val="center"/>
            </w:pPr>
            <w:r>
              <w:rPr>
                <w:rFonts w:ascii="宋体" w:hAnsi="宋体"/>
                <w:color w:val="000000"/>
                <w:kern w:val="0"/>
                <w:szCs w:val="21"/>
              </w:rPr>
              <w:t>3</w:t>
            </w:r>
          </w:p>
        </w:tc>
        <w:tc>
          <w:tcPr>
            <w:tcW w:w="1843" w:type="dxa"/>
            <w:vAlign w:val="center"/>
          </w:tcPr>
          <w:p w:rsidR="00A834B1" w:rsidRDefault="00B142EA">
            <w:pPr>
              <w:jc w:val="center"/>
            </w:pPr>
            <w:r>
              <w:rPr>
                <w:rFonts w:ascii="宋体" w:hAnsi="宋体"/>
                <w:color w:val="000000"/>
                <w:kern w:val="0"/>
                <w:szCs w:val="21"/>
              </w:rPr>
              <w:t>2019/1/1-2019/6/30</w:t>
            </w:r>
          </w:p>
        </w:tc>
        <w:tc>
          <w:tcPr>
            <w:tcW w:w="851" w:type="dxa"/>
            <w:vAlign w:val="center"/>
          </w:tcPr>
          <w:p w:rsidR="00A834B1" w:rsidRDefault="00B142EA">
            <w:pPr>
              <w:jc w:val="center"/>
            </w:pPr>
            <w:r>
              <w:rPr>
                <w:rFonts w:ascii="宋体" w:hAnsi="宋体"/>
                <w:color w:val="000000"/>
                <w:kern w:val="0"/>
                <w:szCs w:val="21"/>
              </w:rPr>
              <w:t>-</w:t>
            </w:r>
          </w:p>
        </w:tc>
        <w:tc>
          <w:tcPr>
            <w:tcW w:w="850" w:type="dxa"/>
            <w:vAlign w:val="center"/>
          </w:tcPr>
          <w:p w:rsidR="00A834B1" w:rsidRDefault="00B142EA">
            <w:pPr>
              <w:jc w:val="center"/>
            </w:pPr>
            <w:r>
              <w:rPr>
                <w:rFonts w:ascii="宋体" w:hAnsi="宋体"/>
                <w:color w:val="000000"/>
                <w:kern w:val="0"/>
                <w:szCs w:val="21"/>
              </w:rPr>
              <w:t>200,000,000.00</w:t>
            </w:r>
          </w:p>
        </w:tc>
        <w:tc>
          <w:tcPr>
            <w:tcW w:w="1134" w:type="dxa"/>
            <w:vAlign w:val="center"/>
          </w:tcPr>
          <w:p w:rsidR="00A834B1" w:rsidRDefault="00B142EA">
            <w:pPr>
              <w:jc w:val="center"/>
            </w:pPr>
            <w:r>
              <w:rPr>
                <w:rFonts w:ascii="宋体" w:hAnsi="宋体"/>
                <w:color w:val="000000"/>
                <w:kern w:val="0"/>
                <w:szCs w:val="21"/>
              </w:rPr>
              <w:t>200,000,000.00</w:t>
            </w:r>
          </w:p>
        </w:tc>
        <w:tc>
          <w:tcPr>
            <w:tcW w:w="1419" w:type="dxa"/>
            <w:vAlign w:val="center"/>
          </w:tcPr>
          <w:p w:rsidR="00A834B1" w:rsidRDefault="00B142EA">
            <w:pPr>
              <w:jc w:val="center"/>
            </w:pPr>
            <w:r>
              <w:rPr>
                <w:rFonts w:ascii="宋体" w:hAnsi="宋体"/>
                <w:color w:val="000000"/>
                <w:kern w:val="0"/>
                <w:szCs w:val="21"/>
              </w:rPr>
              <w:t>-</w:t>
            </w:r>
          </w:p>
        </w:tc>
        <w:tc>
          <w:tcPr>
            <w:tcW w:w="1130" w:type="dxa"/>
            <w:vAlign w:val="center"/>
          </w:tcPr>
          <w:p w:rsidR="00A834B1" w:rsidRDefault="00B142EA">
            <w:pPr>
              <w:jc w:val="center"/>
            </w:pPr>
            <w:r>
              <w:rPr>
                <w:rFonts w:ascii="宋体" w:hAnsi="宋体"/>
                <w:color w:val="000000"/>
                <w:kern w:val="0"/>
                <w:szCs w:val="21"/>
              </w:rPr>
              <w:t>-</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A5319E" w:rsidRDefault="00A5319E"/>
    <w:sectPr w:rsidR="00A5319E"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451" w:rsidRDefault="00FB7451">
      <w:r>
        <w:separator/>
      </w:r>
    </w:p>
  </w:endnote>
  <w:endnote w:type="continuationSeparator" w:id="0">
    <w:p w:rsidR="00FB7451" w:rsidRDefault="00FB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F4068E" w:rsidP="00C03B3A">
    <w:pPr>
      <w:pStyle w:val="a6"/>
      <w:framePr w:wrap="around" w:vAnchor="text" w:hAnchor="margin" w:xAlign="right" w:y="1"/>
      <w:rPr>
        <w:rStyle w:val="a7"/>
      </w:rPr>
    </w:pPr>
    <w:r>
      <w:rPr>
        <w:rStyle w:val="a7"/>
      </w:rPr>
      <w:fldChar w:fldCharType="begin"/>
    </w:r>
    <w:r w:rsidR="00B258B8">
      <w:rPr>
        <w:rStyle w:val="a7"/>
      </w:rPr>
      <w:instrText xml:space="preserve">PAGE  </w:instrText>
    </w:r>
    <w:r>
      <w:rPr>
        <w:rStyle w:val="a7"/>
      </w:rPr>
      <w:fldChar w:fldCharType="end"/>
    </w:r>
  </w:p>
  <w:p w:rsidR="00B258B8" w:rsidRDefault="00B258B8"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Default="00B258B8" w:rsidP="00C03B3A">
    <w:pPr>
      <w:pStyle w:val="a6"/>
      <w:ind w:right="360"/>
      <w:jc w:val="center"/>
    </w:pPr>
    <w:r>
      <w:rPr>
        <w:rFonts w:hint="eastAsia"/>
        <w:kern w:val="0"/>
        <w:szCs w:val="21"/>
      </w:rPr>
      <w:t>第</w:t>
    </w:r>
    <w:r w:rsidR="00F4068E">
      <w:rPr>
        <w:kern w:val="0"/>
        <w:szCs w:val="21"/>
      </w:rPr>
      <w:fldChar w:fldCharType="begin"/>
    </w:r>
    <w:r>
      <w:rPr>
        <w:kern w:val="0"/>
        <w:szCs w:val="21"/>
      </w:rPr>
      <w:instrText xml:space="preserve"> PAGE </w:instrText>
    </w:r>
    <w:r w:rsidR="00F4068E">
      <w:rPr>
        <w:kern w:val="0"/>
        <w:szCs w:val="21"/>
      </w:rPr>
      <w:fldChar w:fldCharType="separate"/>
    </w:r>
    <w:r w:rsidR="00645D0B">
      <w:rPr>
        <w:noProof/>
        <w:kern w:val="0"/>
        <w:szCs w:val="21"/>
      </w:rPr>
      <w:t>12</w:t>
    </w:r>
    <w:r w:rsidR="00F4068E">
      <w:rPr>
        <w:kern w:val="0"/>
        <w:szCs w:val="21"/>
      </w:rPr>
      <w:fldChar w:fldCharType="end"/>
    </w:r>
    <w:r>
      <w:rPr>
        <w:rFonts w:hint="eastAsia"/>
        <w:kern w:val="0"/>
        <w:szCs w:val="21"/>
      </w:rPr>
      <w:t>页共</w:t>
    </w:r>
    <w:r w:rsidR="00F4068E">
      <w:rPr>
        <w:kern w:val="0"/>
        <w:szCs w:val="21"/>
      </w:rPr>
      <w:fldChar w:fldCharType="begin"/>
    </w:r>
    <w:r>
      <w:rPr>
        <w:kern w:val="0"/>
        <w:szCs w:val="21"/>
      </w:rPr>
      <w:instrText xml:space="preserve"> NUMPAGES </w:instrText>
    </w:r>
    <w:r w:rsidR="00F4068E">
      <w:rPr>
        <w:kern w:val="0"/>
        <w:szCs w:val="21"/>
      </w:rPr>
      <w:fldChar w:fldCharType="separate"/>
    </w:r>
    <w:r w:rsidR="00645D0B">
      <w:rPr>
        <w:noProof/>
        <w:kern w:val="0"/>
        <w:szCs w:val="21"/>
      </w:rPr>
      <w:t>31</w:t>
    </w:r>
    <w:r w:rsidR="00F4068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451" w:rsidRDefault="00FB7451">
      <w:r>
        <w:separator/>
      </w:r>
    </w:p>
  </w:footnote>
  <w:footnote w:type="continuationSeparator" w:id="0">
    <w:p w:rsidR="00FB7451" w:rsidRDefault="00FB7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8B8" w:rsidRPr="0023771C" w:rsidRDefault="00B258B8" w:rsidP="00C35130">
    <w:pPr>
      <w:pStyle w:val="a9"/>
      <w:pBdr>
        <w:bottom w:val="single" w:sz="6" w:space="0" w:color="auto"/>
      </w:pBdr>
      <w:jc w:val="right"/>
    </w:pPr>
    <w:r w:rsidRPr="0023771C">
      <w:rPr>
        <w:rFonts w:hint="eastAsia"/>
      </w:rPr>
      <w:t>交银施罗德货币市场证券投资基金</w:t>
    </w:r>
    <w:r w:rsidRPr="0023771C">
      <w:rPr>
        <w:rFonts w:hint="eastAsia"/>
      </w:rPr>
      <w:t>2019</w:t>
    </w:r>
    <w:r w:rsidRPr="0023771C">
      <w:rPr>
        <w:rFonts w:hint="eastAsia"/>
      </w:rPr>
      <w:t>年半年度报告摘要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F8F" w:rsidRDefault="000B2F8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0AD1"/>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174"/>
    <w:rsid w:val="00156E5B"/>
    <w:rsid w:val="00157418"/>
    <w:rsid w:val="00157B5A"/>
    <w:rsid w:val="0016050B"/>
    <w:rsid w:val="00160B56"/>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593"/>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AE2"/>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1E5B"/>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D13"/>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277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57AED"/>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5D0B"/>
    <w:rsid w:val="006468CB"/>
    <w:rsid w:val="00651B78"/>
    <w:rsid w:val="00651C95"/>
    <w:rsid w:val="00652263"/>
    <w:rsid w:val="0065238F"/>
    <w:rsid w:val="00652881"/>
    <w:rsid w:val="00652985"/>
    <w:rsid w:val="00652E2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4D59"/>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6F787F"/>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3BE5"/>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19E"/>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4B1"/>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42EA"/>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A7A12"/>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3C2D"/>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68E"/>
    <w:rsid w:val="00F40CE6"/>
    <w:rsid w:val="00F41287"/>
    <w:rsid w:val="00F41B59"/>
    <w:rsid w:val="00F42099"/>
    <w:rsid w:val="00F423BD"/>
    <w:rsid w:val="00F431C5"/>
    <w:rsid w:val="00F432FF"/>
    <w:rsid w:val="00F44C94"/>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451"/>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B3E2035-E73D-46A0-BDB2-DC37A78EA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6085B-526A-4066-BB52-1EAA4A8D9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31</Pages>
  <Words>3337</Words>
  <Characters>19027</Characters>
  <Application>Microsoft Office Word</Application>
  <DocSecurity>0</DocSecurity>
  <Lines>158</Lines>
  <Paragraphs>44</Paragraphs>
  <ScaleCrop>false</ScaleCrop>
  <Company/>
  <LinksUpToDate>false</LinksUpToDate>
  <CharactersWithSpaces>22320</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21</cp:revision>
  <cp:lastPrinted>2007-07-19T00:46:00Z</cp:lastPrinted>
  <dcterms:created xsi:type="dcterms:W3CDTF">2017-08-23T01:30:00Z</dcterms:created>
  <dcterms:modified xsi:type="dcterms:W3CDTF">2019-08-28T02:08:00Z</dcterms:modified>
</cp:coreProperties>
</file>