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交银施罗德丰享收益债券型证券投资基金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796463"/>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796464"/>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39056C" w:rsidRDefault="005409C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39056C" w:rsidRDefault="005409C6">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9056C" w:rsidRDefault="005409C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9056C" w:rsidRDefault="005409C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9056C" w:rsidRDefault="005409C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19242D"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796463" w:history="1">
        <w:r w:rsidR="0019242D" w:rsidRPr="005F08D9">
          <w:rPr>
            <w:rStyle w:val="a8"/>
            <w:b/>
            <w:bCs/>
            <w:noProof/>
          </w:rPr>
          <w:t xml:space="preserve">§1  </w:t>
        </w:r>
        <w:r w:rsidR="0019242D" w:rsidRPr="005F08D9">
          <w:rPr>
            <w:rStyle w:val="a8"/>
            <w:rFonts w:hint="eastAsia"/>
            <w:b/>
            <w:bCs/>
            <w:noProof/>
          </w:rPr>
          <w:t>重要提示及目录</w:t>
        </w:r>
        <w:r w:rsidR="0019242D">
          <w:rPr>
            <w:noProof/>
            <w:webHidden/>
          </w:rPr>
          <w:tab/>
        </w:r>
        <w:r w:rsidR="0019242D">
          <w:rPr>
            <w:noProof/>
            <w:webHidden/>
          </w:rPr>
          <w:fldChar w:fldCharType="begin"/>
        </w:r>
        <w:r w:rsidR="0019242D">
          <w:rPr>
            <w:noProof/>
            <w:webHidden/>
          </w:rPr>
          <w:instrText xml:space="preserve"> PAGEREF _Toc17796463 \h </w:instrText>
        </w:r>
        <w:r w:rsidR="0019242D">
          <w:rPr>
            <w:noProof/>
            <w:webHidden/>
          </w:rPr>
        </w:r>
        <w:r w:rsidR="0019242D">
          <w:rPr>
            <w:noProof/>
            <w:webHidden/>
          </w:rPr>
          <w:fldChar w:fldCharType="separate"/>
        </w:r>
        <w:r w:rsidR="0019242D">
          <w:rPr>
            <w:noProof/>
            <w:webHidden/>
          </w:rPr>
          <w:t>2</w:t>
        </w:r>
        <w:r w:rsidR="0019242D">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64" w:history="1">
        <w:r w:rsidRPr="005F08D9">
          <w:rPr>
            <w:rStyle w:val="a8"/>
            <w:noProof/>
          </w:rPr>
          <w:t xml:space="preserve">1.1 </w:t>
        </w:r>
        <w:r w:rsidRPr="005F08D9">
          <w:rPr>
            <w:rStyle w:val="a8"/>
            <w:rFonts w:hint="eastAsia"/>
            <w:noProof/>
          </w:rPr>
          <w:t>重要提示</w:t>
        </w:r>
        <w:r>
          <w:rPr>
            <w:noProof/>
            <w:webHidden/>
          </w:rPr>
          <w:tab/>
        </w:r>
        <w:r>
          <w:rPr>
            <w:noProof/>
            <w:webHidden/>
          </w:rPr>
          <w:fldChar w:fldCharType="begin"/>
        </w:r>
        <w:r>
          <w:rPr>
            <w:noProof/>
            <w:webHidden/>
          </w:rPr>
          <w:instrText xml:space="preserve"> PAGEREF _Toc17796464 \h </w:instrText>
        </w:r>
        <w:r>
          <w:rPr>
            <w:noProof/>
            <w:webHidden/>
          </w:rPr>
        </w:r>
        <w:r>
          <w:rPr>
            <w:noProof/>
            <w:webHidden/>
          </w:rPr>
          <w:fldChar w:fldCharType="separate"/>
        </w:r>
        <w:r>
          <w:rPr>
            <w:noProof/>
            <w:webHidden/>
          </w:rPr>
          <w:t>2</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465" w:history="1">
        <w:r w:rsidRPr="005F08D9">
          <w:rPr>
            <w:rStyle w:val="a8"/>
            <w:b/>
            <w:bCs/>
            <w:noProof/>
          </w:rPr>
          <w:t xml:space="preserve">§2  </w:t>
        </w:r>
        <w:r w:rsidRPr="005F08D9">
          <w:rPr>
            <w:rStyle w:val="a8"/>
            <w:rFonts w:hint="eastAsia"/>
            <w:b/>
            <w:bCs/>
            <w:noProof/>
          </w:rPr>
          <w:t>基金简介</w:t>
        </w:r>
        <w:r>
          <w:rPr>
            <w:noProof/>
            <w:webHidden/>
          </w:rPr>
          <w:tab/>
        </w:r>
        <w:r>
          <w:rPr>
            <w:noProof/>
            <w:webHidden/>
          </w:rPr>
          <w:fldChar w:fldCharType="begin"/>
        </w:r>
        <w:r>
          <w:rPr>
            <w:noProof/>
            <w:webHidden/>
          </w:rPr>
          <w:instrText xml:space="preserve"> PAGEREF _Toc17796465 \h </w:instrText>
        </w:r>
        <w:r>
          <w:rPr>
            <w:noProof/>
            <w:webHidden/>
          </w:rPr>
        </w:r>
        <w:r>
          <w:rPr>
            <w:noProof/>
            <w:webHidden/>
          </w:rPr>
          <w:fldChar w:fldCharType="separate"/>
        </w:r>
        <w:r>
          <w:rPr>
            <w:noProof/>
            <w:webHidden/>
          </w:rPr>
          <w:t>5</w:t>
        </w:r>
        <w:r>
          <w:rPr>
            <w:noProof/>
            <w:webHidden/>
          </w:rPr>
          <w:fldChar w:fldCharType="end"/>
        </w:r>
      </w:hyperlink>
    </w:p>
    <w:p w:rsidR="0019242D" w:rsidRDefault="0019242D">
      <w:pPr>
        <w:pStyle w:val="22"/>
        <w:tabs>
          <w:tab w:val="left" w:pos="1050"/>
        </w:tabs>
        <w:rPr>
          <w:rFonts w:asciiTheme="minorHAnsi" w:eastAsiaTheme="minorEastAsia" w:hAnsiTheme="minorHAnsi" w:cstheme="minorBidi"/>
          <w:noProof/>
          <w:kern w:val="2"/>
          <w:szCs w:val="22"/>
        </w:rPr>
      </w:pPr>
      <w:hyperlink w:anchor="_Toc17796466" w:history="1">
        <w:r w:rsidRPr="005F08D9">
          <w:rPr>
            <w:rStyle w:val="a8"/>
            <w:noProof/>
          </w:rPr>
          <w:t>2.1</w:t>
        </w:r>
        <w:r>
          <w:rPr>
            <w:rFonts w:asciiTheme="minorHAnsi" w:eastAsiaTheme="minorEastAsia" w:hAnsiTheme="minorHAnsi" w:cstheme="minorBidi"/>
            <w:noProof/>
            <w:kern w:val="2"/>
            <w:szCs w:val="22"/>
          </w:rPr>
          <w:tab/>
        </w:r>
        <w:r w:rsidRPr="005F08D9">
          <w:rPr>
            <w:rStyle w:val="a8"/>
            <w:rFonts w:hint="eastAsia"/>
            <w:noProof/>
          </w:rPr>
          <w:t>基金基本情况</w:t>
        </w:r>
        <w:r>
          <w:rPr>
            <w:noProof/>
            <w:webHidden/>
          </w:rPr>
          <w:tab/>
        </w:r>
        <w:r>
          <w:rPr>
            <w:noProof/>
            <w:webHidden/>
          </w:rPr>
          <w:fldChar w:fldCharType="begin"/>
        </w:r>
        <w:r>
          <w:rPr>
            <w:noProof/>
            <w:webHidden/>
          </w:rPr>
          <w:instrText xml:space="preserve"> PAGEREF _Toc17796466 \h </w:instrText>
        </w:r>
        <w:r>
          <w:rPr>
            <w:noProof/>
            <w:webHidden/>
          </w:rPr>
        </w:r>
        <w:r>
          <w:rPr>
            <w:noProof/>
            <w:webHidden/>
          </w:rPr>
          <w:fldChar w:fldCharType="separate"/>
        </w:r>
        <w:r>
          <w:rPr>
            <w:noProof/>
            <w:webHidden/>
          </w:rPr>
          <w:t>5</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67" w:history="1">
        <w:r w:rsidRPr="005F08D9">
          <w:rPr>
            <w:rStyle w:val="a8"/>
            <w:noProof/>
          </w:rPr>
          <w:t>2.2</w:t>
        </w:r>
        <w:r w:rsidRPr="005F08D9">
          <w:rPr>
            <w:rStyle w:val="a8"/>
            <w:rFonts w:hint="eastAsia"/>
            <w:noProof/>
          </w:rPr>
          <w:t>基金产品说明</w:t>
        </w:r>
        <w:r>
          <w:rPr>
            <w:noProof/>
            <w:webHidden/>
          </w:rPr>
          <w:tab/>
        </w:r>
        <w:r>
          <w:rPr>
            <w:noProof/>
            <w:webHidden/>
          </w:rPr>
          <w:fldChar w:fldCharType="begin"/>
        </w:r>
        <w:r>
          <w:rPr>
            <w:noProof/>
            <w:webHidden/>
          </w:rPr>
          <w:instrText xml:space="preserve"> PAGEREF _Toc17796467 \h </w:instrText>
        </w:r>
        <w:r>
          <w:rPr>
            <w:noProof/>
            <w:webHidden/>
          </w:rPr>
        </w:r>
        <w:r>
          <w:rPr>
            <w:noProof/>
            <w:webHidden/>
          </w:rPr>
          <w:fldChar w:fldCharType="separate"/>
        </w:r>
        <w:r>
          <w:rPr>
            <w:noProof/>
            <w:webHidden/>
          </w:rPr>
          <w:t>5</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68" w:history="1">
        <w:r w:rsidRPr="005F08D9">
          <w:rPr>
            <w:rStyle w:val="a8"/>
            <w:noProof/>
          </w:rPr>
          <w:t xml:space="preserve">2.3 </w:t>
        </w:r>
        <w:r w:rsidRPr="005F08D9">
          <w:rPr>
            <w:rStyle w:val="a8"/>
            <w:rFonts w:hint="eastAsia"/>
            <w:noProof/>
          </w:rPr>
          <w:t>基金管理人和基金托管人</w:t>
        </w:r>
        <w:r>
          <w:rPr>
            <w:noProof/>
            <w:webHidden/>
          </w:rPr>
          <w:tab/>
        </w:r>
        <w:r>
          <w:rPr>
            <w:noProof/>
            <w:webHidden/>
          </w:rPr>
          <w:fldChar w:fldCharType="begin"/>
        </w:r>
        <w:r>
          <w:rPr>
            <w:noProof/>
            <w:webHidden/>
          </w:rPr>
          <w:instrText xml:space="preserve"> PAGEREF _Toc17796468 \h </w:instrText>
        </w:r>
        <w:r>
          <w:rPr>
            <w:noProof/>
            <w:webHidden/>
          </w:rPr>
        </w:r>
        <w:r>
          <w:rPr>
            <w:noProof/>
            <w:webHidden/>
          </w:rPr>
          <w:fldChar w:fldCharType="separate"/>
        </w:r>
        <w:r>
          <w:rPr>
            <w:noProof/>
            <w:webHidden/>
          </w:rPr>
          <w:t>6</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69" w:history="1">
        <w:r w:rsidRPr="005F08D9">
          <w:rPr>
            <w:rStyle w:val="a8"/>
            <w:noProof/>
          </w:rPr>
          <w:t xml:space="preserve">2.4 </w:t>
        </w:r>
        <w:r w:rsidRPr="005F08D9">
          <w:rPr>
            <w:rStyle w:val="a8"/>
            <w:rFonts w:hint="eastAsia"/>
            <w:noProof/>
          </w:rPr>
          <w:t>信息披露方式</w:t>
        </w:r>
        <w:r>
          <w:rPr>
            <w:noProof/>
            <w:webHidden/>
          </w:rPr>
          <w:tab/>
        </w:r>
        <w:r>
          <w:rPr>
            <w:noProof/>
            <w:webHidden/>
          </w:rPr>
          <w:fldChar w:fldCharType="begin"/>
        </w:r>
        <w:r>
          <w:rPr>
            <w:noProof/>
            <w:webHidden/>
          </w:rPr>
          <w:instrText xml:space="preserve"> PAGEREF _Toc17796469 \h </w:instrText>
        </w:r>
        <w:r>
          <w:rPr>
            <w:noProof/>
            <w:webHidden/>
          </w:rPr>
        </w:r>
        <w:r>
          <w:rPr>
            <w:noProof/>
            <w:webHidden/>
          </w:rPr>
          <w:fldChar w:fldCharType="separate"/>
        </w:r>
        <w:r>
          <w:rPr>
            <w:noProof/>
            <w:webHidden/>
          </w:rPr>
          <w:t>6</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70" w:history="1">
        <w:r w:rsidRPr="005F08D9">
          <w:rPr>
            <w:rStyle w:val="a8"/>
            <w:noProof/>
          </w:rPr>
          <w:t xml:space="preserve">2.5 </w:t>
        </w:r>
        <w:r w:rsidRPr="005F08D9">
          <w:rPr>
            <w:rStyle w:val="a8"/>
            <w:rFonts w:hint="eastAsia"/>
            <w:noProof/>
          </w:rPr>
          <w:t>其他相关资料</w:t>
        </w:r>
        <w:r>
          <w:rPr>
            <w:noProof/>
            <w:webHidden/>
          </w:rPr>
          <w:tab/>
        </w:r>
        <w:r>
          <w:rPr>
            <w:noProof/>
            <w:webHidden/>
          </w:rPr>
          <w:fldChar w:fldCharType="begin"/>
        </w:r>
        <w:r>
          <w:rPr>
            <w:noProof/>
            <w:webHidden/>
          </w:rPr>
          <w:instrText xml:space="preserve"> PAGEREF _Toc17796470 \h </w:instrText>
        </w:r>
        <w:r>
          <w:rPr>
            <w:noProof/>
            <w:webHidden/>
          </w:rPr>
        </w:r>
        <w:r>
          <w:rPr>
            <w:noProof/>
            <w:webHidden/>
          </w:rPr>
          <w:fldChar w:fldCharType="separate"/>
        </w:r>
        <w:r>
          <w:rPr>
            <w:noProof/>
            <w:webHidden/>
          </w:rPr>
          <w:t>7</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471" w:history="1">
        <w:r w:rsidRPr="005F08D9">
          <w:rPr>
            <w:rStyle w:val="a8"/>
            <w:b/>
            <w:bCs/>
            <w:noProof/>
          </w:rPr>
          <w:t xml:space="preserve">§3  </w:t>
        </w:r>
        <w:r w:rsidRPr="005F08D9">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_Toc17796471 \h </w:instrText>
        </w:r>
        <w:r>
          <w:rPr>
            <w:noProof/>
            <w:webHidden/>
          </w:rPr>
        </w:r>
        <w:r>
          <w:rPr>
            <w:noProof/>
            <w:webHidden/>
          </w:rPr>
          <w:fldChar w:fldCharType="separate"/>
        </w:r>
        <w:r>
          <w:rPr>
            <w:noProof/>
            <w:webHidden/>
          </w:rPr>
          <w:t>7</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72" w:history="1">
        <w:r w:rsidRPr="005F08D9">
          <w:rPr>
            <w:rStyle w:val="a8"/>
            <w:noProof/>
          </w:rPr>
          <w:t xml:space="preserve">3.1 </w:t>
        </w:r>
        <w:r w:rsidRPr="005F08D9">
          <w:rPr>
            <w:rStyle w:val="a8"/>
            <w:rFonts w:hint="eastAsia"/>
            <w:noProof/>
          </w:rPr>
          <w:t>主要会计数据和财务指标</w:t>
        </w:r>
        <w:r>
          <w:rPr>
            <w:noProof/>
            <w:webHidden/>
          </w:rPr>
          <w:tab/>
        </w:r>
        <w:r>
          <w:rPr>
            <w:noProof/>
            <w:webHidden/>
          </w:rPr>
          <w:fldChar w:fldCharType="begin"/>
        </w:r>
        <w:r>
          <w:rPr>
            <w:noProof/>
            <w:webHidden/>
          </w:rPr>
          <w:instrText xml:space="preserve"> PAGEREF _Toc17796472 \h </w:instrText>
        </w:r>
        <w:r>
          <w:rPr>
            <w:noProof/>
            <w:webHidden/>
          </w:rPr>
        </w:r>
        <w:r>
          <w:rPr>
            <w:noProof/>
            <w:webHidden/>
          </w:rPr>
          <w:fldChar w:fldCharType="separate"/>
        </w:r>
        <w:r>
          <w:rPr>
            <w:noProof/>
            <w:webHidden/>
          </w:rPr>
          <w:t>7</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73" w:history="1">
        <w:r w:rsidRPr="005F08D9">
          <w:rPr>
            <w:rStyle w:val="a8"/>
            <w:noProof/>
          </w:rPr>
          <w:t xml:space="preserve">3.2 </w:t>
        </w:r>
        <w:r w:rsidRPr="005F08D9">
          <w:rPr>
            <w:rStyle w:val="a8"/>
            <w:rFonts w:hint="eastAsia"/>
            <w:noProof/>
          </w:rPr>
          <w:t>基金净值表现</w:t>
        </w:r>
        <w:r>
          <w:rPr>
            <w:noProof/>
            <w:webHidden/>
          </w:rPr>
          <w:tab/>
        </w:r>
        <w:r>
          <w:rPr>
            <w:noProof/>
            <w:webHidden/>
          </w:rPr>
          <w:fldChar w:fldCharType="begin"/>
        </w:r>
        <w:r>
          <w:rPr>
            <w:noProof/>
            <w:webHidden/>
          </w:rPr>
          <w:instrText xml:space="preserve"> PAGEREF _Toc17796473 \h </w:instrText>
        </w:r>
        <w:r>
          <w:rPr>
            <w:noProof/>
            <w:webHidden/>
          </w:rPr>
        </w:r>
        <w:r>
          <w:rPr>
            <w:noProof/>
            <w:webHidden/>
          </w:rPr>
          <w:fldChar w:fldCharType="separate"/>
        </w:r>
        <w:r>
          <w:rPr>
            <w:noProof/>
            <w:webHidden/>
          </w:rPr>
          <w:t>8</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474" w:history="1">
        <w:r w:rsidRPr="005F08D9">
          <w:rPr>
            <w:rStyle w:val="a8"/>
            <w:b/>
            <w:bCs/>
            <w:noProof/>
          </w:rPr>
          <w:t xml:space="preserve">§4  </w:t>
        </w:r>
        <w:r w:rsidRPr="005F08D9">
          <w:rPr>
            <w:rStyle w:val="a8"/>
            <w:rFonts w:hint="eastAsia"/>
            <w:b/>
            <w:bCs/>
            <w:noProof/>
          </w:rPr>
          <w:t>管理人报告</w:t>
        </w:r>
        <w:r>
          <w:rPr>
            <w:noProof/>
            <w:webHidden/>
          </w:rPr>
          <w:tab/>
        </w:r>
        <w:r>
          <w:rPr>
            <w:noProof/>
            <w:webHidden/>
          </w:rPr>
          <w:fldChar w:fldCharType="begin"/>
        </w:r>
        <w:r>
          <w:rPr>
            <w:noProof/>
            <w:webHidden/>
          </w:rPr>
          <w:instrText xml:space="preserve"> PAGEREF _Toc17796474 \h </w:instrText>
        </w:r>
        <w:r>
          <w:rPr>
            <w:noProof/>
            <w:webHidden/>
          </w:rPr>
        </w:r>
        <w:r>
          <w:rPr>
            <w:noProof/>
            <w:webHidden/>
          </w:rPr>
          <w:fldChar w:fldCharType="separate"/>
        </w:r>
        <w:r>
          <w:rPr>
            <w:noProof/>
            <w:webHidden/>
          </w:rPr>
          <w:t>10</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75" w:history="1">
        <w:r w:rsidRPr="005F08D9">
          <w:rPr>
            <w:rStyle w:val="a8"/>
            <w:noProof/>
          </w:rPr>
          <w:t xml:space="preserve">4.1 </w:t>
        </w:r>
        <w:r w:rsidRPr="005F08D9">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_Toc17796475 \h </w:instrText>
        </w:r>
        <w:r>
          <w:rPr>
            <w:noProof/>
            <w:webHidden/>
          </w:rPr>
        </w:r>
        <w:r>
          <w:rPr>
            <w:noProof/>
            <w:webHidden/>
          </w:rPr>
          <w:fldChar w:fldCharType="separate"/>
        </w:r>
        <w:r>
          <w:rPr>
            <w:noProof/>
            <w:webHidden/>
          </w:rPr>
          <w:t>10</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76" w:history="1">
        <w:r w:rsidRPr="005F08D9">
          <w:rPr>
            <w:rStyle w:val="a8"/>
            <w:noProof/>
          </w:rPr>
          <w:t xml:space="preserve">4.2 </w:t>
        </w:r>
        <w:r w:rsidRPr="005F08D9">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_Toc17796476 \h </w:instrText>
        </w:r>
        <w:r>
          <w:rPr>
            <w:noProof/>
            <w:webHidden/>
          </w:rPr>
        </w:r>
        <w:r>
          <w:rPr>
            <w:noProof/>
            <w:webHidden/>
          </w:rPr>
          <w:fldChar w:fldCharType="separate"/>
        </w:r>
        <w:r>
          <w:rPr>
            <w:noProof/>
            <w:webHidden/>
          </w:rPr>
          <w:t>11</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77" w:history="1">
        <w:r w:rsidRPr="005F08D9">
          <w:rPr>
            <w:rStyle w:val="a8"/>
            <w:noProof/>
          </w:rPr>
          <w:t xml:space="preserve">4.3 </w:t>
        </w:r>
        <w:r w:rsidRPr="005F08D9">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_Toc17796477 \h </w:instrText>
        </w:r>
        <w:r>
          <w:rPr>
            <w:noProof/>
            <w:webHidden/>
          </w:rPr>
        </w:r>
        <w:r>
          <w:rPr>
            <w:noProof/>
            <w:webHidden/>
          </w:rPr>
          <w:fldChar w:fldCharType="separate"/>
        </w:r>
        <w:r>
          <w:rPr>
            <w:noProof/>
            <w:webHidden/>
          </w:rPr>
          <w:t>11</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78" w:history="1">
        <w:r w:rsidRPr="005F08D9">
          <w:rPr>
            <w:rStyle w:val="a8"/>
            <w:noProof/>
          </w:rPr>
          <w:t xml:space="preserve">4.4 </w:t>
        </w:r>
        <w:r w:rsidRPr="005F08D9">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_Toc17796478 \h </w:instrText>
        </w:r>
        <w:r>
          <w:rPr>
            <w:noProof/>
            <w:webHidden/>
          </w:rPr>
        </w:r>
        <w:r>
          <w:rPr>
            <w:noProof/>
            <w:webHidden/>
          </w:rPr>
          <w:fldChar w:fldCharType="separate"/>
        </w:r>
        <w:r>
          <w:rPr>
            <w:noProof/>
            <w:webHidden/>
          </w:rPr>
          <w:t>12</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79" w:history="1">
        <w:r w:rsidRPr="005F08D9">
          <w:rPr>
            <w:rStyle w:val="a8"/>
            <w:noProof/>
          </w:rPr>
          <w:t xml:space="preserve">4.5 </w:t>
        </w:r>
        <w:r w:rsidRPr="005F08D9">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_Toc17796479 \h </w:instrText>
        </w:r>
        <w:r>
          <w:rPr>
            <w:noProof/>
            <w:webHidden/>
          </w:rPr>
        </w:r>
        <w:r>
          <w:rPr>
            <w:noProof/>
            <w:webHidden/>
          </w:rPr>
          <w:fldChar w:fldCharType="separate"/>
        </w:r>
        <w:r>
          <w:rPr>
            <w:noProof/>
            <w:webHidden/>
          </w:rPr>
          <w:t>13</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80" w:history="1">
        <w:r w:rsidRPr="005F08D9">
          <w:rPr>
            <w:rStyle w:val="a8"/>
            <w:noProof/>
          </w:rPr>
          <w:t xml:space="preserve">4.6 </w:t>
        </w:r>
        <w:r w:rsidRPr="005F08D9">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_Toc17796480 \h </w:instrText>
        </w:r>
        <w:r>
          <w:rPr>
            <w:noProof/>
            <w:webHidden/>
          </w:rPr>
        </w:r>
        <w:r>
          <w:rPr>
            <w:noProof/>
            <w:webHidden/>
          </w:rPr>
          <w:fldChar w:fldCharType="separate"/>
        </w:r>
        <w:r>
          <w:rPr>
            <w:noProof/>
            <w:webHidden/>
          </w:rPr>
          <w:t>13</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81" w:history="1">
        <w:r w:rsidRPr="005F08D9">
          <w:rPr>
            <w:rStyle w:val="a8"/>
            <w:noProof/>
          </w:rPr>
          <w:t xml:space="preserve">4.7 </w:t>
        </w:r>
        <w:r w:rsidRPr="005F08D9">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_Toc17796481 \h </w:instrText>
        </w:r>
        <w:r>
          <w:rPr>
            <w:noProof/>
            <w:webHidden/>
          </w:rPr>
        </w:r>
        <w:r>
          <w:rPr>
            <w:noProof/>
            <w:webHidden/>
          </w:rPr>
          <w:fldChar w:fldCharType="separate"/>
        </w:r>
        <w:r>
          <w:rPr>
            <w:noProof/>
            <w:webHidden/>
          </w:rPr>
          <w:t>13</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82" w:history="1">
        <w:r w:rsidRPr="005F08D9">
          <w:rPr>
            <w:rStyle w:val="a8"/>
            <w:noProof/>
          </w:rPr>
          <w:t xml:space="preserve">4.8 </w:t>
        </w:r>
        <w:r w:rsidRPr="005F08D9">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_Toc17796482 \h </w:instrText>
        </w:r>
        <w:r>
          <w:rPr>
            <w:noProof/>
            <w:webHidden/>
          </w:rPr>
        </w:r>
        <w:r>
          <w:rPr>
            <w:noProof/>
            <w:webHidden/>
          </w:rPr>
          <w:fldChar w:fldCharType="separate"/>
        </w:r>
        <w:r>
          <w:rPr>
            <w:noProof/>
            <w:webHidden/>
          </w:rPr>
          <w:t>13</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483" w:history="1">
        <w:r w:rsidRPr="005F08D9">
          <w:rPr>
            <w:rStyle w:val="a8"/>
            <w:b/>
            <w:bCs/>
            <w:noProof/>
          </w:rPr>
          <w:t xml:space="preserve">§5  </w:t>
        </w:r>
        <w:r w:rsidRPr="005F08D9">
          <w:rPr>
            <w:rStyle w:val="a8"/>
            <w:rFonts w:hint="eastAsia"/>
            <w:b/>
            <w:bCs/>
            <w:noProof/>
          </w:rPr>
          <w:t>托管人报告</w:t>
        </w:r>
        <w:r>
          <w:rPr>
            <w:noProof/>
            <w:webHidden/>
          </w:rPr>
          <w:tab/>
        </w:r>
        <w:r>
          <w:rPr>
            <w:noProof/>
            <w:webHidden/>
          </w:rPr>
          <w:fldChar w:fldCharType="begin"/>
        </w:r>
        <w:r>
          <w:rPr>
            <w:noProof/>
            <w:webHidden/>
          </w:rPr>
          <w:instrText xml:space="preserve"> PAGEREF _Toc17796483 \h </w:instrText>
        </w:r>
        <w:r>
          <w:rPr>
            <w:noProof/>
            <w:webHidden/>
          </w:rPr>
        </w:r>
        <w:r>
          <w:rPr>
            <w:noProof/>
            <w:webHidden/>
          </w:rPr>
          <w:fldChar w:fldCharType="separate"/>
        </w:r>
        <w:r>
          <w:rPr>
            <w:noProof/>
            <w:webHidden/>
          </w:rPr>
          <w:t>14</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84" w:history="1">
        <w:r w:rsidRPr="005F08D9">
          <w:rPr>
            <w:rStyle w:val="a8"/>
            <w:noProof/>
          </w:rPr>
          <w:t xml:space="preserve">5.1 </w:t>
        </w:r>
        <w:r w:rsidRPr="005F08D9">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_Toc17796484 \h </w:instrText>
        </w:r>
        <w:r>
          <w:rPr>
            <w:noProof/>
            <w:webHidden/>
          </w:rPr>
        </w:r>
        <w:r>
          <w:rPr>
            <w:noProof/>
            <w:webHidden/>
          </w:rPr>
          <w:fldChar w:fldCharType="separate"/>
        </w:r>
        <w:r>
          <w:rPr>
            <w:noProof/>
            <w:webHidden/>
          </w:rPr>
          <w:t>14</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85" w:history="1">
        <w:r w:rsidRPr="005F08D9">
          <w:rPr>
            <w:rStyle w:val="a8"/>
            <w:noProof/>
          </w:rPr>
          <w:t xml:space="preserve">5.2 </w:t>
        </w:r>
        <w:r w:rsidRPr="005F08D9">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_Toc17796485 \h </w:instrText>
        </w:r>
        <w:r>
          <w:rPr>
            <w:noProof/>
            <w:webHidden/>
          </w:rPr>
        </w:r>
        <w:r>
          <w:rPr>
            <w:noProof/>
            <w:webHidden/>
          </w:rPr>
          <w:fldChar w:fldCharType="separate"/>
        </w:r>
        <w:r>
          <w:rPr>
            <w:noProof/>
            <w:webHidden/>
          </w:rPr>
          <w:t>14</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86" w:history="1">
        <w:r w:rsidRPr="005F08D9">
          <w:rPr>
            <w:rStyle w:val="a8"/>
            <w:noProof/>
          </w:rPr>
          <w:t xml:space="preserve">5.3 </w:t>
        </w:r>
        <w:r w:rsidRPr="005F08D9">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_Toc17796486 \h </w:instrText>
        </w:r>
        <w:r>
          <w:rPr>
            <w:noProof/>
            <w:webHidden/>
          </w:rPr>
        </w:r>
        <w:r>
          <w:rPr>
            <w:noProof/>
            <w:webHidden/>
          </w:rPr>
          <w:fldChar w:fldCharType="separate"/>
        </w:r>
        <w:r>
          <w:rPr>
            <w:noProof/>
            <w:webHidden/>
          </w:rPr>
          <w:t>14</w:t>
        </w:r>
        <w:r>
          <w:rPr>
            <w:noProof/>
            <w:webHidden/>
          </w:rPr>
          <w:fldChar w:fldCharType="end"/>
        </w:r>
      </w:hyperlink>
    </w:p>
    <w:p w:rsidR="0019242D" w:rsidRDefault="0019242D">
      <w:pPr>
        <w:pStyle w:val="11"/>
        <w:tabs>
          <w:tab w:val="left" w:pos="840"/>
        </w:tabs>
        <w:rPr>
          <w:rFonts w:asciiTheme="minorHAnsi" w:eastAsiaTheme="minorEastAsia" w:hAnsiTheme="minorHAnsi" w:cstheme="minorBidi"/>
          <w:noProof/>
          <w:szCs w:val="22"/>
        </w:rPr>
      </w:pPr>
      <w:hyperlink w:anchor="_Toc17796487" w:history="1">
        <w:r w:rsidRPr="005F08D9">
          <w:rPr>
            <w:rStyle w:val="a8"/>
            <w:b/>
            <w:bCs/>
            <w:noProof/>
          </w:rPr>
          <w:t>§6</w:t>
        </w:r>
        <w:r>
          <w:rPr>
            <w:rFonts w:asciiTheme="minorHAnsi" w:eastAsiaTheme="minorEastAsia" w:hAnsiTheme="minorHAnsi" w:cstheme="minorBidi"/>
            <w:noProof/>
            <w:szCs w:val="22"/>
          </w:rPr>
          <w:tab/>
        </w:r>
        <w:r w:rsidRPr="005F08D9">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_Toc17796487 \h </w:instrText>
        </w:r>
        <w:r>
          <w:rPr>
            <w:noProof/>
            <w:webHidden/>
          </w:rPr>
        </w:r>
        <w:r>
          <w:rPr>
            <w:noProof/>
            <w:webHidden/>
          </w:rPr>
          <w:fldChar w:fldCharType="separate"/>
        </w:r>
        <w:r>
          <w:rPr>
            <w:noProof/>
            <w:webHidden/>
          </w:rPr>
          <w:t>14</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88" w:history="1">
        <w:r w:rsidRPr="005F08D9">
          <w:rPr>
            <w:rStyle w:val="a8"/>
            <w:noProof/>
          </w:rPr>
          <w:t xml:space="preserve">6.1 </w:t>
        </w:r>
        <w:r w:rsidRPr="005F08D9">
          <w:rPr>
            <w:rStyle w:val="a8"/>
            <w:rFonts w:hint="eastAsia"/>
            <w:noProof/>
          </w:rPr>
          <w:t>资产负债表</w:t>
        </w:r>
        <w:r>
          <w:rPr>
            <w:noProof/>
            <w:webHidden/>
          </w:rPr>
          <w:tab/>
        </w:r>
        <w:r>
          <w:rPr>
            <w:noProof/>
            <w:webHidden/>
          </w:rPr>
          <w:fldChar w:fldCharType="begin"/>
        </w:r>
        <w:r>
          <w:rPr>
            <w:noProof/>
            <w:webHidden/>
          </w:rPr>
          <w:instrText xml:space="preserve"> PAGEREF _Toc17796488 \h </w:instrText>
        </w:r>
        <w:r>
          <w:rPr>
            <w:noProof/>
            <w:webHidden/>
          </w:rPr>
        </w:r>
        <w:r>
          <w:rPr>
            <w:noProof/>
            <w:webHidden/>
          </w:rPr>
          <w:fldChar w:fldCharType="separate"/>
        </w:r>
        <w:r>
          <w:rPr>
            <w:noProof/>
            <w:webHidden/>
          </w:rPr>
          <w:t>14</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89" w:history="1">
        <w:r w:rsidRPr="005F08D9">
          <w:rPr>
            <w:rStyle w:val="a8"/>
            <w:noProof/>
          </w:rPr>
          <w:t xml:space="preserve">6.2 </w:t>
        </w:r>
        <w:r w:rsidRPr="005F08D9">
          <w:rPr>
            <w:rStyle w:val="a8"/>
            <w:rFonts w:hint="eastAsia"/>
            <w:noProof/>
          </w:rPr>
          <w:t>利润表</w:t>
        </w:r>
        <w:r>
          <w:rPr>
            <w:noProof/>
            <w:webHidden/>
          </w:rPr>
          <w:tab/>
        </w:r>
        <w:r>
          <w:rPr>
            <w:noProof/>
            <w:webHidden/>
          </w:rPr>
          <w:fldChar w:fldCharType="begin"/>
        </w:r>
        <w:r>
          <w:rPr>
            <w:noProof/>
            <w:webHidden/>
          </w:rPr>
          <w:instrText xml:space="preserve"> PAGEREF _Toc17796489 \h </w:instrText>
        </w:r>
        <w:r>
          <w:rPr>
            <w:noProof/>
            <w:webHidden/>
          </w:rPr>
        </w:r>
        <w:r>
          <w:rPr>
            <w:noProof/>
            <w:webHidden/>
          </w:rPr>
          <w:fldChar w:fldCharType="separate"/>
        </w:r>
        <w:r>
          <w:rPr>
            <w:noProof/>
            <w:webHidden/>
          </w:rPr>
          <w:t>16</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90" w:history="1">
        <w:r w:rsidRPr="005F08D9">
          <w:rPr>
            <w:rStyle w:val="a8"/>
            <w:noProof/>
          </w:rPr>
          <w:t xml:space="preserve">6.3 </w:t>
        </w:r>
        <w:r w:rsidRPr="005F08D9">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_Toc17796490 \h </w:instrText>
        </w:r>
        <w:r>
          <w:rPr>
            <w:noProof/>
            <w:webHidden/>
          </w:rPr>
        </w:r>
        <w:r>
          <w:rPr>
            <w:noProof/>
            <w:webHidden/>
          </w:rPr>
          <w:fldChar w:fldCharType="separate"/>
        </w:r>
        <w:r>
          <w:rPr>
            <w:noProof/>
            <w:webHidden/>
          </w:rPr>
          <w:t>17</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91" w:history="1">
        <w:r w:rsidRPr="005F08D9">
          <w:rPr>
            <w:rStyle w:val="a8"/>
            <w:noProof/>
          </w:rPr>
          <w:t>6.4</w:t>
        </w:r>
        <w:r w:rsidRPr="005F08D9">
          <w:rPr>
            <w:rStyle w:val="a8"/>
            <w:rFonts w:hint="eastAsia"/>
            <w:noProof/>
          </w:rPr>
          <w:t>报表附注</w:t>
        </w:r>
        <w:r>
          <w:rPr>
            <w:noProof/>
            <w:webHidden/>
          </w:rPr>
          <w:tab/>
        </w:r>
        <w:r>
          <w:rPr>
            <w:noProof/>
            <w:webHidden/>
          </w:rPr>
          <w:fldChar w:fldCharType="begin"/>
        </w:r>
        <w:r>
          <w:rPr>
            <w:noProof/>
            <w:webHidden/>
          </w:rPr>
          <w:instrText xml:space="preserve"> PAGEREF _Toc17796491 \h </w:instrText>
        </w:r>
        <w:r>
          <w:rPr>
            <w:noProof/>
            <w:webHidden/>
          </w:rPr>
        </w:r>
        <w:r>
          <w:rPr>
            <w:noProof/>
            <w:webHidden/>
          </w:rPr>
          <w:fldChar w:fldCharType="separate"/>
        </w:r>
        <w:r>
          <w:rPr>
            <w:noProof/>
            <w:webHidden/>
          </w:rPr>
          <w:t>18</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492" w:history="1">
        <w:r w:rsidRPr="005F08D9">
          <w:rPr>
            <w:rStyle w:val="a8"/>
            <w:b/>
            <w:bCs/>
            <w:noProof/>
          </w:rPr>
          <w:t xml:space="preserve">§7  </w:t>
        </w:r>
        <w:r w:rsidRPr="005F08D9">
          <w:rPr>
            <w:rStyle w:val="a8"/>
            <w:rFonts w:hint="eastAsia"/>
            <w:b/>
            <w:bCs/>
            <w:noProof/>
          </w:rPr>
          <w:t>投资组合报告</w:t>
        </w:r>
        <w:r>
          <w:rPr>
            <w:noProof/>
            <w:webHidden/>
          </w:rPr>
          <w:tab/>
        </w:r>
        <w:r>
          <w:rPr>
            <w:noProof/>
            <w:webHidden/>
          </w:rPr>
          <w:fldChar w:fldCharType="begin"/>
        </w:r>
        <w:r>
          <w:rPr>
            <w:noProof/>
            <w:webHidden/>
          </w:rPr>
          <w:instrText xml:space="preserve"> PAGEREF _Toc17796492 \h </w:instrText>
        </w:r>
        <w:r>
          <w:rPr>
            <w:noProof/>
            <w:webHidden/>
          </w:rPr>
        </w:r>
        <w:r>
          <w:rPr>
            <w:noProof/>
            <w:webHidden/>
          </w:rPr>
          <w:fldChar w:fldCharType="separate"/>
        </w:r>
        <w:r>
          <w:rPr>
            <w:noProof/>
            <w:webHidden/>
          </w:rPr>
          <w:t>36</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93" w:history="1">
        <w:r w:rsidRPr="005F08D9">
          <w:rPr>
            <w:rStyle w:val="a8"/>
            <w:noProof/>
          </w:rPr>
          <w:t xml:space="preserve">7.1 </w:t>
        </w:r>
        <w:r w:rsidRPr="005F08D9">
          <w:rPr>
            <w:rStyle w:val="a8"/>
            <w:rFonts w:hint="eastAsia"/>
            <w:noProof/>
          </w:rPr>
          <w:t>期末基金资产组合情况</w:t>
        </w:r>
        <w:r>
          <w:rPr>
            <w:noProof/>
            <w:webHidden/>
          </w:rPr>
          <w:tab/>
        </w:r>
        <w:r>
          <w:rPr>
            <w:noProof/>
            <w:webHidden/>
          </w:rPr>
          <w:fldChar w:fldCharType="begin"/>
        </w:r>
        <w:r>
          <w:rPr>
            <w:noProof/>
            <w:webHidden/>
          </w:rPr>
          <w:instrText xml:space="preserve"> PAGEREF _Toc17796493 \h </w:instrText>
        </w:r>
        <w:r>
          <w:rPr>
            <w:noProof/>
            <w:webHidden/>
          </w:rPr>
        </w:r>
        <w:r>
          <w:rPr>
            <w:noProof/>
            <w:webHidden/>
          </w:rPr>
          <w:fldChar w:fldCharType="separate"/>
        </w:r>
        <w:r>
          <w:rPr>
            <w:noProof/>
            <w:webHidden/>
          </w:rPr>
          <w:t>36</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94" w:history="1">
        <w:r w:rsidRPr="005F08D9">
          <w:rPr>
            <w:rStyle w:val="a8"/>
            <w:noProof/>
          </w:rPr>
          <w:t xml:space="preserve">7.2 </w:t>
        </w:r>
        <w:r w:rsidRPr="005F08D9">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_Toc17796494 \h </w:instrText>
        </w:r>
        <w:r>
          <w:rPr>
            <w:noProof/>
            <w:webHidden/>
          </w:rPr>
        </w:r>
        <w:r>
          <w:rPr>
            <w:noProof/>
            <w:webHidden/>
          </w:rPr>
          <w:fldChar w:fldCharType="separate"/>
        </w:r>
        <w:r>
          <w:rPr>
            <w:noProof/>
            <w:webHidden/>
          </w:rPr>
          <w:t>37</w:t>
        </w:r>
        <w:r>
          <w:rPr>
            <w:noProof/>
            <w:webHidden/>
          </w:rPr>
          <w:fldChar w:fldCharType="end"/>
        </w:r>
      </w:hyperlink>
    </w:p>
    <w:bookmarkStart w:id="3" w:name="_GoBack"/>
    <w:bookmarkEnd w:id="3"/>
    <w:p w:rsidR="0019242D" w:rsidRDefault="0019242D">
      <w:pPr>
        <w:pStyle w:val="22"/>
        <w:rPr>
          <w:rFonts w:asciiTheme="minorHAnsi" w:eastAsiaTheme="minorEastAsia" w:hAnsiTheme="minorHAnsi" w:cstheme="minorBidi"/>
          <w:noProof/>
          <w:kern w:val="2"/>
          <w:szCs w:val="22"/>
        </w:rPr>
      </w:pPr>
      <w:r w:rsidRPr="005F08D9">
        <w:rPr>
          <w:rStyle w:val="a8"/>
          <w:noProof/>
        </w:rPr>
        <w:fldChar w:fldCharType="begin"/>
      </w:r>
      <w:r w:rsidRPr="005F08D9">
        <w:rPr>
          <w:rStyle w:val="a8"/>
          <w:noProof/>
        </w:rPr>
        <w:instrText xml:space="preserve"> </w:instrText>
      </w:r>
      <w:r>
        <w:rPr>
          <w:noProof/>
        </w:rPr>
        <w:instrText>HYPERLINK \l "_Toc17796497"</w:instrText>
      </w:r>
      <w:r w:rsidRPr="005F08D9">
        <w:rPr>
          <w:rStyle w:val="a8"/>
          <w:noProof/>
        </w:rPr>
        <w:instrText xml:space="preserve"> </w:instrText>
      </w:r>
      <w:r w:rsidRPr="005F08D9">
        <w:rPr>
          <w:rStyle w:val="a8"/>
          <w:noProof/>
        </w:rPr>
      </w:r>
      <w:r w:rsidRPr="005F08D9">
        <w:rPr>
          <w:rStyle w:val="a8"/>
          <w:noProof/>
        </w:rPr>
        <w:fldChar w:fldCharType="separate"/>
      </w:r>
      <w:r w:rsidRPr="005F08D9">
        <w:rPr>
          <w:rStyle w:val="a8"/>
          <w:noProof/>
        </w:rPr>
        <w:t xml:space="preserve">7.3 </w:t>
      </w:r>
      <w:r w:rsidRPr="005F08D9">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_Toc17796497 \h </w:instrText>
      </w:r>
      <w:r>
        <w:rPr>
          <w:noProof/>
          <w:webHidden/>
        </w:rPr>
      </w:r>
      <w:r>
        <w:rPr>
          <w:noProof/>
          <w:webHidden/>
        </w:rPr>
        <w:fldChar w:fldCharType="separate"/>
      </w:r>
      <w:r>
        <w:rPr>
          <w:noProof/>
          <w:webHidden/>
        </w:rPr>
        <w:t>37</w:t>
      </w:r>
      <w:r>
        <w:rPr>
          <w:noProof/>
          <w:webHidden/>
        </w:rPr>
        <w:fldChar w:fldCharType="end"/>
      </w:r>
      <w:r w:rsidRPr="005F08D9">
        <w:rPr>
          <w:rStyle w:val="a8"/>
          <w:noProof/>
        </w:rPr>
        <w:fldChar w:fldCharType="end"/>
      </w:r>
    </w:p>
    <w:p w:rsidR="0019242D" w:rsidRDefault="0019242D">
      <w:pPr>
        <w:pStyle w:val="22"/>
        <w:rPr>
          <w:rFonts w:asciiTheme="minorHAnsi" w:eastAsiaTheme="minorEastAsia" w:hAnsiTheme="minorHAnsi" w:cstheme="minorBidi"/>
          <w:noProof/>
          <w:kern w:val="2"/>
          <w:szCs w:val="22"/>
        </w:rPr>
      </w:pPr>
      <w:hyperlink w:anchor="_Toc17796498" w:history="1">
        <w:r w:rsidRPr="005F08D9">
          <w:rPr>
            <w:rStyle w:val="a8"/>
            <w:noProof/>
          </w:rPr>
          <w:t>7.4</w:t>
        </w:r>
        <w:r w:rsidRPr="005F08D9">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_Toc17796498 \h </w:instrText>
        </w:r>
        <w:r>
          <w:rPr>
            <w:noProof/>
            <w:webHidden/>
          </w:rPr>
        </w:r>
        <w:r>
          <w:rPr>
            <w:noProof/>
            <w:webHidden/>
          </w:rPr>
          <w:fldChar w:fldCharType="separate"/>
        </w:r>
        <w:r>
          <w:rPr>
            <w:noProof/>
            <w:webHidden/>
          </w:rPr>
          <w:t>37</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499" w:history="1">
        <w:r w:rsidRPr="005F08D9">
          <w:rPr>
            <w:rStyle w:val="a8"/>
            <w:noProof/>
          </w:rPr>
          <w:t xml:space="preserve">7.5 </w:t>
        </w:r>
        <w:r w:rsidRPr="005F08D9">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_Toc17796499 \h </w:instrText>
        </w:r>
        <w:r>
          <w:rPr>
            <w:noProof/>
            <w:webHidden/>
          </w:rPr>
        </w:r>
        <w:r>
          <w:rPr>
            <w:noProof/>
            <w:webHidden/>
          </w:rPr>
          <w:fldChar w:fldCharType="separate"/>
        </w:r>
        <w:r>
          <w:rPr>
            <w:noProof/>
            <w:webHidden/>
          </w:rPr>
          <w:t>37</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00" w:history="1">
        <w:r w:rsidRPr="005F08D9">
          <w:rPr>
            <w:rStyle w:val="a8"/>
            <w:noProof/>
          </w:rPr>
          <w:t>7.6</w:t>
        </w:r>
        <w:r w:rsidRPr="005F08D9">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_Toc17796500 \h </w:instrText>
        </w:r>
        <w:r>
          <w:rPr>
            <w:noProof/>
            <w:webHidden/>
          </w:rPr>
        </w:r>
        <w:r>
          <w:rPr>
            <w:noProof/>
            <w:webHidden/>
          </w:rPr>
          <w:fldChar w:fldCharType="separate"/>
        </w:r>
        <w:r>
          <w:rPr>
            <w:noProof/>
            <w:webHidden/>
          </w:rPr>
          <w:t>38</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01" w:history="1">
        <w:r w:rsidRPr="005F08D9">
          <w:rPr>
            <w:rStyle w:val="a8"/>
            <w:noProof/>
          </w:rPr>
          <w:t xml:space="preserve">7.7 </w:t>
        </w:r>
        <w:r w:rsidRPr="005F08D9">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_Toc17796501 \h </w:instrText>
        </w:r>
        <w:r>
          <w:rPr>
            <w:noProof/>
            <w:webHidden/>
          </w:rPr>
        </w:r>
        <w:r>
          <w:rPr>
            <w:noProof/>
            <w:webHidden/>
          </w:rPr>
          <w:fldChar w:fldCharType="separate"/>
        </w:r>
        <w:r>
          <w:rPr>
            <w:noProof/>
            <w:webHidden/>
          </w:rPr>
          <w:t>38</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02" w:history="1">
        <w:r w:rsidRPr="005F08D9">
          <w:rPr>
            <w:rStyle w:val="a8"/>
            <w:noProof/>
          </w:rPr>
          <w:t xml:space="preserve">7.8 </w:t>
        </w:r>
        <w:r w:rsidRPr="005F08D9">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_Toc17796502 \h </w:instrText>
        </w:r>
        <w:r>
          <w:rPr>
            <w:noProof/>
            <w:webHidden/>
          </w:rPr>
        </w:r>
        <w:r>
          <w:rPr>
            <w:noProof/>
            <w:webHidden/>
          </w:rPr>
          <w:fldChar w:fldCharType="separate"/>
        </w:r>
        <w:r>
          <w:rPr>
            <w:noProof/>
            <w:webHidden/>
          </w:rPr>
          <w:t>38</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03" w:history="1">
        <w:r w:rsidRPr="005F08D9">
          <w:rPr>
            <w:rStyle w:val="a8"/>
            <w:noProof/>
          </w:rPr>
          <w:t xml:space="preserve">7.9 </w:t>
        </w:r>
        <w:r w:rsidRPr="005F08D9">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_Toc17796503 \h </w:instrText>
        </w:r>
        <w:r>
          <w:rPr>
            <w:noProof/>
            <w:webHidden/>
          </w:rPr>
        </w:r>
        <w:r>
          <w:rPr>
            <w:noProof/>
            <w:webHidden/>
          </w:rPr>
          <w:fldChar w:fldCharType="separate"/>
        </w:r>
        <w:r>
          <w:rPr>
            <w:noProof/>
            <w:webHidden/>
          </w:rPr>
          <w:t>39</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04" w:history="1">
        <w:r w:rsidRPr="005F08D9">
          <w:rPr>
            <w:rStyle w:val="a8"/>
            <w:noProof/>
          </w:rPr>
          <w:t xml:space="preserve">7.10 </w:t>
        </w:r>
        <w:r w:rsidRPr="005F08D9">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_Toc17796504 \h </w:instrText>
        </w:r>
        <w:r>
          <w:rPr>
            <w:noProof/>
            <w:webHidden/>
          </w:rPr>
        </w:r>
        <w:r>
          <w:rPr>
            <w:noProof/>
            <w:webHidden/>
          </w:rPr>
          <w:fldChar w:fldCharType="separate"/>
        </w:r>
        <w:r>
          <w:rPr>
            <w:noProof/>
            <w:webHidden/>
          </w:rPr>
          <w:t>39</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05" w:history="1">
        <w:r w:rsidRPr="005F08D9">
          <w:rPr>
            <w:rStyle w:val="a8"/>
            <w:noProof/>
          </w:rPr>
          <w:t>7.11</w:t>
        </w:r>
        <w:r w:rsidRPr="005F08D9">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_Toc17796505 \h </w:instrText>
        </w:r>
        <w:r>
          <w:rPr>
            <w:noProof/>
            <w:webHidden/>
          </w:rPr>
        </w:r>
        <w:r>
          <w:rPr>
            <w:noProof/>
            <w:webHidden/>
          </w:rPr>
          <w:fldChar w:fldCharType="separate"/>
        </w:r>
        <w:r>
          <w:rPr>
            <w:noProof/>
            <w:webHidden/>
          </w:rPr>
          <w:t>39</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06" w:history="1">
        <w:r w:rsidRPr="005F08D9">
          <w:rPr>
            <w:rStyle w:val="a8"/>
            <w:noProof/>
          </w:rPr>
          <w:t xml:space="preserve">7.12 </w:t>
        </w:r>
        <w:r w:rsidRPr="005F08D9">
          <w:rPr>
            <w:rStyle w:val="a8"/>
            <w:rFonts w:hint="eastAsia"/>
            <w:noProof/>
          </w:rPr>
          <w:t>投资组合报告附注</w:t>
        </w:r>
        <w:r>
          <w:rPr>
            <w:noProof/>
            <w:webHidden/>
          </w:rPr>
          <w:tab/>
        </w:r>
        <w:r>
          <w:rPr>
            <w:noProof/>
            <w:webHidden/>
          </w:rPr>
          <w:fldChar w:fldCharType="begin"/>
        </w:r>
        <w:r>
          <w:rPr>
            <w:noProof/>
            <w:webHidden/>
          </w:rPr>
          <w:instrText xml:space="preserve"> PAGEREF _Toc17796506 \h </w:instrText>
        </w:r>
        <w:r>
          <w:rPr>
            <w:noProof/>
            <w:webHidden/>
          </w:rPr>
        </w:r>
        <w:r>
          <w:rPr>
            <w:noProof/>
            <w:webHidden/>
          </w:rPr>
          <w:fldChar w:fldCharType="separate"/>
        </w:r>
        <w:r>
          <w:rPr>
            <w:noProof/>
            <w:webHidden/>
          </w:rPr>
          <w:t>39</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507" w:history="1">
        <w:r w:rsidRPr="005F08D9">
          <w:rPr>
            <w:rStyle w:val="a8"/>
            <w:b/>
            <w:bCs/>
            <w:noProof/>
          </w:rPr>
          <w:t xml:space="preserve">§8  </w:t>
        </w:r>
        <w:r w:rsidRPr="005F08D9">
          <w:rPr>
            <w:rStyle w:val="a8"/>
            <w:rFonts w:hint="eastAsia"/>
            <w:b/>
            <w:bCs/>
            <w:noProof/>
          </w:rPr>
          <w:t>基金份额持有人信息</w:t>
        </w:r>
        <w:r>
          <w:rPr>
            <w:noProof/>
            <w:webHidden/>
          </w:rPr>
          <w:tab/>
        </w:r>
        <w:r>
          <w:rPr>
            <w:noProof/>
            <w:webHidden/>
          </w:rPr>
          <w:fldChar w:fldCharType="begin"/>
        </w:r>
        <w:r>
          <w:rPr>
            <w:noProof/>
            <w:webHidden/>
          </w:rPr>
          <w:instrText xml:space="preserve"> PAGEREF _Toc17796507 \h </w:instrText>
        </w:r>
        <w:r>
          <w:rPr>
            <w:noProof/>
            <w:webHidden/>
          </w:rPr>
        </w:r>
        <w:r>
          <w:rPr>
            <w:noProof/>
            <w:webHidden/>
          </w:rPr>
          <w:fldChar w:fldCharType="separate"/>
        </w:r>
        <w:r>
          <w:rPr>
            <w:noProof/>
            <w:webHidden/>
          </w:rPr>
          <w:t>40</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08" w:history="1">
        <w:r w:rsidRPr="005F08D9">
          <w:rPr>
            <w:rStyle w:val="a8"/>
            <w:noProof/>
          </w:rPr>
          <w:t xml:space="preserve">8.1 </w:t>
        </w:r>
        <w:r w:rsidRPr="005F08D9">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_Toc17796508 \h </w:instrText>
        </w:r>
        <w:r>
          <w:rPr>
            <w:noProof/>
            <w:webHidden/>
          </w:rPr>
        </w:r>
        <w:r>
          <w:rPr>
            <w:noProof/>
            <w:webHidden/>
          </w:rPr>
          <w:fldChar w:fldCharType="separate"/>
        </w:r>
        <w:r>
          <w:rPr>
            <w:noProof/>
            <w:webHidden/>
          </w:rPr>
          <w:t>40</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09" w:history="1">
        <w:r w:rsidRPr="005F08D9">
          <w:rPr>
            <w:rStyle w:val="a8"/>
            <w:noProof/>
          </w:rPr>
          <w:t xml:space="preserve">8.2 </w:t>
        </w:r>
        <w:r w:rsidRPr="005F08D9">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_Toc17796509 \h </w:instrText>
        </w:r>
        <w:r>
          <w:rPr>
            <w:noProof/>
            <w:webHidden/>
          </w:rPr>
        </w:r>
        <w:r>
          <w:rPr>
            <w:noProof/>
            <w:webHidden/>
          </w:rPr>
          <w:fldChar w:fldCharType="separate"/>
        </w:r>
        <w:r>
          <w:rPr>
            <w:noProof/>
            <w:webHidden/>
          </w:rPr>
          <w:t>40</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10" w:history="1">
        <w:r w:rsidRPr="005F08D9">
          <w:rPr>
            <w:rStyle w:val="a8"/>
            <w:noProof/>
          </w:rPr>
          <w:t>8.3</w:t>
        </w:r>
        <w:r w:rsidRPr="005F08D9">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_Toc17796510 \h </w:instrText>
        </w:r>
        <w:r>
          <w:rPr>
            <w:noProof/>
            <w:webHidden/>
          </w:rPr>
        </w:r>
        <w:r>
          <w:rPr>
            <w:noProof/>
            <w:webHidden/>
          </w:rPr>
          <w:fldChar w:fldCharType="separate"/>
        </w:r>
        <w:r>
          <w:rPr>
            <w:noProof/>
            <w:webHidden/>
          </w:rPr>
          <w:t>40</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511" w:history="1">
        <w:r w:rsidRPr="005F08D9">
          <w:rPr>
            <w:rStyle w:val="a8"/>
            <w:b/>
            <w:bCs/>
            <w:noProof/>
          </w:rPr>
          <w:t>§9</w:t>
        </w:r>
        <w:r w:rsidRPr="005F08D9">
          <w:rPr>
            <w:rStyle w:val="a8"/>
            <w:rFonts w:hint="eastAsia"/>
            <w:b/>
            <w:bCs/>
            <w:noProof/>
          </w:rPr>
          <w:t>开放式基金份额变动</w:t>
        </w:r>
        <w:r>
          <w:rPr>
            <w:noProof/>
            <w:webHidden/>
          </w:rPr>
          <w:tab/>
        </w:r>
        <w:r>
          <w:rPr>
            <w:noProof/>
            <w:webHidden/>
          </w:rPr>
          <w:fldChar w:fldCharType="begin"/>
        </w:r>
        <w:r>
          <w:rPr>
            <w:noProof/>
            <w:webHidden/>
          </w:rPr>
          <w:instrText xml:space="preserve"> PAGEREF _Toc17796511 \h </w:instrText>
        </w:r>
        <w:r>
          <w:rPr>
            <w:noProof/>
            <w:webHidden/>
          </w:rPr>
        </w:r>
        <w:r>
          <w:rPr>
            <w:noProof/>
            <w:webHidden/>
          </w:rPr>
          <w:fldChar w:fldCharType="separate"/>
        </w:r>
        <w:r>
          <w:rPr>
            <w:noProof/>
            <w:webHidden/>
          </w:rPr>
          <w:t>41</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512" w:history="1">
        <w:r w:rsidRPr="005F08D9">
          <w:rPr>
            <w:rStyle w:val="a8"/>
            <w:b/>
            <w:bCs/>
            <w:noProof/>
          </w:rPr>
          <w:t xml:space="preserve">§10  </w:t>
        </w:r>
        <w:r w:rsidRPr="005F08D9">
          <w:rPr>
            <w:rStyle w:val="a8"/>
            <w:rFonts w:hint="eastAsia"/>
            <w:b/>
            <w:bCs/>
            <w:noProof/>
          </w:rPr>
          <w:t>重大事件揭示</w:t>
        </w:r>
        <w:r>
          <w:rPr>
            <w:noProof/>
            <w:webHidden/>
          </w:rPr>
          <w:tab/>
        </w:r>
        <w:r>
          <w:rPr>
            <w:noProof/>
            <w:webHidden/>
          </w:rPr>
          <w:fldChar w:fldCharType="begin"/>
        </w:r>
        <w:r>
          <w:rPr>
            <w:noProof/>
            <w:webHidden/>
          </w:rPr>
          <w:instrText xml:space="preserve"> PAGEREF _Toc17796512 \h </w:instrText>
        </w:r>
        <w:r>
          <w:rPr>
            <w:noProof/>
            <w:webHidden/>
          </w:rPr>
        </w:r>
        <w:r>
          <w:rPr>
            <w:noProof/>
            <w:webHidden/>
          </w:rPr>
          <w:fldChar w:fldCharType="separate"/>
        </w:r>
        <w:r>
          <w:rPr>
            <w:noProof/>
            <w:webHidden/>
          </w:rPr>
          <w:t>41</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13" w:history="1">
        <w:r w:rsidRPr="005F08D9">
          <w:rPr>
            <w:rStyle w:val="a8"/>
            <w:noProof/>
          </w:rPr>
          <w:t xml:space="preserve">10.1 </w:t>
        </w:r>
        <w:r w:rsidRPr="005F08D9">
          <w:rPr>
            <w:rStyle w:val="a8"/>
            <w:rFonts w:hint="eastAsia"/>
            <w:noProof/>
          </w:rPr>
          <w:t>基金份额持有人大会决议</w:t>
        </w:r>
        <w:r>
          <w:rPr>
            <w:noProof/>
            <w:webHidden/>
          </w:rPr>
          <w:tab/>
        </w:r>
        <w:r>
          <w:rPr>
            <w:noProof/>
            <w:webHidden/>
          </w:rPr>
          <w:fldChar w:fldCharType="begin"/>
        </w:r>
        <w:r>
          <w:rPr>
            <w:noProof/>
            <w:webHidden/>
          </w:rPr>
          <w:instrText xml:space="preserve"> PAGEREF _Toc17796513 \h </w:instrText>
        </w:r>
        <w:r>
          <w:rPr>
            <w:noProof/>
            <w:webHidden/>
          </w:rPr>
        </w:r>
        <w:r>
          <w:rPr>
            <w:noProof/>
            <w:webHidden/>
          </w:rPr>
          <w:fldChar w:fldCharType="separate"/>
        </w:r>
        <w:r>
          <w:rPr>
            <w:noProof/>
            <w:webHidden/>
          </w:rPr>
          <w:t>41</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14" w:history="1">
        <w:r w:rsidRPr="005F08D9">
          <w:rPr>
            <w:rStyle w:val="a8"/>
            <w:noProof/>
          </w:rPr>
          <w:t xml:space="preserve">10.2 </w:t>
        </w:r>
        <w:r w:rsidRPr="005F08D9">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_Toc17796514 \h </w:instrText>
        </w:r>
        <w:r>
          <w:rPr>
            <w:noProof/>
            <w:webHidden/>
          </w:rPr>
        </w:r>
        <w:r>
          <w:rPr>
            <w:noProof/>
            <w:webHidden/>
          </w:rPr>
          <w:fldChar w:fldCharType="separate"/>
        </w:r>
        <w:r>
          <w:rPr>
            <w:noProof/>
            <w:webHidden/>
          </w:rPr>
          <w:t>41</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15" w:history="1">
        <w:r w:rsidRPr="005F08D9">
          <w:rPr>
            <w:rStyle w:val="a8"/>
            <w:noProof/>
          </w:rPr>
          <w:t xml:space="preserve">10.3 </w:t>
        </w:r>
        <w:r w:rsidRPr="005F08D9">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_Toc17796515 \h </w:instrText>
        </w:r>
        <w:r>
          <w:rPr>
            <w:noProof/>
            <w:webHidden/>
          </w:rPr>
        </w:r>
        <w:r>
          <w:rPr>
            <w:noProof/>
            <w:webHidden/>
          </w:rPr>
          <w:fldChar w:fldCharType="separate"/>
        </w:r>
        <w:r>
          <w:rPr>
            <w:noProof/>
            <w:webHidden/>
          </w:rPr>
          <w:t>41</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16" w:history="1">
        <w:r w:rsidRPr="005F08D9">
          <w:rPr>
            <w:rStyle w:val="a8"/>
            <w:noProof/>
          </w:rPr>
          <w:t xml:space="preserve">10.4 </w:t>
        </w:r>
        <w:r w:rsidRPr="005F08D9">
          <w:rPr>
            <w:rStyle w:val="a8"/>
            <w:rFonts w:hint="eastAsia"/>
            <w:noProof/>
          </w:rPr>
          <w:t>基金投资策略的改变</w:t>
        </w:r>
        <w:r>
          <w:rPr>
            <w:noProof/>
            <w:webHidden/>
          </w:rPr>
          <w:tab/>
        </w:r>
        <w:r>
          <w:rPr>
            <w:noProof/>
            <w:webHidden/>
          </w:rPr>
          <w:fldChar w:fldCharType="begin"/>
        </w:r>
        <w:r>
          <w:rPr>
            <w:noProof/>
            <w:webHidden/>
          </w:rPr>
          <w:instrText xml:space="preserve"> PAGEREF _Toc17796516 \h </w:instrText>
        </w:r>
        <w:r>
          <w:rPr>
            <w:noProof/>
            <w:webHidden/>
          </w:rPr>
        </w:r>
        <w:r>
          <w:rPr>
            <w:noProof/>
            <w:webHidden/>
          </w:rPr>
          <w:fldChar w:fldCharType="separate"/>
        </w:r>
        <w:r>
          <w:rPr>
            <w:noProof/>
            <w:webHidden/>
          </w:rPr>
          <w:t>42</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17" w:history="1">
        <w:r w:rsidRPr="005F08D9">
          <w:rPr>
            <w:rStyle w:val="a8"/>
            <w:noProof/>
          </w:rPr>
          <w:t>10.5</w:t>
        </w:r>
        <w:r w:rsidRPr="005F08D9">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_Toc17796517 \h </w:instrText>
        </w:r>
        <w:r>
          <w:rPr>
            <w:noProof/>
            <w:webHidden/>
          </w:rPr>
        </w:r>
        <w:r>
          <w:rPr>
            <w:noProof/>
            <w:webHidden/>
          </w:rPr>
          <w:fldChar w:fldCharType="separate"/>
        </w:r>
        <w:r>
          <w:rPr>
            <w:noProof/>
            <w:webHidden/>
          </w:rPr>
          <w:t>42</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18" w:history="1">
        <w:r w:rsidRPr="005F08D9">
          <w:rPr>
            <w:rStyle w:val="a8"/>
            <w:noProof/>
          </w:rPr>
          <w:t>10.6</w:t>
        </w:r>
        <w:r w:rsidRPr="005F08D9">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_Toc17796518 \h </w:instrText>
        </w:r>
        <w:r>
          <w:rPr>
            <w:noProof/>
            <w:webHidden/>
          </w:rPr>
        </w:r>
        <w:r>
          <w:rPr>
            <w:noProof/>
            <w:webHidden/>
          </w:rPr>
          <w:fldChar w:fldCharType="separate"/>
        </w:r>
        <w:r>
          <w:rPr>
            <w:noProof/>
            <w:webHidden/>
          </w:rPr>
          <w:t>42</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19" w:history="1">
        <w:r w:rsidRPr="005F08D9">
          <w:rPr>
            <w:rStyle w:val="a8"/>
            <w:noProof/>
          </w:rPr>
          <w:t>10.7</w:t>
        </w:r>
        <w:r w:rsidRPr="005F08D9">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_Toc17796519 \h </w:instrText>
        </w:r>
        <w:r>
          <w:rPr>
            <w:noProof/>
            <w:webHidden/>
          </w:rPr>
        </w:r>
        <w:r>
          <w:rPr>
            <w:noProof/>
            <w:webHidden/>
          </w:rPr>
          <w:fldChar w:fldCharType="separate"/>
        </w:r>
        <w:r>
          <w:rPr>
            <w:noProof/>
            <w:webHidden/>
          </w:rPr>
          <w:t>42</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20" w:history="1">
        <w:r w:rsidRPr="005F08D9">
          <w:rPr>
            <w:rStyle w:val="a8"/>
            <w:noProof/>
          </w:rPr>
          <w:t>10.8</w:t>
        </w:r>
        <w:r w:rsidRPr="005F08D9">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_Toc17796520 \h </w:instrText>
        </w:r>
        <w:r>
          <w:rPr>
            <w:noProof/>
            <w:webHidden/>
          </w:rPr>
        </w:r>
        <w:r>
          <w:rPr>
            <w:noProof/>
            <w:webHidden/>
          </w:rPr>
          <w:fldChar w:fldCharType="separate"/>
        </w:r>
        <w:r>
          <w:rPr>
            <w:noProof/>
            <w:webHidden/>
          </w:rPr>
          <w:t>42</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21" w:history="1">
        <w:r w:rsidRPr="005F08D9">
          <w:rPr>
            <w:rStyle w:val="a8"/>
            <w:noProof/>
          </w:rPr>
          <w:t xml:space="preserve">10.9 </w:t>
        </w:r>
        <w:r w:rsidRPr="005F08D9">
          <w:rPr>
            <w:rStyle w:val="a8"/>
            <w:rFonts w:hint="eastAsia"/>
            <w:noProof/>
          </w:rPr>
          <w:t>其他重大事件</w:t>
        </w:r>
        <w:r>
          <w:rPr>
            <w:noProof/>
            <w:webHidden/>
          </w:rPr>
          <w:tab/>
        </w:r>
        <w:r>
          <w:rPr>
            <w:noProof/>
            <w:webHidden/>
          </w:rPr>
          <w:fldChar w:fldCharType="begin"/>
        </w:r>
        <w:r>
          <w:rPr>
            <w:noProof/>
            <w:webHidden/>
          </w:rPr>
          <w:instrText xml:space="preserve"> PAGEREF _Toc17796521 \h </w:instrText>
        </w:r>
        <w:r>
          <w:rPr>
            <w:noProof/>
            <w:webHidden/>
          </w:rPr>
        </w:r>
        <w:r>
          <w:rPr>
            <w:noProof/>
            <w:webHidden/>
          </w:rPr>
          <w:fldChar w:fldCharType="separate"/>
        </w:r>
        <w:r>
          <w:rPr>
            <w:noProof/>
            <w:webHidden/>
          </w:rPr>
          <w:t>43</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522" w:history="1">
        <w:r w:rsidRPr="005F08D9">
          <w:rPr>
            <w:rStyle w:val="a8"/>
            <w:b/>
            <w:bCs/>
            <w:noProof/>
          </w:rPr>
          <w:t xml:space="preserve">§11  </w:t>
        </w:r>
        <w:r w:rsidRPr="005F08D9">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_Toc17796522 \h </w:instrText>
        </w:r>
        <w:r>
          <w:rPr>
            <w:noProof/>
            <w:webHidden/>
          </w:rPr>
        </w:r>
        <w:r>
          <w:rPr>
            <w:noProof/>
            <w:webHidden/>
          </w:rPr>
          <w:fldChar w:fldCharType="separate"/>
        </w:r>
        <w:r>
          <w:rPr>
            <w:noProof/>
            <w:webHidden/>
          </w:rPr>
          <w:t>44</w:t>
        </w:r>
        <w:r>
          <w:rPr>
            <w:noProof/>
            <w:webHidden/>
          </w:rPr>
          <w:fldChar w:fldCharType="end"/>
        </w:r>
      </w:hyperlink>
    </w:p>
    <w:p w:rsidR="0019242D" w:rsidRDefault="0019242D">
      <w:pPr>
        <w:pStyle w:val="11"/>
        <w:rPr>
          <w:rFonts w:asciiTheme="minorHAnsi" w:eastAsiaTheme="minorEastAsia" w:hAnsiTheme="minorHAnsi" w:cstheme="minorBidi"/>
          <w:noProof/>
          <w:szCs w:val="22"/>
        </w:rPr>
      </w:pPr>
      <w:hyperlink w:anchor="_Toc17796523" w:history="1">
        <w:r w:rsidRPr="005F08D9">
          <w:rPr>
            <w:rStyle w:val="a8"/>
            <w:b/>
            <w:bCs/>
            <w:noProof/>
          </w:rPr>
          <w:t xml:space="preserve">§12  </w:t>
        </w:r>
        <w:r w:rsidRPr="005F08D9">
          <w:rPr>
            <w:rStyle w:val="a8"/>
            <w:rFonts w:hint="eastAsia"/>
            <w:b/>
            <w:bCs/>
            <w:noProof/>
          </w:rPr>
          <w:t>备查文件目录</w:t>
        </w:r>
        <w:r>
          <w:rPr>
            <w:noProof/>
            <w:webHidden/>
          </w:rPr>
          <w:tab/>
        </w:r>
        <w:r>
          <w:rPr>
            <w:noProof/>
            <w:webHidden/>
          </w:rPr>
          <w:fldChar w:fldCharType="begin"/>
        </w:r>
        <w:r>
          <w:rPr>
            <w:noProof/>
            <w:webHidden/>
          </w:rPr>
          <w:instrText xml:space="preserve"> PAGEREF _Toc17796523 \h </w:instrText>
        </w:r>
        <w:r>
          <w:rPr>
            <w:noProof/>
            <w:webHidden/>
          </w:rPr>
        </w:r>
        <w:r>
          <w:rPr>
            <w:noProof/>
            <w:webHidden/>
          </w:rPr>
          <w:fldChar w:fldCharType="separate"/>
        </w:r>
        <w:r>
          <w:rPr>
            <w:noProof/>
            <w:webHidden/>
          </w:rPr>
          <w:t>45</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24" w:history="1">
        <w:r w:rsidRPr="005F08D9">
          <w:rPr>
            <w:rStyle w:val="a8"/>
            <w:noProof/>
          </w:rPr>
          <w:t xml:space="preserve">12.1 </w:t>
        </w:r>
        <w:r w:rsidRPr="005F08D9">
          <w:rPr>
            <w:rStyle w:val="a8"/>
            <w:rFonts w:hint="eastAsia"/>
            <w:noProof/>
          </w:rPr>
          <w:t>备查文件目录</w:t>
        </w:r>
        <w:r>
          <w:rPr>
            <w:noProof/>
            <w:webHidden/>
          </w:rPr>
          <w:tab/>
        </w:r>
        <w:r>
          <w:rPr>
            <w:noProof/>
            <w:webHidden/>
          </w:rPr>
          <w:fldChar w:fldCharType="begin"/>
        </w:r>
        <w:r>
          <w:rPr>
            <w:noProof/>
            <w:webHidden/>
          </w:rPr>
          <w:instrText xml:space="preserve"> PAGEREF _Toc17796524 \h </w:instrText>
        </w:r>
        <w:r>
          <w:rPr>
            <w:noProof/>
            <w:webHidden/>
          </w:rPr>
        </w:r>
        <w:r>
          <w:rPr>
            <w:noProof/>
            <w:webHidden/>
          </w:rPr>
          <w:fldChar w:fldCharType="separate"/>
        </w:r>
        <w:r>
          <w:rPr>
            <w:noProof/>
            <w:webHidden/>
          </w:rPr>
          <w:t>45</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25" w:history="1">
        <w:r w:rsidRPr="005F08D9">
          <w:rPr>
            <w:rStyle w:val="a8"/>
            <w:noProof/>
          </w:rPr>
          <w:t xml:space="preserve">12.2 </w:t>
        </w:r>
        <w:r w:rsidRPr="005F08D9">
          <w:rPr>
            <w:rStyle w:val="a8"/>
            <w:rFonts w:hint="eastAsia"/>
            <w:noProof/>
          </w:rPr>
          <w:t>存放地点</w:t>
        </w:r>
        <w:r>
          <w:rPr>
            <w:noProof/>
            <w:webHidden/>
          </w:rPr>
          <w:tab/>
        </w:r>
        <w:r>
          <w:rPr>
            <w:noProof/>
            <w:webHidden/>
          </w:rPr>
          <w:fldChar w:fldCharType="begin"/>
        </w:r>
        <w:r>
          <w:rPr>
            <w:noProof/>
            <w:webHidden/>
          </w:rPr>
          <w:instrText xml:space="preserve"> PAGEREF _Toc17796525 \h </w:instrText>
        </w:r>
        <w:r>
          <w:rPr>
            <w:noProof/>
            <w:webHidden/>
          </w:rPr>
        </w:r>
        <w:r>
          <w:rPr>
            <w:noProof/>
            <w:webHidden/>
          </w:rPr>
          <w:fldChar w:fldCharType="separate"/>
        </w:r>
        <w:r>
          <w:rPr>
            <w:noProof/>
            <w:webHidden/>
          </w:rPr>
          <w:t>45</w:t>
        </w:r>
        <w:r>
          <w:rPr>
            <w:noProof/>
            <w:webHidden/>
          </w:rPr>
          <w:fldChar w:fldCharType="end"/>
        </w:r>
      </w:hyperlink>
    </w:p>
    <w:p w:rsidR="0019242D" w:rsidRDefault="0019242D">
      <w:pPr>
        <w:pStyle w:val="22"/>
        <w:rPr>
          <w:rFonts w:asciiTheme="minorHAnsi" w:eastAsiaTheme="minorEastAsia" w:hAnsiTheme="minorHAnsi" w:cstheme="minorBidi"/>
          <w:noProof/>
          <w:kern w:val="2"/>
          <w:szCs w:val="22"/>
        </w:rPr>
      </w:pPr>
      <w:hyperlink w:anchor="_Toc17796526" w:history="1">
        <w:r w:rsidRPr="005F08D9">
          <w:rPr>
            <w:rStyle w:val="a8"/>
            <w:noProof/>
          </w:rPr>
          <w:t xml:space="preserve">12.3 </w:t>
        </w:r>
        <w:r w:rsidRPr="005F08D9">
          <w:rPr>
            <w:rStyle w:val="a8"/>
            <w:rFonts w:hint="eastAsia"/>
            <w:noProof/>
          </w:rPr>
          <w:t>查阅方式</w:t>
        </w:r>
        <w:r>
          <w:rPr>
            <w:noProof/>
            <w:webHidden/>
          </w:rPr>
          <w:tab/>
        </w:r>
        <w:r>
          <w:rPr>
            <w:noProof/>
            <w:webHidden/>
          </w:rPr>
          <w:fldChar w:fldCharType="begin"/>
        </w:r>
        <w:r>
          <w:rPr>
            <w:noProof/>
            <w:webHidden/>
          </w:rPr>
          <w:instrText xml:space="preserve"> PAGEREF _Toc17796526 \h </w:instrText>
        </w:r>
        <w:r>
          <w:rPr>
            <w:noProof/>
            <w:webHidden/>
          </w:rPr>
        </w:r>
        <w:r>
          <w:rPr>
            <w:noProof/>
            <w:webHidden/>
          </w:rPr>
          <w:fldChar w:fldCharType="separate"/>
        </w:r>
        <w:r>
          <w:rPr>
            <w:noProof/>
            <w:webHidden/>
          </w:rPr>
          <w:t>45</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796465"/>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796466"/>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交银施罗德丰享收益债券型证券投资基金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交银丰享收益债券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519748</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契约型，本基金在基金合同生效之日起两年（含两年）的期间内封闭式运作（按照基金合同的约定提前转换基金运作方式的除外），封闭期结束后转为开放式运作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1</w:t>
            </w:r>
            <w:r w:rsidRPr="001B7979">
              <w:rPr>
                <w:sz w:val="24"/>
              </w:rPr>
              <w:t>月</w:t>
            </w:r>
            <w:r w:rsidRPr="001B7979">
              <w:rPr>
                <w:sz w:val="24"/>
              </w:rPr>
              <w:t>19</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514,648,769.91</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交银丰享收益债券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交银丰享收益债券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519746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519748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504,571,243.00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10,077,526.91</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日起转为开放式运作，并增加开通</w:t>
      </w:r>
      <w:r w:rsidRPr="001B7979">
        <w:rPr>
          <w:kern w:val="0"/>
          <w:sz w:val="24"/>
        </w:rPr>
        <w:t>A</w:t>
      </w:r>
      <w:r w:rsidRPr="001B7979">
        <w:rPr>
          <w:kern w:val="0"/>
          <w:sz w:val="24"/>
        </w:rPr>
        <w:t>类基金份额。</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796467"/>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在严格控制风险和追求资产稳健增值的基础上</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39056C" w:rsidRDefault="005409C6">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39056C" w:rsidRDefault="0039056C">
            <w:pPr>
              <w:spacing w:before="29" w:line="288" w:lineRule="auto"/>
              <w:rPr>
                <w:sz w:val="24"/>
              </w:rPr>
            </w:pP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w:t>
            </w:r>
            <w:r w:rsidRPr="001B7979">
              <w:rPr>
                <w:sz w:val="24"/>
              </w:rPr>
              <w:lastRenderedPageBreak/>
              <w:t>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lastRenderedPageBreak/>
              <w:t>业绩比较基准</w:t>
            </w:r>
          </w:p>
        </w:tc>
        <w:tc>
          <w:tcPr>
            <w:tcW w:w="6873" w:type="dxa"/>
            <w:vAlign w:val="center"/>
          </w:tcPr>
          <w:p w:rsidR="0039056C" w:rsidRDefault="005409C6">
            <w:pPr>
              <w:spacing w:before="29" w:line="288" w:lineRule="auto"/>
              <w:rPr>
                <w:sz w:val="24"/>
              </w:rPr>
            </w:pPr>
            <w:r>
              <w:rPr>
                <w:sz w:val="24"/>
              </w:rPr>
              <w:t>封闭期内业绩比较基准：两年期银行定期存款税后收益率</w:t>
            </w:r>
          </w:p>
          <w:p w:rsidR="001548F9" w:rsidRPr="001B7979" w:rsidRDefault="001548F9" w:rsidP="00571B8A">
            <w:pPr>
              <w:spacing w:before="29" w:line="288" w:lineRule="auto"/>
              <w:rPr>
                <w:sz w:val="24"/>
              </w:rPr>
            </w:pPr>
            <w:r w:rsidRPr="001B7979">
              <w:rPr>
                <w:sz w:val="24"/>
              </w:rPr>
              <w:t>开放期内业绩比较基准：中债综合全价指数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796468"/>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068CB" w:rsidRPr="005312D8" w:rsidTr="001068CB">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1068CB" w:rsidRPr="001068CB" w:rsidRDefault="001068CB" w:rsidP="005E608C">
            <w:pPr>
              <w:autoSpaceDE w:val="0"/>
              <w:autoSpaceDN w:val="0"/>
              <w:adjustRightInd w:val="0"/>
              <w:spacing w:before="29" w:line="288" w:lineRule="auto"/>
              <w:ind w:left="15"/>
              <w:jc w:val="center"/>
              <w:rPr>
                <w:color w:val="000000"/>
                <w:sz w:val="24"/>
              </w:rPr>
            </w:pPr>
            <w:r w:rsidRPr="001068CB">
              <w:rPr>
                <w:color w:val="000000"/>
                <w:sz w:val="24"/>
              </w:rPr>
              <w:t>项目</w:t>
            </w:r>
          </w:p>
        </w:tc>
        <w:tc>
          <w:tcPr>
            <w:tcW w:w="3146" w:type="dxa"/>
            <w:tcBorders>
              <w:top w:val="single" w:sz="4" w:space="0" w:color="000000"/>
              <w:left w:val="single" w:sz="4" w:space="0" w:color="000000"/>
              <w:bottom w:val="single" w:sz="4" w:space="0" w:color="000000"/>
              <w:right w:val="single" w:sz="4" w:space="0" w:color="000000"/>
            </w:tcBorders>
            <w:vAlign w:val="center"/>
          </w:tcPr>
          <w:p w:rsidR="001068CB" w:rsidRPr="001068CB" w:rsidRDefault="001068CB" w:rsidP="001068CB">
            <w:pPr>
              <w:autoSpaceDE w:val="0"/>
              <w:autoSpaceDN w:val="0"/>
              <w:adjustRightInd w:val="0"/>
              <w:spacing w:before="29" w:line="288" w:lineRule="auto"/>
              <w:ind w:left="15"/>
              <w:jc w:val="center"/>
              <w:rPr>
                <w:color w:val="000000"/>
                <w:kern w:val="0"/>
                <w:sz w:val="24"/>
              </w:rPr>
            </w:pPr>
            <w:r w:rsidRPr="001068CB">
              <w:rPr>
                <w:color w:val="000000"/>
                <w:kern w:val="0"/>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tcPr>
          <w:p w:rsidR="001068CB" w:rsidRPr="001068CB" w:rsidRDefault="001068CB" w:rsidP="001068CB">
            <w:pPr>
              <w:autoSpaceDE w:val="0"/>
              <w:autoSpaceDN w:val="0"/>
              <w:adjustRightInd w:val="0"/>
              <w:spacing w:before="29" w:line="288" w:lineRule="auto"/>
              <w:ind w:left="15"/>
              <w:jc w:val="center"/>
              <w:rPr>
                <w:color w:val="000000"/>
                <w:kern w:val="0"/>
                <w:sz w:val="24"/>
              </w:rPr>
            </w:pPr>
            <w:r w:rsidRPr="001068CB">
              <w:rPr>
                <w:color w:val="000000"/>
                <w:kern w:val="0"/>
                <w:sz w:val="24"/>
              </w:rPr>
              <w:t>基金托管人</w:t>
            </w:r>
          </w:p>
        </w:tc>
      </w:tr>
      <w:tr w:rsidR="001068CB" w:rsidRPr="005312D8" w:rsidTr="001068CB">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1068CB" w:rsidRPr="001068CB" w:rsidRDefault="001068CB" w:rsidP="001068CB">
            <w:pPr>
              <w:autoSpaceDE w:val="0"/>
              <w:autoSpaceDN w:val="0"/>
              <w:adjustRightInd w:val="0"/>
              <w:spacing w:before="29" w:line="288" w:lineRule="auto"/>
              <w:ind w:left="15"/>
              <w:jc w:val="center"/>
              <w:rPr>
                <w:color w:val="000000"/>
                <w:sz w:val="24"/>
              </w:rPr>
            </w:pPr>
            <w:r w:rsidRPr="001068CB">
              <w:rPr>
                <w:color w:val="000000"/>
                <w:sz w:val="24"/>
              </w:rPr>
              <w:t>名称</w:t>
            </w:r>
          </w:p>
        </w:tc>
        <w:tc>
          <w:tcPr>
            <w:tcW w:w="3146" w:type="dxa"/>
            <w:tcBorders>
              <w:top w:val="single" w:sz="4" w:space="0" w:color="000000"/>
              <w:left w:val="single" w:sz="4" w:space="0" w:color="000000"/>
              <w:bottom w:val="single" w:sz="4" w:space="0" w:color="000000"/>
              <w:right w:val="single" w:sz="4" w:space="0" w:color="000000"/>
            </w:tcBorders>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068CB" w:rsidRPr="005312D8" w:rsidTr="001068CB">
        <w:tc>
          <w:tcPr>
            <w:tcW w:w="1296" w:type="dxa"/>
            <w:vMerge w:val="restart"/>
            <w:vAlign w:val="center"/>
          </w:tcPr>
          <w:p w:rsidR="001068CB" w:rsidRPr="005312D8" w:rsidRDefault="001068CB" w:rsidP="005E608C">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410" w:type="dxa"/>
            <w:vAlign w:val="center"/>
          </w:tcPr>
          <w:p w:rsidR="001068CB" w:rsidRPr="005312D8" w:rsidRDefault="001068CB" w:rsidP="005E608C">
            <w:pPr>
              <w:spacing w:before="29" w:line="288" w:lineRule="auto"/>
              <w:jc w:val="center"/>
              <w:rPr>
                <w:color w:val="000000"/>
                <w:sz w:val="24"/>
              </w:rPr>
            </w:pPr>
            <w:r w:rsidRPr="005312D8">
              <w:rPr>
                <w:color w:val="000000"/>
                <w:sz w:val="24"/>
              </w:rPr>
              <w:t>姓名</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068CB" w:rsidRPr="005312D8" w:rsidTr="001068CB">
        <w:tc>
          <w:tcPr>
            <w:tcW w:w="1296" w:type="dxa"/>
            <w:vMerge/>
            <w:vAlign w:val="center"/>
          </w:tcPr>
          <w:p w:rsidR="001068CB" w:rsidRPr="005312D8" w:rsidRDefault="001068CB" w:rsidP="005E608C">
            <w:pPr>
              <w:widowControl/>
              <w:spacing w:before="29" w:line="288" w:lineRule="auto"/>
              <w:jc w:val="left"/>
              <w:rPr>
                <w:color w:val="000000"/>
                <w:kern w:val="0"/>
                <w:sz w:val="24"/>
              </w:rPr>
            </w:pPr>
          </w:p>
        </w:tc>
        <w:tc>
          <w:tcPr>
            <w:tcW w:w="1410"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068CB" w:rsidRPr="005312D8" w:rsidTr="001068CB">
        <w:tc>
          <w:tcPr>
            <w:tcW w:w="1296" w:type="dxa"/>
            <w:vMerge/>
            <w:vAlign w:val="center"/>
          </w:tcPr>
          <w:p w:rsidR="001068CB" w:rsidRPr="005312D8" w:rsidRDefault="001068CB" w:rsidP="005E608C">
            <w:pPr>
              <w:widowControl/>
              <w:spacing w:before="29" w:line="288" w:lineRule="auto"/>
              <w:jc w:val="left"/>
              <w:rPr>
                <w:color w:val="000000"/>
                <w:kern w:val="0"/>
                <w:sz w:val="24"/>
              </w:rPr>
            </w:pPr>
          </w:p>
        </w:tc>
        <w:tc>
          <w:tcPr>
            <w:tcW w:w="1410"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068CB" w:rsidRPr="005312D8" w:rsidTr="001068CB">
        <w:tc>
          <w:tcPr>
            <w:tcW w:w="2706" w:type="dxa"/>
            <w:gridSpan w:val="2"/>
            <w:vAlign w:val="center"/>
          </w:tcPr>
          <w:p w:rsidR="001068CB" w:rsidRPr="005312D8" w:rsidRDefault="001068CB" w:rsidP="005E608C">
            <w:pPr>
              <w:spacing w:before="29" w:line="288" w:lineRule="auto"/>
              <w:rPr>
                <w:color w:val="000000"/>
                <w:sz w:val="24"/>
              </w:rPr>
            </w:pPr>
            <w:r w:rsidRPr="005312D8">
              <w:rPr>
                <w:color w:val="000000"/>
                <w:sz w:val="24"/>
              </w:rPr>
              <w:t>客户服务电话</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068CB" w:rsidRPr="005312D8" w:rsidTr="001068CB">
        <w:tc>
          <w:tcPr>
            <w:tcW w:w="2706" w:type="dxa"/>
            <w:gridSpan w:val="2"/>
            <w:vAlign w:val="center"/>
          </w:tcPr>
          <w:p w:rsidR="001068CB" w:rsidRPr="005312D8" w:rsidRDefault="001068CB" w:rsidP="005E608C">
            <w:pPr>
              <w:spacing w:before="29" w:line="288" w:lineRule="auto"/>
              <w:rPr>
                <w:color w:val="000000"/>
                <w:sz w:val="24"/>
              </w:rPr>
            </w:pPr>
            <w:r w:rsidRPr="005312D8">
              <w:rPr>
                <w:color w:val="000000"/>
                <w:sz w:val="24"/>
              </w:rPr>
              <w:t>传真</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068CB" w:rsidRPr="005312D8" w:rsidTr="001068CB">
        <w:tc>
          <w:tcPr>
            <w:tcW w:w="2706" w:type="dxa"/>
            <w:gridSpan w:val="2"/>
            <w:vAlign w:val="center"/>
          </w:tcPr>
          <w:p w:rsidR="001068CB" w:rsidRPr="005312D8" w:rsidRDefault="001068CB" w:rsidP="005E608C">
            <w:pPr>
              <w:spacing w:before="29" w:line="288" w:lineRule="auto"/>
              <w:rPr>
                <w:color w:val="000000"/>
                <w:sz w:val="24"/>
              </w:rPr>
            </w:pPr>
            <w:r w:rsidRPr="005312D8">
              <w:rPr>
                <w:color w:val="000000"/>
                <w:sz w:val="24"/>
              </w:rPr>
              <w:t>注册地址</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068CB" w:rsidRPr="005312D8" w:rsidTr="001068CB">
        <w:tc>
          <w:tcPr>
            <w:tcW w:w="2706" w:type="dxa"/>
            <w:gridSpan w:val="2"/>
            <w:vAlign w:val="center"/>
          </w:tcPr>
          <w:p w:rsidR="001068CB" w:rsidRPr="005312D8" w:rsidRDefault="001068CB" w:rsidP="005E608C">
            <w:pPr>
              <w:spacing w:before="29" w:line="288" w:lineRule="auto"/>
              <w:rPr>
                <w:color w:val="000000"/>
                <w:sz w:val="24"/>
              </w:rPr>
            </w:pPr>
            <w:r w:rsidRPr="005312D8">
              <w:rPr>
                <w:color w:val="000000"/>
                <w:sz w:val="24"/>
              </w:rPr>
              <w:t>办公地址</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068CB" w:rsidRPr="005312D8" w:rsidTr="001068CB">
        <w:tc>
          <w:tcPr>
            <w:tcW w:w="2706" w:type="dxa"/>
            <w:gridSpan w:val="2"/>
            <w:vAlign w:val="center"/>
          </w:tcPr>
          <w:p w:rsidR="001068CB" w:rsidRPr="005312D8" w:rsidRDefault="001068CB" w:rsidP="005E608C">
            <w:pPr>
              <w:spacing w:before="29" w:line="288" w:lineRule="auto"/>
              <w:rPr>
                <w:color w:val="000000"/>
                <w:sz w:val="24"/>
              </w:rPr>
            </w:pPr>
            <w:r w:rsidRPr="005312D8">
              <w:rPr>
                <w:color w:val="000000"/>
                <w:sz w:val="24"/>
              </w:rPr>
              <w:t>邮政编码</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068CB" w:rsidRPr="005312D8" w:rsidTr="001068CB">
        <w:tc>
          <w:tcPr>
            <w:tcW w:w="2706" w:type="dxa"/>
            <w:gridSpan w:val="2"/>
            <w:vAlign w:val="center"/>
          </w:tcPr>
          <w:p w:rsidR="001068CB" w:rsidRPr="005312D8" w:rsidRDefault="001068CB" w:rsidP="005E608C">
            <w:pPr>
              <w:spacing w:before="29" w:line="288" w:lineRule="auto"/>
              <w:rPr>
                <w:color w:val="000000"/>
                <w:sz w:val="24"/>
              </w:rPr>
            </w:pPr>
            <w:r w:rsidRPr="005312D8">
              <w:rPr>
                <w:color w:val="000000"/>
                <w:sz w:val="24"/>
              </w:rPr>
              <w:t>法定代表人</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146" w:type="dxa"/>
            <w:vAlign w:val="center"/>
          </w:tcPr>
          <w:p w:rsidR="001068CB" w:rsidRPr="005312D8" w:rsidRDefault="001068CB" w:rsidP="005E608C">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796469"/>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796470"/>
      <w:r w:rsidRPr="001B7979">
        <w:rPr>
          <w:rFonts w:ascii="Times New Roman" w:hAnsi="Times New Roman"/>
          <w:kern w:val="0"/>
          <w:szCs w:val="24"/>
        </w:rPr>
        <w:lastRenderedPageBreak/>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796471"/>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796472"/>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9,553,812.02</w:t>
            </w:r>
          </w:p>
        </w:tc>
        <w:tc>
          <w:tcPr>
            <w:tcW w:w="2558" w:type="dxa"/>
            <w:vAlign w:val="center"/>
          </w:tcPr>
          <w:p w:rsidR="001548F9" w:rsidRPr="001B7979" w:rsidRDefault="001548F9" w:rsidP="00571B8A">
            <w:pPr>
              <w:spacing w:before="29" w:line="288" w:lineRule="auto"/>
              <w:jc w:val="right"/>
              <w:rPr>
                <w:sz w:val="24"/>
              </w:rPr>
            </w:pPr>
            <w:r w:rsidRPr="001B7979">
              <w:rPr>
                <w:sz w:val="24"/>
              </w:rPr>
              <w:t>147,636.30</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7,554,779.47</w:t>
            </w:r>
          </w:p>
        </w:tc>
        <w:tc>
          <w:tcPr>
            <w:tcW w:w="2558" w:type="dxa"/>
            <w:vAlign w:val="center"/>
          </w:tcPr>
          <w:p w:rsidR="001548F9" w:rsidRPr="001B7979" w:rsidRDefault="001548F9" w:rsidP="00571B8A">
            <w:pPr>
              <w:spacing w:before="29" w:line="288" w:lineRule="auto"/>
              <w:jc w:val="right"/>
              <w:rPr>
                <w:sz w:val="24"/>
              </w:rPr>
            </w:pPr>
            <w:r w:rsidRPr="001B7979">
              <w:rPr>
                <w:sz w:val="24"/>
              </w:rPr>
              <w:t>122,363.50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0.0252</w:t>
            </w:r>
          </w:p>
        </w:tc>
        <w:tc>
          <w:tcPr>
            <w:tcW w:w="2558" w:type="dxa"/>
            <w:vAlign w:val="center"/>
          </w:tcPr>
          <w:p w:rsidR="001548F9" w:rsidRPr="001B7979" w:rsidRDefault="001548F9" w:rsidP="00571B8A">
            <w:pPr>
              <w:spacing w:before="29" w:line="288" w:lineRule="auto"/>
              <w:jc w:val="right"/>
              <w:rPr>
                <w:sz w:val="24"/>
              </w:rPr>
            </w:pPr>
            <w:r w:rsidRPr="001B7979">
              <w:rPr>
                <w:sz w:val="24"/>
              </w:rPr>
              <w:t>0.0103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1.24%</w:t>
            </w:r>
          </w:p>
        </w:tc>
        <w:tc>
          <w:tcPr>
            <w:tcW w:w="2558" w:type="dxa"/>
            <w:vAlign w:val="center"/>
          </w:tcPr>
          <w:p w:rsidR="001548F9" w:rsidRPr="001B7979" w:rsidRDefault="001548F9" w:rsidP="00571B8A">
            <w:pPr>
              <w:spacing w:before="29" w:line="288" w:lineRule="auto"/>
              <w:jc w:val="right"/>
              <w:rPr>
                <w:sz w:val="24"/>
              </w:rPr>
            </w:pPr>
            <w:r w:rsidRPr="001B7979">
              <w:rPr>
                <w:sz w:val="24"/>
              </w:rPr>
              <w:t>0.98%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1.19%</w:t>
            </w:r>
          </w:p>
        </w:tc>
        <w:tc>
          <w:tcPr>
            <w:tcW w:w="2558" w:type="dxa"/>
            <w:vAlign w:val="center"/>
          </w:tcPr>
          <w:p w:rsidR="001548F9" w:rsidRPr="001B7979" w:rsidRDefault="001548F9" w:rsidP="00571B8A">
            <w:pPr>
              <w:spacing w:before="29" w:line="288" w:lineRule="auto"/>
              <w:jc w:val="right"/>
              <w:rPr>
                <w:sz w:val="24"/>
              </w:rPr>
            </w:pPr>
            <w:r w:rsidRPr="001B7979">
              <w:rPr>
                <w:sz w:val="24"/>
              </w:rPr>
              <w:t>0.95%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交银丰享收益债券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交银丰享收益债券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524,607,986.91</w:t>
            </w:r>
          </w:p>
        </w:tc>
        <w:tc>
          <w:tcPr>
            <w:tcW w:w="2558" w:type="dxa"/>
            <w:vAlign w:val="center"/>
          </w:tcPr>
          <w:p w:rsidR="001548F9" w:rsidRPr="001B7979" w:rsidRDefault="001548F9" w:rsidP="00571B8A">
            <w:pPr>
              <w:spacing w:before="29" w:line="288" w:lineRule="auto"/>
              <w:jc w:val="right"/>
              <w:rPr>
                <w:sz w:val="24"/>
              </w:rPr>
            </w:pPr>
            <w:r w:rsidRPr="001B7979">
              <w:rPr>
                <w:sz w:val="24"/>
              </w:rPr>
              <w:t>623,019.70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1.040</w:t>
            </w:r>
          </w:p>
        </w:tc>
        <w:tc>
          <w:tcPr>
            <w:tcW w:w="2558" w:type="dxa"/>
            <w:vAlign w:val="center"/>
          </w:tcPr>
          <w:p w:rsidR="001548F9" w:rsidRPr="001B7979" w:rsidRDefault="001548F9" w:rsidP="00571B8A">
            <w:pPr>
              <w:spacing w:before="29" w:line="288" w:lineRule="auto"/>
              <w:jc w:val="right"/>
              <w:rPr>
                <w:sz w:val="24"/>
              </w:rPr>
            </w:pPr>
            <w:r w:rsidRPr="001B7979">
              <w:rPr>
                <w:sz w:val="24"/>
              </w:rPr>
              <w:t>0.062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1,029,179,229.91</w:t>
            </w:r>
          </w:p>
        </w:tc>
        <w:tc>
          <w:tcPr>
            <w:tcW w:w="2558" w:type="dxa"/>
            <w:vAlign w:val="center"/>
          </w:tcPr>
          <w:p w:rsidR="001548F9" w:rsidRPr="001B7979" w:rsidRDefault="001548F9" w:rsidP="00571B8A">
            <w:pPr>
              <w:spacing w:before="29" w:line="288" w:lineRule="auto"/>
              <w:jc w:val="right"/>
              <w:rPr>
                <w:sz w:val="24"/>
              </w:rPr>
            </w:pPr>
            <w:r w:rsidRPr="001B7979">
              <w:rPr>
                <w:sz w:val="24"/>
              </w:rPr>
              <w:t>10,700,546.61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2.040</w:t>
            </w:r>
          </w:p>
        </w:tc>
        <w:tc>
          <w:tcPr>
            <w:tcW w:w="2558" w:type="dxa"/>
            <w:vAlign w:val="center"/>
          </w:tcPr>
          <w:p w:rsidR="001548F9" w:rsidRPr="001B7979" w:rsidRDefault="001548F9" w:rsidP="00571B8A">
            <w:pPr>
              <w:spacing w:before="29" w:line="288" w:lineRule="auto"/>
              <w:jc w:val="right"/>
              <w:rPr>
                <w:sz w:val="24"/>
              </w:rPr>
            </w:pPr>
            <w:r w:rsidRPr="001B7979">
              <w:rPr>
                <w:sz w:val="24"/>
              </w:rPr>
              <w:t>1.062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114.53%</w:t>
            </w:r>
          </w:p>
        </w:tc>
        <w:tc>
          <w:tcPr>
            <w:tcW w:w="2558" w:type="dxa"/>
            <w:vAlign w:val="center"/>
          </w:tcPr>
          <w:p w:rsidR="001548F9" w:rsidRPr="001B7979" w:rsidRDefault="001548F9" w:rsidP="00571B8A">
            <w:pPr>
              <w:spacing w:before="29" w:line="288" w:lineRule="auto"/>
              <w:jc w:val="right"/>
              <w:rPr>
                <w:sz w:val="24"/>
              </w:rPr>
            </w:pPr>
            <w:r w:rsidRPr="001B7979">
              <w:rPr>
                <w:sz w:val="24"/>
              </w:rPr>
              <w:t>21.51%</w:t>
            </w:r>
          </w:p>
        </w:tc>
      </w:tr>
    </w:tbl>
    <w:p w:rsidR="0039056C" w:rsidRDefault="005409C6">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796473"/>
      <w:r w:rsidRPr="001B7979">
        <w:rPr>
          <w:rFonts w:ascii="Times New Roman" w:hAnsi="Times New Roman"/>
          <w:kern w:val="0"/>
          <w:szCs w:val="24"/>
        </w:rPr>
        <w:lastRenderedPageBreak/>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39056C">
        <w:tc>
          <w:tcPr>
            <w:tcW w:w="1497" w:type="dxa"/>
            <w:vAlign w:val="center"/>
          </w:tcPr>
          <w:p w:rsidR="0039056C" w:rsidRDefault="005409C6">
            <w:pPr>
              <w:jc w:val="left"/>
            </w:pPr>
            <w:r>
              <w:rPr>
                <w:color w:val="000000"/>
                <w:sz w:val="24"/>
              </w:rPr>
              <w:t>过去一个月</w:t>
            </w:r>
          </w:p>
        </w:tc>
        <w:tc>
          <w:tcPr>
            <w:tcW w:w="1251" w:type="dxa"/>
            <w:vAlign w:val="center"/>
          </w:tcPr>
          <w:p w:rsidR="0039056C" w:rsidRDefault="005409C6">
            <w:pPr>
              <w:jc w:val="center"/>
            </w:pPr>
            <w:r>
              <w:rPr>
                <w:color w:val="000000"/>
                <w:sz w:val="24"/>
              </w:rPr>
              <w:t>0.25%</w:t>
            </w:r>
          </w:p>
        </w:tc>
        <w:tc>
          <w:tcPr>
            <w:tcW w:w="1250" w:type="dxa"/>
            <w:vAlign w:val="center"/>
          </w:tcPr>
          <w:p w:rsidR="0039056C" w:rsidRDefault="005409C6">
            <w:pPr>
              <w:jc w:val="center"/>
            </w:pPr>
            <w:r>
              <w:rPr>
                <w:color w:val="000000"/>
                <w:sz w:val="24"/>
              </w:rPr>
              <w:t>0.03%</w:t>
            </w:r>
          </w:p>
        </w:tc>
        <w:tc>
          <w:tcPr>
            <w:tcW w:w="1250" w:type="dxa"/>
            <w:vAlign w:val="center"/>
          </w:tcPr>
          <w:p w:rsidR="0039056C" w:rsidRDefault="005409C6">
            <w:pPr>
              <w:jc w:val="center"/>
            </w:pPr>
            <w:r>
              <w:rPr>
                <w:color w:val="000000"/>
                <w:sz w:val="24"/>
              </w:rPr>
              <w:t>0.28%</w:t>
            </w:r>
          </w:p>
        </w:tc>
        <w:tc>
          <w:tcPr>
            <w:tcW w:w="1250" w:type="dxa"/>
            <w:vAlign w:val="center"/>
          </w:tcPr>
          <w:p w:rsidR="0039056C" w:rsidRDefault="005409C6">
            <w:pPr>
              <w:jc w:val="center"/>
            </w:pPr>
            <w:r>
              <w:rPr>
                <w:color w:val="000000"/>
                <w:sz w:val="24"/>
              </w:rPr>
              <w:t>0.03%</w:t>
            </w:r>
          </w:p>
        </w:tc>
        <w:tc>
          <w:tcPr>
            <w:tcW w:w="1250" w:type="dxa"/>
            <w:vAlign w:val="center"/>
          </w:tcPr>
          <w:p w:rsidR="0039056C" w:rsidRDefault="005409C6">
            <w:pPr>
              <w:jc w:val="center"/>
            </w:pPr>
            <w:r>
              <w:rPr>
                <w:color w:val="000000"/>
                <w:sz w:val="24"/>
              </w:rPr>
              <w:t>-0.03%</w:t>
            </w:r>
          </w:p>
        </w:tc>
        <w:tc>
          <w:tcPr>
            <w:tcW w:w="1250" w:type="dxa"/>
            <w:vAlign w:val="center"/>
          </w:tcPr>
          <w:p w:rsidR="0039056C" w:rsidRDefault="005409C6">
            <w:pPr>
              <w:jc w:val="center"/>
            </w:pPr>
            <w:r>
              <w:rPr>
                <w:color w:val="000000"/>
                <w:sz w:val="24"/>
              </w:rPr>
              <w:t>0.00%</w:t>
            </w:r>
          </w:p>
        </w:tc>
      </w:tr>
      <w:tr w:rsidR="0039056C">
        <w:tc>
          <w:tcPr>
            <w:tcW w:w="1497" w:type="dxa"/>
            <w:vAlign w:val="center"/>
          </w:tcPr>
          <w:p w:rsidR="0039056C" w:rsidRDefault="005409C6">
            <w:pPr>
              <w:jc w:val="left"/>
            </w:pPr>
            <w:r>
              <w:rPr>
                <w:color w:val="000000"/>
                <w:sz w:val="24"/>
              </w:rPr>
              <w:t>过去三个月</w:t>
            </w:r>
          </w:p>
        </w:tc>
        <w:tc>
          <w:tcPr>
            <w:tcW w:w="1251" w:type="dxa"/>
            <w:vAlign w:val="center"/>
          </w:tcPr>
          <w:p w:rsidR="0039056C" w:rsidRDefault="005409C6">
            <w:pPr>
              <w:jc w:val="center"/>
            </w:pPr>
            <w:r>
              <w:rPr>
                <w:color w:val="000000"/>
                <w:sz w:val="24"/>
              </w:rPr>
              <w:t>0.64%</w:t>
            </w:r>
          </w:p>
        </w:tc>
        <w:tc>
          <w:tcPr>
            <w:tcW w:w="1250" w:type="dxa"/>
            <w:vAlign w:val="center"/>
          </w:tcPr>
          <w:p w:rsidR="0039056C" w:rsidRDefault="005409C6">
            <w:pPr>
              <w:jc w:val="center"/>
            </w:pPr>
            <w:r>
              <w:rPr>
                <w:color w:val="000000"/>
                <w:sz w:val="24"/>
              </w:rPr>
              <w:t>0.03%</w:t>
            </w:r>
          </w:p>
        </w:tc>
        <w:tc>
          <w:tcPr>
            <w:tcW w:w="1250" w:type="dxa"/>
            <w:vAlign w:val="center"/>
          </w:tcPr>
          <w:p w:rsidR="0039056C" w:rsidRDefault="005409C6">
            <w:pPr>
              <w:jc w:val="center"/>
            </w:pPr>
            <w:r>
              <w:rPr>
                <w:color w:val="000000"/>
                <w:sz w:val="24"/>
              </w:rPr>
              <w:t>-0.23%</w:t>
            </w:r>
          </w:p>
        </w:tc>
        <w:tc>
          <w:tcPr>
            <w:tcW w:w="1250" w:type="dxa"/>
            <w:vAlign w:val="center"/>
          </w:tcPr>
          <w:p w:rsidR="0039056C" w:rsidRDefault="005409C6">
            <w:pPr>
              <w:jc w:val="center"/>
            </w:pPr>
            <w:r>
              <w:rPr>
                <w:color w:val="000000"/>
                <w:sz w:val="24"/>
              </w:rPr>
              <w:t>0.06%</w:t>
            </w:r>
          </w:p>
        </w:tc>
        <w:tc>
          <w:tcPr>
            <w:tcW w:w="1250" w:type="dxa"/>
            <w:vAlign w:val="center"/>
          </w:tcPr>
          <w:p w:rsidR="0039056C" w:rsidRDefault="005409C6">
            <w:pPr>
              <w:jc w:val="center"/>
            </w:pPr>
            <w:r>
              <w:rPr>
                <w:color w:val="000000"/>
                <w:sz w:val="24"/>
              </w:rPr>
              <w:t>0.87%</w:t>
            </w:r>
          </w:p>
        </w:tc>
        <w:tc>
          <w:tcPr>
            <w:tcW w:w="1250" w:type="dxa"/>
            <w:vAlign w:val="center"/>
          </w:tcPr>
          <w:p w:rsidR="0039056C" w:rsidRDefault="005409C6">
            <w:pPr>
              <w:jc w:val="center"/>
            </w:pPr>
            <w:r>
              <w:rPr>
                <w:color w:val="000000"/>
                <w:sz w:val="24"/>
              </w:rPr>
              <w:t>-0.03%</w:t>
            </w:r>
          </w:p>
        </w:tc>
      </w:tr>
      <w:tr w:rsidR="0039056C">
        <w:tc>
          <w:tcPr>
            <w:tcW w:w="1497" w:type="dxa"/>
            <w:vAlign w:val="center"/>
          </w:tcPr>
          <w:p w:rsidR="0039056C" w:rsidRDefault="005409C6">
            <w:pPr>
              <w:jc w:val="left"/>
            </w:pPr>
            <w:r>
              <w:rPr>
                <w:color w:val="000000"/>
                <w:sz w:val="24"/>
              </w:rPr>
              <w:t>过去六个月</w:t>
            </w:r>
          </w:p>
        </w:tc>
        <w:tc>
          <w:tcPr>
            <w:tcW w:w="1251" w:type="dxa"/>
            <w:vAlign w:val="center"/>
          </w:tcPr>
          <w:p w:rsidR="0039056C" w:rsidRDefault="005409C6">
            <w:pPr>
              <w:jc w:val="center"/>
            </w:pPr>
            <w:r>
              <w:rPr>
                <w:color w:val="000000"/>
                <w:sz w:val="24"/>
              </w:rPr>
              <w:t>1.19%</w:t>
            </w:r>
          </w:p>
        </w:tc>
        <w:tc>
          <w:tcPr>
            <w:tcW w:w="1250" w:type="dxa"/>
            <w:vAlign w:val="center"/>
          </w:tcPr>
          <w:p w:rsidR="0039056C" w:rsidRDefault="005409C6">
            <w:pPr>
              <w:jc w:val="center"/>
            </w:pPr>
            <w:r>
              <w:rPr>
                <w:color w:val="000000"/>
                <w:sz w:val="24"/>
              </w:rPr>
              <w:t>0.03%</w:t>
            </w:r>
          </w:p>
        </w:tc>
        <w:tc>
          <w:tcPr>
            <w:tcW w:w="1250" w:type="dxa"/>
            <w:vAlign w:val="center"/>
          </w:tcPr>
          <w:p w:rsidR="0039056C" w:rsidRDefault="005409C6">
            <w:pPr>
              <w:jc w:val="center"/>
            </w:pPr>
            <w:r>
              <w:rPr>
                <w:color w:val="000000"/>
                <w:sz w:val="24"/>
              </w:rPr>
              <w:t>0.24%</w:t>
            </w:r>
          </w:p>
        </w:tc>
        <w:tc>
          <w:tcPr>
            <w:tcW w:w="1250" w:type="dxa"/>
            <w:vAlign w:val="center"/>
          </w:tcPr>
          <w:p w:rsidR="0039056C" w:rsidRDefault="005409C6">
            <w:pPr>
              <w:jc w:val="center"/>
            </w:pPr>
            <w:r>
              <w:rPr>
                <w:color w:val="000000"/>
                <w:sz w:val="24"/>
              </w:rPr>
              <w:t>0.06%</w:t>
            </w:r>
          </w:p>
        </w:tc>
        <w:tc>
          <w:tcPr>
            <w:tcW w:w="1250" w:type="dxa"/>
            <w:vAlign w:val="center"/>
          </w:tcPr>
          <w:p w:rsidR="0039056C" w:rsidRDefault="005409C6">
            <w:pPr>
              <w:jc w:val="center"/>
            </w:pPr>
            <w:r>
              <w:rPr>
                <w:color w:val="000000"/>
                <w:sz w:val="24"/>
              </w:rPr>
              <w:t>0.95%</w:t>
            </w:r>
          </w:p>
        </w:tc>
        <w:tc>
          <w:tcPr>
            <w:tcW w:w="1250" w:type="dxa"/>
            <w:vAlign w:val="center"/>
          </w:tcPr>
          <w:p w:rsidR="0039056C" w:rsidRDefault="005409C6">
            <w:pPr>
              <w:jc w:val="center"/>
            </w:pPr>
            <w:r>
              <w:rPr>
                <w:color w:val="000000"/>
                <w:sz w:val="24"/>
              </w:rPr>
              <w:t>-0.03%</w:t>
            </w:r>
          </w:p>
        </w:tc>
      </w:tr>
      <w:tr w:rsidR="0039056C">
        <w:tc>
          <w:tcPr>
            <w:tcW w:w="1497" w:type="dxa"/>
            <w:vAlign w:val="center"/>
          </w:tcPr>
          <w:p w:rsidR="0039056C" w:rsidRDefault="005409C6">
            <w:pPr>
              <w:jc w:val="left"/>
            </w:pPr>
            <w:r>
              <w:rPr>
                <w:color w:val="000000"/>
                <w:sz w:val="24"/>
              </w:rPr>
              <w:t>过去一年</w:t>
            </w:r>
          </w:p>
        </w:tc>
        <w:tc>
          <w:tcPr>
            <w:tcW w:w="1251" w:type="dxa"/>
            <w:vAlign w:val="center"/>
          </w:tcPr>
          <w:p w:rsidR="0039056C" w:rsidRDefault="005409C6">
            <w:pPr>
              <w:jc w:val="center"/>
            </w:pPr>
            <w:r>
              <w:rPr>
                <w:color w:val="000000"/>
                <w:sz w:val="24"/>
              </w:rPr>
              <w:t>3.31%</w:t>
            </w:r>
          </w:p>
        </w:tc>
        <w:tc>
          <w:tcPr>
            <w:tcW w:w="1250" w:type="dxa"/>
            <w:vAlign w:val="center"/>
          </w:tcPr>
          <w:p w:rsidR="0039056C" w:rsidRDefault="005409C6">
            <w:pPr>
              <w:jc w:val="center"/>
            </w:pPr>
            <w:r>
              <w:rPr>
                <w:color w:val="000000"/>
                <w:sz w:val="24"/>
              </w:rPr>
              <w:t>0.03%</w:t>
            </w:r>
          </w:p>
        </w:tc>
        <w:tc>
          <w:tcPr>
            <w:tcW w:w="1250" w:type="dxa"/>
            <w:vAlign w:val="center"/>
          </w:tcPr>
          <w:p w:rsidR="0039056C" w:rsidRDefault="005409C6">
            <w:pPr>
              <w:jc w:val="center"/>
            </w:pPr>
            <w:r>
              <w:rPr>
                <w:color w:val="000000"/>
                <w:sz w:val="24"/>
              </w:rPr>
              <w:t>2.8</w:t>
            </w:r>
            <w:r w:rsidR="00553177">
              <w:rPr>
                <w:color w:val="000000"/>
                <w:sz w:val="24"/>
              </w:rPr>
              <w:t>1</w:t>
            </w:r>
            <w:r>
              <w:rPr>
                <w:color w:val="000000"/>
                <w:sz w:val="24"/>
              </w:rPr>
              <w:t>%</w:t>
            </w:r>
          </w:p>
        </w:tc>
        <w:tc>
          <w:tcPr>
            <w:tcW w:w="1250" w:type="dxa"/>
            <w:vAlign w:val="center"/>
          </w:tcPr>
          <w:p w:rsidR="0039056C" w:rsidRDefault="005409C6">
            <w:pPr>
              <w:jc w:val="center"/>
            </w:pPr>
            <w:r>
              <w:rPr>
                <w:color w:val="000000"/>
                <w:sz w:val="24"/>
              </w:rPr>
              <w:t>0.06%</w:t>
            </w:r>
          </w:p>
        </w:tc>
        <w:tc>
          <w:tcPr>
            <w:tcW w:w="1250" w:type="dxa"/>
            <w:vAlign w:val="center"/>
          </w:tcPr>
          <w:p w:rsidR="0039056C" w:rsidRDefault="005409C6" w:rsidP="0042330A">
            <w:pPr>
              <w:jc w:val="center"/>
            </w:pPr>
            <w:r>
              <w:rPr>
                <w:color w:val="000000"/>
                <w:sz w:val="24"/>
              </w:rPr>
              <w:t>0.</w:t>
            </w:r>
            <w:r w:rsidR="0042330A">
              <w:rPr>
                <w:color w:val="000000"/>
                <w:sz w:val="24"/>
              </w:rPr>
              <w:t>50</w:t>
            </w:r>
            <w:r>
              <w:rPr>
                <w:color w:val="000000"/>
                <w:sz w:val="24"/>
              </w:rPr>
              <w:t>%</w:t>
            </w:r>
          </w:p>
        </w:tc>
        <w:tc>
          <w:tcPr>
            <w:tcW w:w="1250" w:type="dxa"/>
            <w:vAlign w:val="center"/>
          </w:tcPr>
          <w:p w:rsidR="0039056C" w:rsidRDefault="005409C6">
            <w:pPr>
              <w:jc w:val="center"/>
            </w:pPr>
            <w:r>
              <w:rPr>
                <w:color w:val="000000"/>
                <w:sz w:val="24"/>
              </w:rPr>
              <w:t>-0.03%</w:t>
            </w:r>
          </w:p>
        </w:tc>
      </w:tr>
      <w:tr w:rsidR="0039056C">
        <w:tc>
          <w:tcPr>
            <w:tcW w:w="1497" w:type="dxa"/>
            <w:vAlign w:val="center"/>
          </w:tcPr>
          <w:p w:rsidR="0039056C" w:rsidRDefault="005409C6">
            <w:pPr>
              <w:jc w:val="left"/>
            </w:pPr>
            <w:r>
              <w:rPr>
                <w:color w:val="000000"/>
                <w:sz w:val="24"/>
              </w:rPr>
              <w:t>自基金合同生效起至今</w:t>
            </w:r>
          </w:p>
        </w:tc>
        <w:tc>
          <w:tcPr>
            <w:tcW w:w="1251" w:type="dxa"/>
            <w:vAlign w:val="center"/>
          </w:tcPr>
          <w:p w:rsidR="0039056C" w:rsidRDefault="005409C6">
            <w:pPr>
              <w:jc w:val="center"/>
            </w:pPr>
            <w:r>
              <w:rPr>
                <w:color w:val="000000"/>
                <w:sz w:val="24"/>
              </w:rPr>
              <w:t>114.53%</w:t>
            </w:r>
          </w:p>
        </w:tc>
        <w:tc>
          <w:tcPr>
            <w:tcW w:w="1250" w:type="dxa"/>
            <w:vAlign w:val="center"/>
          </w:tcPr>
          <w:p w:rsidR="0039056C" w:rsidRDefault="005409C6">
            <w:pPr>
              <w:jc w:val="center"/>
            </w:pPr>
            <w:r>
              <w:rPr>
                <w:color w:val="000000"/>
                <w:sz w:val="24"/>
              </w:rPr>
              <w:t>3.98%</w:t>
            </w:r>
          </w:p>
        </w:tc>
        <w:tc>
          <w:tcPr>
            <w:tcW w:w="1250" w:type="dxa"/>
            <w:vAlign w:val="center"/>
          </w:tcPr>
          <w:p w:rsidR="0039056C" w:rsidRDefault="005409C6">
            <w:pPr>
              <w:jc w:val="center"/>
            </w:pPr>
            <w:r>
              <w:rPr>
                <w:color w:val="000000"/>
                <w:sz w:val="24"/>
              </w:rPr>
              <w:t>1.85%</w:t>
            </w:r>
          </w:p>
        </w:tc>
        <w:tc>
          <w:tcPr>
            <w:tcW w:w="1250" w:type="dxa"/>
            <w:vAlign w:val="center"/>
          </w:tcPr>
          <w:p w:rsidR="0039056C" w:rsidRDefault="005409C6">
            <w:pPr>
              <w:jc w:val="center"/>
            </w:pPr>
            <w:r>
              <w:rPr>
                <w:color w:val="000000"/>
                <w:sz w:val="24"/>
              </w:rPr>
              <w:t>0.07%</w:t>
            </w:r>
          </w:p>
        </w:tc>
        <w:tc>
          <w:tcPr>
            <w:tcW w:w="1250" w:type="dxa"/>
            <w:vAlign w:val="center"/>
          </w:tcPr>
          <w:p w:rsidR="0039056C" w:rsidRDefault="005409C6">
            <w:pPr>
              <w:jc w:val="center"/>
            </w:pPr>
            <w:r>
              <w:rPr>
                <w:color w:val="000000"/>
                <w:sz w:val="24"/>
              </w:rPr>
              <w:t>112.68%</w:t>
            </w:r>
          </w:p>
        </w:tc>
        <w:tc>
          <w:tcPr>
            <w:tcW w:w="1250" w:type="dxa"/>
            <w:vAlign w:val="center"/>
          </w:tcPr>
          <w:p w:rsidR="0039056C" w:rsidRDefault="005409C6">
            <w:pPr>
              <w:jc w:val="center"/>
            </w:pPr>
            <w:r>
              <w:rPr>
                <w:color w:val="000000"/>
                <w:sz w:val="24"/>
              </w:rPr>
              <w:t>3.91%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39056C">
        <w:tc>
          <w:tcPr>
            <w:tcW w:w="1497" w:type="dxa"/>
            <w:vAlign w:val="center"/>
          </w:tcPr>
          <w:p w:rsidR="0039056C" w:rsidRDefault="005409C6">
            <w:pPr>
              <w:jc w:val="left"/>
            </w:pPr>
            <w:r>
              <w:rPr>
                <w:color w:val="000000"/>
                <w:sz w:val="24"/>
              </w:rPr>
              <w:t>过去一个月</w:t>
            </w:r>
          </w:p>
        </w:tc>
        <w:tc>
          <w:tcPr>
            <w:tcW w:w="1251" w:type="dxa"/>
            <w:vAlign w:val="center"/>
          </w:tcPr>
          <w:p w:rsidR="0039056C" w:rsidRDefault="005409C6">
            <w:pPr>
              <w:jc w:val="center"/>
            </w:pPr>
            <w:r>
              <w:rPr>
                <w:color w:val="000000"/>
                <w:sz w:val="24"/>
              </w:rPr>
              <w:t>0.19%</w:t>
            </w:r>
          </w:p>
        </w:tc>
        <w:tc>
          <w:tcPr>
            <w:tcW w:w="1250" w:type="dxa"/>
            <w:vAlign w:val="center"/>
          </w:tcPr>
          <w:p w:rsidR="0039056C" w:rsidRDefault="005409C6">
            <w:pPr>
              <w:jc w:val="center"/>
            </w:pPr>
            <w:r>
              <w:rPr>
                <w:color w:val="000000"/>
                <w:sz w:val="24"/>
              </w:rPr>
              <w:t>0.04%</w:t>
            </w:r>
          </w:p>
        </w:tc>
        <w:tc>
          <w:tcPr>
            <w:tcW w:w="1250" w:type="dxa"/>
            <w:vAlign w:val="center"/>
          </w:tcPr>
          <w:p w:rsidR="0039056C" w:rsidRDefault="005409C6">
            <w:pPr>
              <w:jc w:val="center"/>
            </w:pPr>
            <w:r>
              <w:rPr>
                <w:color w:val="000000"/>
                <w:sz w:val="24"/>
              </w:rPr>
              <w:t>0.28%</w:t>
            </w:r>
          </w:p>
        </w:tc>
        <w:tc>
          <w:tcPr>
            <w:tcW w:w="1250" w:type="dxa"/>
            <w:vAlign w:val="center"/>
          </w:tcPr>
          <w:p w:rsidR="0039056C" w:rsidRDefault="005409C6">
            <w:pPr>
              <w:jc w:val="center"/>
            </w:pPr>
            <w:r>
              <w:rPr>
                <w:color w:val="000000"/>
                <w:sz w:val="24"/>
              </w:rPr>
              <w:t>0.03%</w:t>
            </w:r>
          </w:p>
        </w:tc>
        <w:tc>
          <w:tcPr>
            <w:tcW w:w="1250" w:type="dxa"/>
            <w:vAlign w:val="center"/>
          </w:tcPr>
          <w:p w:rsidR="0039056C" w:rsidRDefault="005409C6">
            <w:pPr>
              <w:jc w:val="center"/>
            </w:pPr>
            <w:r>
              <w:rPr>
                <w:color w:val="000000"/>
                <w:sz w:val="24"/>
              </w:rPr>
              <w:t>-0.09%</w:t>
            </w:r>
          </w:p>
        </w:tc>
        <w:tc>
          <w:tcPr>
            <w:tcW w:w="1250" w:type="dxa"/>
            <w:vAlign w:val="center"/>
          </w:tcPr>
          <w:p w:rsidR="0039056C" w:rsidRDefault="005409C6">
            <w:pPr>
              <w:jc w:val="center"/>
            </w:pPr>
            <w:r>
              <w:rPr>
                <w:color w:val="000000"/>
                <w:sz w:val="24"/>
              </w:rPr>
              <w:t>0.01%</w:t>
            </w:r>
          </w:p>
        </w:tc>
      </w:tr>
      <w:tr w:rsidR="0039056C">
        <w:tc>
          <w:tcPr>
            <w:tcW w:w="1497" w:type="dxa"/>
            <w:vAlign w:val="center"/>
          </w:tcPr>
          <w:p w:rsidR="0039056C" w:rsidRDefault="005409C6">
            <w:pPr>
              <w:jc w:val="left"/>
            </w:pPr>
            <w:r>
              <w:rPr>
                <w:color w:val="000000"/>
                <w:sz w:val="24"/>
              </w:rPr>
              <w:t>过去三个月</w:t>
            </w:r>
          </w:p>
        </w:tc>
        <w:tc>
          <w:tcPr>
            <w:tcW w:w="1251" w:type="dxa"/>
            <w:vAlign w:val="center"/>
          </w:tcPr>
          <w:p w:rsidR="0039056C" w:rsidRDefault="005409C6">
            <w:pPr>
              <w:jc w:val="center"/>
            </w:pPr>
            <w:r>
              <w:rPr>
                <w:color w:val="000000"/>
                <w:sz w:val="24"/>
              </w:rPr>
              <w:t>0.57%</w:t>
            </w:r>
          </w:p>
        </w:tc>
        <w:tc>
          <w:tcPr>
            <w:tcW w:w="1250" w:type="dxa"/>
            <w:vAlign w:val="center"/>
          </w:tcPr>
          <w:p w:rsidR="0039056C" w:rsidRDefault="005409C6">
            <w:pPr>
              <w:jc w:val="center"/>
            </w:pPr>
            <w:r>
              <w:rPr>
                <w:color w:val="000000"/>
                <w:sz w:val="24"/>
              </w:rPr>
              <w:t>0.04%</w:t>
            </w:r>
          </w:p>
        </w:tc>
        <w:tc>
          <w:tcPr>
            <w:tcW w:w="1250" w:type="dxa"/>
            <w:vAlign w:val="center"/>
          </w:tcPr>
          <w:p w:rsidR="0039056C" w:rsidRDefault="005409C6">
            <w:pPr>
              <w:jc w:val="center"/>
            </w:pPr>
            <w:r>
              <w:rPr>
                <w:color w:val="000000"/>
                <w:sz w:val="24"/>
              </w:rPr>
              <w:t>-0.23%</w:t>
            </w:r>
          </w:p>
        </w:tc>
        <w:tc>
          <w:tcPr>
            <w:tcW w:w="1250" w:type="dxa"/>
            <w:vAlign w:val="center"/>
          </w:tcPr>
          <w:p w:rsidR="0039056C" w:rsidRDefault="005409C6">
            <w:pPr>
              <w:jc w:val="center"/>
            </w:pPr>
            <w:r>
              <w:rPr>
                <w:color w:val="000000"/>
                <w:sz w:val="24"/>
              </w:rPr>
              <w:t>0.06%</w:t>
            </w:r>
          </w:p>
        </w:tc>
        <w:tc>
          <w:tcPr>
            <w:tcW w:w="1250" w:type="dxa"/>
            <w:vAlign w:val="center"/>
          </w:tcPr>
          <w:p w:rsidR="0039056C" w:rsidRDefault="005409C6">
            <w:pPr>
              <w:jc w:val="center"/>
            </w:pPr>
            <w:r>
              <w:rPr>
                <w:color w:val="000000"/>
                <w:sz w:val="24"/>
              </w:rPr>
              <w:t>0.80%</w:t>
            </w:r>
          </w:p>
        </w:tc>
        <w:tc>
          <w:tcPr>
            <w:tcW w:w="1250" w:type="dxa"/>
            <w:vAlign w:val="center"/>
          </w:tcPr>
          <w:p w:rsidR="0039056C" w:rsidRDefault="005409C6">
            <w:pPr>
              <w:jc w:val="center"/>
            </w:pPr>
            <w:r>
              <w:rPr>
                <w:color w:val="000000"/>
                <w:sz w:val="24"/>
              </w:rPr>
              <w:t>-0.02%</w:t>
            </w:r>
          </w:p>
        </w:tc>
      </w:tr>
      <w:tr w:rsidR="0039056C">
        <w:tc>
          <w:tcPr>
            <w:tcW w:w="1497" w:type="dxa"/>
            <w:vAlign w:val="center"/>
          </w:tcPr>
          <w:p w:rsidR="0039056C" w:rsidRDefault="005409C6">
            <w:pPr>
              <w:jc w:val="left"/>
            </w:pPr>
            <w:r>
              <w:rPr>
                <w:color w:val="000000"/>
                <w:sz w:val="24"/>
              </w:rPr>
              <w:t>过去六个月</w:t>
            </w:r>
          </w:p>
        </w:tc>
        <w:tc>
          <w:tcPr>
            <w:tcW w:w="1251" w:type="dxa"/>
            <w:vAlign w:val="center"/>
          </w:tcPr>
          <w:p w:rsidR="0039056C" w:rsidRDefault="005409C6">
            <w:pPr>
              <w:jc w:val="center"/>
            </w:pPr>
            <w:r>
              <w:rPr>
                <w:color w:val="000000"/>
                <w:sz w:val="24"/>
              </w:rPr>
              <w:t>0.95%</w:t>
            </w:r>
          </w:p>
        </w:tc>
        <w:tc>
          <w:tcPr>
            <w:tcW w:w="1250" w:type="dxa"/>
            <w:vAlign w:val="center"/>
          </w:tcPr>
          <w:p w:rsidR="0039056C" w:rsidRDefault="005409C6">
            <w:pPr>
              <w:jc w:val="center"/>
            </w:pPr>
            <w:r>
              <w:rPr>
                <w:color w:val="000000"/>
                <w:sz w:val="24"/>
              </w:rPr>
              <w:t>0.04%</w:t>
            </w:r>
          </w:p>
        </w:tc>
        <w:tc>
          <w:tcPr>
            <w:tcW w:w="1250" w:type="dxa"/>
            <w:vAlign w:val="center"/>
          </w:tcPr>
          <w:p w:rsidR="0039056C" w:rsidRDefault="005409C6">
            <w:pPr>
              <w:jc w:val="center"/>
            </w:pPr>
            <w:r>
              <w:rPr>
                <w:color w:val="000000"/>
                <w:sz w:val="24"/>
              </w:rPr>
              <w:t>0.24%</w:t>
            </w:r>
          </w:p>
        </w:tc>
        <w:tc>
          <w:tcPr>
            <w:tcW w:w="1250" w:type="dxa"/>
            <w:vAlign w:val="center"/>
          </w:tcPr>
          <w:p w:rsidR="0039056C" w:rsidRDefault="005409C6">
            <w:pPr>
              <w:jc w:val="center"/>
            </w:pPr>
            <w:r>
              <w:rPr>
                <w:color w:val="000000"/>
                <w:sz w:val="24"/>
              </w:rPr>
              <w:t>0.06%</w:t>
            </w:r>
          </w:p>
        </w:tc>
        <w:tc>
          <w:tcPr>
            <w:tcW w:w="1250" w:type="dxa"/>
            <w:vAlign w:val="center"/>
          </w:tcPr>
          <w:p w:rsidR="0039056C" w:rsidRDefault="005409C6">
            <w:pPr>
              <w:jc w:val="center"/>
            </w:pPr>
            <w:r>
              <w:rPr>
                <w:color w:val="000000"/>
                <w:sz w:val="24"/>
              </w:rPr>
              <w:t>0.71%</w:t>
            </w:r>
          </w:p>
        </w:tc>
        <w:tc>
          <w:tcPr>
            <w:tcW w:w="1250" w:type="dxa"/>
            <w:vAlign w:val="center"/>
          </w:tcPr>
          <w:p w:rsidR="0039056C" w:rsidRDefault="005409C6">
            <w:pPr>
              <w:jc w:val="center"/>
            </w:pPr>
            <w:r>
              <w:rPr>
                <w:color w:val="000000"/>
                <w:sz w:val="24"/>
              </w:rPr>
              <w:t>-0.02%</w:t>
            </w:r>
          </w:p>
        </w:tc>
      </w:tr>
      <w:tr w:rsidR="0039056C">
        <w:tc>
          <w:tcPr>
            <w:tcW w:w="1497" w:type="dxa"/>
            <w:vAlign w:val="center"/>
          </w:tcPr>
          <w:p w:rsidR="0039056C" w:rsidRDefault="005409C6">
            <w:pPr>
              <w:jc w:val="left"/>
            </w:pPr>
            <w:r>
              <w:rPr>
                <w:color w:val="000000"/>
                <w:sz w:val="24"/>
              </w:rPr>
              <w:t>过去一年</w:t>
            </w:r>
          </w:p>
        </w:tc>
        <w:tc>
          <w:tcPr>
            <w:tcW w:w="1251" w:type="dxa"/>
            <w:vAlign w:val="center"/>
          </w:tcPr>
          <w:p w:rsidR="0039056C" w:rsidRDefault="005409C6">
            <w:pPr>
              <w:jc w:val="center"/>
            </w:pPr>
            <w:r>
              <w:rPr>
                <w:color w:val="000000"/>
                <w:sz w:val="24"/>
              </w:rPr>
              <w:t>2.90%</w:t>
            </w:r>
          </w:p>
        </w:tc>
        <w:tc>
          <w:tcPr>
            <w:tcW w:w="1250" w:type="dxa"/>
            <w:vAlign w:val="center"/>
          </w:tcPr>
          <w:p w:rsidR="0039056C" w:rsidRDefault="005409C6">
            <w:pPr>
              <w:jc w:val="center"/>
            </w:pPr>
            <w:r>
              <w:rPr>
                <w:color w:val="000000"/>
                <w:sz w:val="24"/>
              </w:rPr>
              <w:t>0.04%</w:t>
            </w:r>
          </w:p>
        </w:tc>
        <w:tc>
          <w:tcPr>
            <w:tcW w:w="1250" w:type="dxa"/>
            <w:vAlign w:val="center"/>
          </w:tcPr>
          <w:p w:rsidR="0039056C" w:rsidRDefault="005409C6">
            <w:pPr>
              <w:jc w:val="center"/>
            </w:pPr>
            <w:r>
              <w:rPr>
                <w:color w:val="000000"/>
                <w:sz w:val="24"/>
              </w:rPr>
              <w:t>2.8</w:t>
            </w:r>
            <w:r w:rsidR="00553177">
              <w:rPr>
                <w:color w:val="000000"/>
                <w:sz w:val="24"/>
              </w:rPr>
              <w:t>1</w:t>
            </w:r>
            <w:r>
              <w:rPr>
                <w:color w:val="000000"/>
                <w:sz w:val="24"/>
              </w:rPr>
              <w:t>%</w:t>
            </w:r>
          </w:p>
        </w:tc>
        <w:tc>
          <w:tcPr>
            <w:tcW w:w="1250" w:type="dxa"/>
            <w:vAlign w:val="center"/>
          </w:tcPr>
          <w:p w:rsidR="0039056C" w:rsidRDefault="005409C6">
            <w:pPr>
              <w:jc w:val="center"/>
            </w:pPr>
            <w:r>
              <w:rPr>
                <w:color w:val="000000"/>
                <w:sz w:val="24"/>
              </w:rPr>
              <w:t>0.06%</w:t>
            </w:r>
          </w:p>
        </w:tc>
        <w:tc>
          <w:tcPr>
            <w:tcW w:w="1250" w:type="dxa"/>
            <w:vAlign w:val="center"/>
          </w:tcPr>
          <w:p w:rsidR="0039056C" w:rsidRDefault="005409C6" w:rsidP="0042330A">
            <w:pPr>
              <w:jc w:val="center"/>
            </w:pPr>
            <w:r>
              <w:rPr>
                <w:color w:val="000000"/>
                <w:sz w:val="24"/>
              </w:rPr>
              <w:t>0.</w:t>
            </w:r>
            <w:r w:rsidR="0042330A">
              <w:rPr>
                <w:color w:val="000000"/>
                <w:sz w:val="24"/>
              </w:rPr>
              <w:t>09</w:t>
            </w:r>
            <w:r>
              <w:rPr>
                <w:color w:val="000000"/>
                <w:sz w:val="24"/>
              </w:rPr>
              <w:t>%</w:t>
            </w:r>
          </w:p>
        </w:tc>
        <w:tc>
          <w:tcPr>
            <w:tcW w:w="1250" w:type="dxa"/>
            <w:vAlign w:val="center"/>
          </w:tcPr>
          <w:p w:rsidR="0039056C" w:rsidRDefault="005409C6">
            <w:pPr>
              <w:jc w:val="center"/>
            </w:pPr>
            <w:r>
              <w:rPr>
                <w:color w:val="000000"/>
                <w:sz w:val="24"/>
              </w:rPr>
              <w:t>-0.02%</w:t>
            </w:r>
          </w:p>
        </w:tc>
      </w:tr>
      <w:tr w:rsidR="0039056C">
        <w:tc>
          <w:tcPr>
            <w:tcW w:w="1497" w:type="dxa"/>
            <w:vAlign w:val="center"/>
          </w:tcPr>
          <w:p w:rsidR="0039056C" w:rsidRDefault="005409C6">
            <w:pPr>
              <w:jc w:val="left"/>
            </w:pPr>
            <w:r>
              <w:rPr>
                <w:color w:val="000000"/>
                <w:sz w:val="24"/>
              </w:rPr>
              <w:t>过去三年</w:t>
            </w:r>
          </w:p>
        </w:tc>
        <w:tc>
          <w:tcPr>
            <w:tcW w:w="1251" w:type="dxa"/>
            <w:vAlign w:val="center"/>
          </w:tcPr>
          <w:p w:rsidR="0039056C" w:rsidRDefault="005409C6">
            <w:pPr>
              <w:jc w:val="center"/>
            </w:pPr>
            <w:r>
              <w:rPr>
                <w:color w:val="000000"/>
                <w:sz w:val="24"/>
              </w:rPr>
              <w:t>8.13%</w:t>
            </w:r>
          </w:p>
        </w:tc>
        <w:tc>
          <w:tcPr>
            <w:tcW w:w="1250" w:type="dxa"/>
            <w:vAlign w:val="center"/>
          </w:tcPr>
          <w:p w:rsidR="0039056C" w:rsidRDefault="005409C6">
            <w:pPr>
              <w:jc w:val="center"/>
            </w:pPr>
            <w:r>
              <w:rPr>
                <w:color w:val="000000"/>
                <w:sz w:val="24"/>
              </w:rPr>
              <w:t>0.05%</w:t>
            </w:r>
          </w:p>
        </w:tc>
        <w:tc>
          <w:tcPr>
            <w:tcW w:w="1250" w:type="dxa"/>
            <w:vAlign w:val="center"/>
          </w:tcPr>
          <w:p w:rsidR="0039056C" w:rsidRDefault="005409C6">
            <w:pPr>
              <w:jc w:val="center"/>
            </w:pPr>
            <w:r>
              <w:rPr>
                <w:color w:val="000000"/>
                <w:sz w:val="24"/>
              </w:rPr>
              <w:t>3.02%</w:t>
            </w:r>
          </w:p>
        </w:tc>
        <w:tc>
          <w:tcPr>
            <w:tcW w:w="1250" w:type="dxa"/>
            <w:vAlign w:val="center"/>
          </w:tcPr>
          <w:p w:rsidR="0039056C" w:rsidRDefault="005409C6">
            <w:pPr>
              <w:jc w:val="center"/>
            </w:pPr>
            <w:r>
              <w:rPr>
                <w:color w:val="000000"/>
                <w:sz w:val="24"/>
              </w:rPr>
              <w:t>0.06%</w:t>
            </w:r>
          </w:p>
        </w:tc>
        <w:tc>
          <w:tcPr>
            <w:tcW w:w="1250" w:type="dxa"/>
            <w:vAlign w:val="center"/>
          </w:tcPr>
          <w:p w:rsidR="0039056C" w:rsidRDefault="005409C6">
            <w:pPr>
              <w:jc w:val="center"/>
            </w:pPr>
            <w:r>
              <w:rPr>
                <w:color w:val="000000"/>
                <w:sz w:val="24"/>
              </w:rPr>
              <w:t>5.11%</w:t>
            </w:r>
          </w:p>
        </w:tc>
        <w:tc>
          <w:tcPr>
            <w:tcW w:w="1250" w:type="dxa"/>
            <w:vAlign w:val="center"/>
          </w:tcPr>
          <w:p w:rsidR="0039056C" w:rsidRDefault="005409C6">
            <w:pPr>
              <w:jc w:val="center"/>
            </w:pPr>
            <w:r>
              <w:rPr>
                <w:color w:val="000000"/>
                <w:sz w:val="24"/>
              </w:rPr>
              <w:t>-0.01%</w:t>
            </w:r>
          </w:p>
        </w:tc>
      </w:tr>
      <w:tr w:rsidR="0039056C">
        <w:tc>
          <w:tcPr>
            <w:tcW w:w="1497" w:type="dxa"/>
            <w:vAlign w:val="center"/>
          </w:tcPr>
          <w:p w:rsidR="0039056C" w:rsidRDefault="005409C6">
            <w:pPr>
              <w:jc w:val="left"/>
            </w:pPr>
            <w:r>
              <w:rPr>
                <w:color w:val="000000"/>
                <w:sz w:val="24"/>
              </w:rPr>
              <w:t>自基金合同生效起至今</w:t>
            </w:r>
          </w:p>
        </w:tc>
        <w:tc>
          <w:tcPr>
            <w:tcW w:w="1251" w:type="dxa"/>
            <w:vAlign w:val="center"/>
          </w:tcPr>
          <w:p w:rsidR="0039056C" w:rsidRDefault="005409C6">
            <w:pPr>
              <w:jc w:val="center"/>
            </w:pPr>
            <w:r>
              <w:rPr>
                <w:color w:val="000000"/>
                <w:sz w:val="24"/>
              </w:rPr>
              <w:t>21.51%</w:t>
            </w:r>
          </w:p>
        </w:tc>
        <w:tc>
          <w:tcPr>
            <w:tcW w:w="1250" w:type="dxa"/>
            <w:vAlign w:val="center"/>
          </w:tcPr>
          <w:p w:rsidR="0039056C" w:rsidRDefault="005409C6">
            <w:pPr>
              <w:jc w:val="center"/>
            </w:pPr>
            <w:r>
              <w:rPr>
                <w:color w:val="000000"/>
                <w:sz w:val="24"/>
              </w:rPr>
              <w:t>0.07%</w:t>
            </w:r>
          </w:p>
        </w:tc>
        <w:tc>
          <w:tcPr>
            <w:tcW w:w="1250" w:type="dxa"/>
            <w:vAlign w:val="center"/>
          </w:tcPr>
          <w:p w:rsidR="0039056C" w:rsidRDefault="005409C6">
            <w:pPr>
              <w:jc w:val="center"/>
            </w:pPr>
            <w:r>
              <w:rPr>
                <w:color w:val="000000"/>
                <w:sz w:val="24"/>
              </w:rPr>
              <w:t>6.78%</w:t>
            </w:r>
          </w:p>
        </w:tc>
        <w:tc>
          <w:tcPr>
            <w:tcW w:w="1250" w:type="dxa"/>
            <w:vAlign w:val="center"/>
          </w:tcPr>
          <w:p w:rsidR="0039056C" w:rsidRDefault="005409C6">
            <w:pPr>
              <w:jc w:val="center"/>
            </w:pPr>
            <w:r>
              <w:rPr>
                <w:color w:val="000000"/>
                <w:sz w:val="24"/>
              </w:rPr>
              <w:t>0.05%</w:t>
            </w:r>
          </w:p>
        </w:tc>
        <w:tc>
          <w:tcPr>
            <w:tcW w:w="1250" w:type="dxa"/>
            <w:vAlign w:val="center"/>
          </w:tcPr>
          <w:p w:rsidR="0039056C" w:rsidRDefault="005409C6">
            <w:pPr>
              <w:jc w:val="center"/>
            </w:pPr>
            <w:r>
              <w:rPr>
                <w:color w:val="000000"/>
                <w:sz w:val="24"/>
              </w:rPr>
              <w:t>14.73%</w:t>
            </w:r>
          </w:p>
        </w:tc>
        <w:tc>
          <w:tcPr>
            <w:tcW w:w="1250" w:type="dxa"/>
            <w:vAlign w:val="center"/>
          </w:tcPr>
          <w:p w:rsidR="0039056C" w:rsidRDefault="005409C6">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lastRenderedPageBreak/>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交银施罗德丰享收益债券型证券投资基金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1</w:t>
      </w:r>
      <w:r w:rsidR="001548F9" w:rsidRPr="001B7979">
        <w:rPr>
          <w:rFonts w:ascii="Times New Roman" w:hAnsi="Times New Roman"/>
          <w:sz w:val="24"/>
          <w:szCs w:val="24"/>
        </w:rPr>
        <w:t>月</w:t>
      </w:r>
      <w:r w:rsidR="001548F9" w:rsidRPr="001B7979">
        <w:rPr>
          <w:rFonts w:ascii="Times New Roman" w:hAnsi="Times New Roman"/>
          <w:sz w:val="24"/>
          <w:szCs w:val="24"/>
        </w:rPr>
        <w:t>19</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日起，开始销售</w:t>
      </w:r>
      <w:r w:rsidRPr="001B7979">
        <w:rPr>
          <w:kern w:val="0"/>
          <w:sz w:val="24"/>
        </w:rPr>
        <w:t>A</w:t>
      </w:r>
      <w:r w:rsidRPr="001B7979">
        <w:rPr>
          <w:kern w:val="0"/>
          <w:sz w:val="24"/>
        </w:rPr>
        <w:t>类份额，投资者提交的申购申请于</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25</w:t>
      </w:r>
      <w:r w:rsidRPr="001B7979">
        <w:rPr>
          <w:kern w:val="0"/>
          <w:sz w:val="24"/>
        </w:rPr>
        <w:t>日被确认并将有效份额登记在册。图示日期为</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25</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2015</w:t>
      </w:r>
      <w:r w:rsidRPr="001B7979">
        <w:rPr>
          <w:kern w:val="0"/>
          <w:sz w:val="24"/>
        </w:rPr>
        <w:t>年</w:t>
      </w:r>
      <w:r w:rsidRPr="001B7979">
        <w:rPr>
          <w:kern w:val="0"/>
          <w:sz w:val="24"/>
        </w:rPr>
        <w:t>1</w:t>
      </w:r>
      <w:r w:rsidRPr="001B7979">
        <w:rPr>
          <w:kern w:val="0"/>
          <w:sz w:val="24"/>
        </w:rPr>
        <w:t>月</w:t>
      </w:r>
      <w:r w:rsidRPr="001B7979">
        <w:rPr>
          <w:kern w:val="0"/>
          <w:sz w:val="24"/>
        </w:rPr>
        <w:t>19</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796474"/>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796475"/>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39056C" w:rsidRDefault="005409C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39056C">
        <w:tc>
          <w:tcPr>
            <w:tcW w:w="1033" w:type="dxa"/>
            <w:vAlign w:val="center"/>
          </w:tcPr>
          <w:p w:rsidR="0039056C" w:rsidRDefault="005409C6">
            <w:pPr>
              <w:jc w:val="center"/>
            </w:pPr>
            <w:r>
              <w:rPr>
                <w:color w:val="000000"/>
                <w:sz w:val="24"/>
              </w:rPr>
              <w:lastRenderedPageBreak/>
              <w:t>黄莹洁</w:t>
            </w:r>
          </w:p>
        </w:tc>
        <w:tc>
          <w:tcPr>
            <w:tcW w:w="1416" w:type="dxa"/>
            <w:vAlign w:val="center"/>
          </w:tcPr>
          <w:p w:rsidR="0039056C" w:rsidRDefault="005409C6">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275" w:type="dxa"/>
            <w:vAlign w:val="center"/>
          </w:tcPr>
          <w:p w:rsidR="0039056C" w:rsidRDefault="005409C6">
            <w:pPr>
              <w:jc w:val="center"/>
            </w:pPr>
            <w:r>
              <w:rPr>
                <w:color w:val="000000"/>
                <w:sz w:val="24"/>
              </w:rPr>
              <w:t>2015-07-25</w:t>
            </w:r>
          </w:p>
        </w:tc>
        <w:tc>
          <w:tcPr>
            <w:tcW w:w="1276" w:type="dxa"/>
            <w:vAlign w:val="center"/>
          </w:tcPr>
          <w:p w:rsidR="0039056C" w:rsidRDefault="005409C6">
            <w:pPr>
              <w:jc w:val="center"/>
            </w:pPr>
            <w:r>
              <w:rPr>
                <w:color w:val="000000"/>
                <w:sz w:val="24"/>
              </w:rPr>
              <w:t>-</w:t>
            </w:r>
          </w:p>
        </w:tc>
        <w:tc>
          <w:tcPr>
            <w:tcW w:w="992" w:type="dxa"/>
            <w:vAlign w:val="center"/>
          </w:tcPr>
          <w:p w:rsidR="0039056C" w:rsidRDefault="005409C6">
            <w:pPr>
              <w:jc w:val="center"/>
            </w:pPr>
            <w:r>
              <w:rPr>
                <w:color w:val="000000"/>
                <w:sz w:val="24"/>
              </w:rPr>
              <w:t>11</w:t>
            </w:r>
            <w:r>
              <w:rPr>
                <w:color w:val="000000"/>
                <w:sz w:val="24"/>
              </w:rPr>
              <w:t>年</w:t>
            </w:r>
          </w:p>
        </w:tc>
        <w:tc>
          <w:tcPr>
            <w:tcW w:w="3006" w:type="dxa"/>
            <w:vAlign w:val="center"/>
          </w:tcPr>
          <w:p w:rsidR="0039056C" w:rsidRDefault="005409C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39056C" w:rsidRDefault="005409C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9056C" w:rsidRDefault="005409C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796476"/>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796477"/>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39056C" w:rsidRDefault="005409C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9056C" w:rsidRDefault="005409C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w:t>
      </w:r>
      <w:r>
        <w:rPr>
          <w:kern w:val="0"/>
          <w:sz w:val="24"/>
        </w:rPr>
        <w:lastRenderedPageBreak/>
        <w:t>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9056C" w:rsidRDefault="005409C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796478"/>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39056C" w:rsidRDefault="005409C6">
      <w:pPr>
        <w:spacing w:before="29" w:line="288" w:lineRule="auto"/>
        <w:ind w:firstLineChars="200" w:firstLine="480"/>
        <w:rPr>
          <w:kern w:val="0"/>
          <w:sz w:val="24"/>
        </w:rPr>
      </w:pPr>
      <w:r>
        <w:rPr>
          <w:kern w:val="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年上半年，十年期国债收益率小幅上行</w:t>
      </w:r>
      <w:r>
        <w:rPr>
          <w:kern w:val="0"/>
          <w:sz w:val="24"/>
        </w:rPr>
        <w:t>1BPS</w:t>
      </w:r>
      <w:r>
        <w:rPr>
          <w:kern w:val="0"/>
          <w:sz w:val="24"/>
        </w:rPr>
        <w:t>至</w:t>
      </w:r>
      <w:r>
        <w:rPr>
          <w:kern w:val="0"/>
          <w:sz w:val="24"/>
        </w:rPr>
        <w:t>3.23%</w:t>
      </w:r>
      <w:r>
        <w:rPr>
          <w:kern w:val="0"/>
          <w:sz w:val="24"/>
        </w:rPr>
        <w:t>，十年期国开债收益率上行</w:t>
      </w:r>
      <w:r>
        <w:rPr>
          <w:kern w:val="0"/>
          <w:sz w:val="24"/>
        </w:rPr>
        <w:t>10BPS</w:t>
      </w:r>
      <w:r>
        <w:rPr>
          <w:kern w:val="0"/>
          <w:sz w:val="24"/>
        </w:rPr>
        <w:t>至</w:t>
      </w:r>
      <w:r>
        <w:rPr>
          <w:kern w:val="0"/>
          <w:sz w:val="24"/>
        </w:rPr>
        <w:t>3.74%</w:t>
      </w:r>
      <w:r>
        <w:rPr>
          <w:kern w:val="0"/>
          <w:sz w:val="24"/>
        </w:rPr>
        <w:t>，三个月上海银行间拆借利率下行</w:t>
      </w:r>
      <w:r>
        <w:rPr>
          <w:kern w:val="0"/>
          <w:sz w:val="24"/>
        </w:rPr>
        <w:t>64bps</w:t>
      </w:r>
      <w:r>
        <w:rPr>
          <w:kern w:val="0"/>
          <w:sz w:val="24"/>
        </w:rPr>
        <w:t>到</w:t>
      </w:r>
      <w:r>
        <w:rPr>
          <w:kern w:val="0"/>
          <w:sz w:val="24"/>
        </w:rPr>
        <w:t>2.71%</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基金操作方面，从绝对收益率、期限利差和杠杆成本角度看，目前中短端仍是较好的选择，本基金以配置短久期的信用债为主，搭配部分中长端利率债，控制整体组合久期。</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796479"/>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组合操作方面，在保持组合流动性的前提下关注交易窗口，把握适度久期，同时特别关注信用风险。</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796480"/>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39056C" w:rsidRDefault="005409C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39056C" w:rsidRDefault="005409C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796481"/>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A53850" w:rsidRPr="001B7979" w:rsidRDefault="00A53850" w:rsidP="00571B8A">
      <w:pPr>
        <w:spacing w:before="29" w:line="288" w:lineRule="auto"/>
        <w:ind w:firstLineChars="200" w:firstLine="480"/>
        <w:rPr>
          <w:rFonts w:hint="eastAsia"/>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796482"/>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本基金本报告期内曾连续二十个工作日以上出现基金资产净值低于</w:t>
      </w:r>
      <w:r w:rsidRPr="001B7979">
        <w:rPr>
          <w:kern w:val="0"/>
          <w:sz w:val="24"/>
        </w:rPr>
        <w:t>5000</w:t>
      </w:r>
      <w:r w:rsidRPr="001B7979">
        <w:rPr>
          <w:kern w:val="0"/>
          <w:sz w:val="24"/>
        </w:rPr>
        <w:t>万元的情形，截至本报告期末，本基金基金资产净值已高于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796483"/>
      <w:r w:rsidRPr="001B7979">
        <w:rPr>
          <w:b/>
          <w:bCs/>
          <w:szCs w:val="24"/>
          <w:lang w:val="en-US"/>
        </w:rPr>
        <w:lastRenderedPageBreak/>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796484"/>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作为本基金的托管人，中信银行严格遵守了《证券投资基金法》及其他有关法律法规、基金合同和托管协议的规定，对交银施罗德丰享收益债券型证券投资基金</w:t>
      </w:r>
      <w:r w:rsidRPr="001B7979">
        <w:rPr>
          <w:kern w:val="0"/>
          <w:sz w:val="24"/>
        </w:rPr>
        <w:t>2019</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796485"/>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丰享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796486"/>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本托管人认为，交银施罗德基金管理有限公司的信息披露事务符合《证券投资基金信息披露管理办法》及其他相关法律法规的规定，基金管理人所编制和披露的交银施罗德丰享收益债券型证券投资基金</w:t>
      </w:r>
      <w:r w:rsidRPr="001B7979">
        <w:rPr>
          <w:kern w:val="0"/>
          <w:sz w:val="24"/>
        </w:rPr>
        <w:t>2019</w:t>
      </w:r>
      <w:r w:rsidRPr="001B7979">
        <w:rPr>
          <w:kern w:val="0"/>
          <w:sz w:val="24"/>
        </w:rPr>
        <w:t>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796487"/>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796488"/>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会计主体：交银施罗德丰享收益债券型证券投资基金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1,228,486.29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777,476.45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250.55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6,546.48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1,353,779,000.00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40,128,000.00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1,353,779,000.00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40,128,000.00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16,898,257.82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636,888.86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9,759.28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30,104.94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1,371,915,753.94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41,579,016.73</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331,179,106.35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169,630.44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3,344.61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256,046.24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10,584.77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85,348.78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3,528.26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3,545.34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4,644.43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24,111.94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3,041.50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158,912.00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68,260.94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91,015.39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149,300.45</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332,035,977.42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174,444.02</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514,648,769.91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26,783,125.54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525,231,006.61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14,621,447.17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1,039,879,776.52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41,404,572.71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1,371,915,753.94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41,579,016.73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2.040</w:t>
      </w:r>
      <w:r w:rsidRPr="001B7979">
        <w:rPr>
          <w:kern w:val="0"/>
          <w:sz w:val="24"/>
        </w:rPr>
        <w:t>元，</w:t>
      </w:r>
      <w:r w:rsidRPr="001B7979">
        <w:rPr>
          <w:kern w:val="0"/>
          <w:sz w:val="24"/>
        </w:rPr>
        <w:t>C</w:t>
      </w:r>
      <w:r w:rsidRPr="001B7979">
        <w:rPr>
          <w:kern w:val="0"/>
          <w:sz w:val="24"/>
        </w:rPr>
        <w:t>类基金份额净值</w:t>
      </w:r>
      <w:r w:rsidRPr="001B7979">
        <w:rPr>
          <w:kern w:val="0"/>
          <w:sz w:val="24"/>
        </w:rPr>
        <w:t>1.062</w:t>
      </w:r>
      <w:r w:rsidRPr="001B7979">
        <w:rPr>
          <w:kern w:val="0"/>
          <w:sz w:val="24"/>
        </w:rPr>
        <w:t>元，基金份额总额</w:t>
      </w:r>
      <w:r w:rsidRPr="001B7979">
        <w:rPr>
          <w:kern w:val="0"/>
          <w:sz w:val="24"/>
        </w:rPr>
        <w:t>514,648,769.91</w:t>
      </w:r>
      <w:r w:rsidRPr="001B7979">
        <w:rPr>
          <w:kern w:val="0"/>
          <w:sz w:val="24"/>
        </w:rPr>
        <w:t>份，其中</w:t>
      </w:r>
      <w:r w:rsidRPr="001B7979">
        <w:rPr>
          <w:kern w:val="0"/>
          <w:sz w:val="24"/>
        </w:rPr>
        <w:t>A</w:t>
      </w:r>
      <w:r w:rsidRPr="001B7979">
        <w:rPr>
          <w:kern w:val="0"/>
          <w:sz w:val="24"/>
        </w:rPr>
        <w:t>类基金份额</w:t>
      </w:r>
      <w:r w:rsidRPr="001B7979">
        <w:rPr>
          <w:kern w:val="0"/>
          <w:sz w:val="24"/>
        </w:rPr>
        <w:t>504,571,243.00</w:t>
      </w:r>
      <w:r w:rsidRPr="001B7979">
        <w:rPr>
          <w:kern w:val="0"/>
          <w:sz w:val="24"/>
        </w:rPr>
        <w:t>份，</w:t>
      </w:r>
      <w:r w:rsidRPr="001B7979">
        <w:rPr>
          <w:kern w:val="0"/>
          <w:sz w:val="24"/>
        </w:rPr>
        <w:t>C</w:t>
      </w:r>
      <w:r w:rsidRPr="001B7979">
        <w:rPr>
          <w:kern w:val="0"/>
          <w:sz w:val="24"/>
        </w:rPr>
        <w:t>类基金份额</w:t>
      </w:r>
      <w:r w:rsidRPr="001B7979">
        <w:rPr>
          <w:kern w:val="0"/>
          <w:sz w:val="24"/>
        </w:rPr>
        <w:t>10,077,526.91</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796489"/>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交银施罗德丰享收益债券型证券投资基金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9,955,713.86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14,115,316.90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13,023,789.08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12,778,793.09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194,684.58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153,994.00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12,502,714.68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12,143,587.37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326,389.82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481,211.72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-1,050,538.66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-114,445.68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-1,050,538.66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-114,445.68</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-2,024,305.35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1,434,431.52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6,768.79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16,537.97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2,278,570.89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1,807,873.52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904,732.71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832,150.68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301,577.61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277,383.56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24,878.95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37,743.00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11,627.06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6,125.00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892,694.39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442,881.16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892,694.39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442,881.16</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37,418.28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35,690.85</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105,641.89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175,899.27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7,677,142.97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12,307,443.38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7,677,142.97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12,307,443.38</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796490"/>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交银施罗德丰享收益债券型证券投资基金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26,783,125.54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14,621,447.17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41,404,572.71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7,677,142.97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7,677,142.97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487,865,644.37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502,932,416.47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990,798,060.84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502,993,601.57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512,456,567.12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1,015,450,168.69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-15,127,957.20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-9,524,150.65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-24,652,107.85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w:t>
            </w:r>
            <w:r w:rsidRPr="001B7979">
              <w:rPr>
                <w:color w:val="000000"/>
                <w:sz w:val="24"/>
              </w:rPr>
              <w:lastRenderedPageBreak/>
              <w:t>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514,648,769.91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525,231,006.61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1,039,879,776.52</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287,409,401.88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263,275,447.37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550,684,849.25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12,307,443.38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12,307,443.38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-2,478,569.99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8,916,383.01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6,437,813.02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25,813,745.42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25,963,012.30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51,776,757.72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-28,292,315.41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-17,046,629.29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-45,338,944.70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284,930,831.89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284,499,273.76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569,430,105.65</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796491"/>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39056C" w:rsidRDefault="005409C6">
      <w:pPr>
        <w:spacing w:before="29" w:line="288" w:lineRule="auto"/>
        <w:ind w:firstLineChars="200" w:firstLine="480"/>
        <w:rPr>
          <w:kern w:val="0"/>
          <w:sz w:val="24"/>
        </w:rPr>
      </w:pPr>
      <w:r>
        <w:rPr>
          <w:kern w:val="0"/>
          <w:sz w:val="24"/>
        </w:rPr>
        <w:t>交银施罗德丰享收益债券型证券投资基金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[2014]1019</w:t>
      </w:r>
      <w:r>
        <w:rPr>
          <w:kern w:val="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首次设立募集不包括认购资金利息</w:t>
      </w:r>
      <w:r>
        <w:rPr>
          <w:kern w:val="0"/>
          <w:sz w:val="24"/>
        </w:rPr>
        <w:lastRenderedPageBreak/>
        <w:t>共募集人民币</w:t>
      </w:r>
      <w:r>
        <w:rPr>
          <w:kern w:val="0"/>
          <w:sz w:val="24"/>
        </w:rPr>
        <w:t>259,262,547.02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42</w:t>
      </w:r>
      <w:r>
        <w:rPr>
          <w:kern w:val="0"/>
          <w:sz w:val="24"/>
        </w:rPr>
        <w:t>号验资报告予以验证。经向中国证监会备案，《交银施罗德丰享收益债券型证券投资基金基金合同》于</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日正式生效，基金合同生效日的基金份额总额为</w:t>
      </w:r>
      <w:r>
        <w:rPr>
          <w:kern w:val="0"/>
          <w:sz w:val="24"/>
        </w:rPr>
        <w:t>259,386,490.95</w:t>
      </w:r>
      <w:r>
        <w:rPr>
          <w:kern w:val="0"/>
          <w:sz w:val="24"/>
        </w:rPr>
        <w:t>份基金份额，其中认购资金利息折合</w:t>
      </w:r>
      <w:r>
        <w:rPr>
          <w:kern w:val="0"/>
          <w:sz w:val="24"/>
        </w:rPr>
        <w:t>123,943.93</w:t>
      </w:r>
      <w:r>
        <w:rPr>
          <w:kern w:val="0"/>
          <w:sz w:val="24"/>
        </w:rPr>
        <w:t>份基金份额。本基金的基金管理人为交银施罗德基金管理有限公司，基金托管人为中信银行股份有限公司。</w:t>
      </w:r>
      <w:r>
        <w:rPr>
          <w:kern w:val="0"/>
          <w:sz w:val="24"/>
        </w:rPr>
        <w:t xml:space="preserve"> </w:t>
      </w:r>
    </w:p>
    <w:p w:rsidR="0039056C" w:rsidRDefault="005409C6">
      <w:pPr>
        <w:spacing w:before="29" w:line="288" w:lineRule="auto"/>
        <w:ind w:firstLineChars="200" w:firstLine="480"/>
        <w:rPr>
          <w:kern w:val="0"/>
          <w:sz w:val="24"/>
        </w:rPr>
      </w:pPr>
      <w:r>
        <w:rPr>
          <w:kern w:val="0"/>
          <w:sz w:val="24"/>
        </w:rPr>
        <w:t>根据《交银施罗德丰享收益债券型证券投资基金基金合同》和《交银施罗德丰享收益债券型证券投资基金招募说明书》，本基金根据认购</w:t>
      </w:r>
      <w:r>
        <w:rPr>
          <w:kern w:val="0"/>
          <w:sz w:val="24"/>
        </w:rPr>
        <w:t>/</w:t>
      </w:r>
      <w:r>
        <w:rPr>
          <w:kern w:val="0"/>
          <w:sz w:val="24"/>
        </w:rPr>
        <w:t>申购费用、赎回费用、销售服务费收取方式的不同，将基金份额分为不同的类别。在投资人申购时收取前端申购费用、赎回时收取赎回费用的，称为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类基金份额；本基金募集期内仅开放</w:t>
      </w:r>
      <w:r>
        <w:rPr>
          <w:kern w:val="0"/>
          <w:sz w:val="24"/>
        </w:rPr>
        <w:t>C</w:t>
      </w:r>
      <w:r>
        <w:rPr>
          <w:kern w:val="0"/>
          <w:sz w:val="24"/>
        </w:rPr>
        <w:t>类基金份额的认购；在基金合同生效之日起两年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的期间内封闭式运作，封闭期结束后转为开放式运作，并可视业务情况择时增开</w:t>
      </w:r>
      <w:r>
        <w:rPr>
          <w:kern w:val="0"/>
          <w:sz w:val="24"/>
        </w:rPr>
        <w:t>A</w:t>
      </w:r>
      <w:r>
        <w:rPr>
          <w:kern w:val="0"/>
          <w:sz w:val="24"/>
        </w:rPr>
        <w:t>类和</w:t>
      </w:r>
      <w:r>
        <w:rPr>
          <w:kern w:val="0"/>
          <w:sz w:val="24"/>
        </w:rPr>
        <w:t>B</w:t>
      </w:r>
      <w:r>
        <w:rPr>
          <w:kern w:val="0"/>
          <w:sz w:val="24"/>
        </w:rPr>
        <w:t>类基金份额的申购。根据《关于交银施罗德丰享收益债券型证券投资基金封闭期结束转为开放式运作并同时增加开通</w:t>
      </w:r>
      <w:r>
        <w:rPr>
          <w:kern w:val="0"/>
          <w:sz w:val="24"/>
        </w:rPr>
        <w:t>A</w:t>
      </w:r>
      <w:r>
        <w:rPr>
          <w:kern w:val="0"/>
          <w:sz w:val="24"/>
        </w:rPr>
        <w:t>类基金份额暨开放基金日常申购、赎回、定期定额投资业务并参与部分销售机构申购费率优惠活动的公告》的相关规定，本基金封闭期自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w:t>
      </w:r>
      <w:r>
        <w:rPr>
          <w:kern w:val="0"/>
          <w:sz w:val="24"/>
        </w:rPr>
        <w:t>月</w:t>
      </w:r>
      <w:r>
        <w:rPr>
          <w:kern w:val="0"/>
          <w:sz w:val="24"/>
        </w:rPr>
        <w:t>19</w:t>
      </w:r>
      <w:r>
        <w:rPr>
          <w:kern w:val="0"/>
          <w:sz w:val="24"/>
        </w:rPr>
        <w:t>日止，自</w:t>
      </w:r>
      <w:r>
        <w:rPr>
          <w:kern w:val="0"/>
          <w:sz w:val="24"/>
        </w:rPr>
        <w:t>2017</w:t>
      </w:r>
      <w:r>
        <w:rPr>
          <w:kern w:val="0"/>
          <w:sz w:val="24"/>
        </w:rPr>
        <w:t>年</w:t>
      </w:r>
      <w:r>
        <w:rPr>
          <w:kern w:val="0"/>
          <w:sz w:val="24"/>
        </w:rPr>
        <w:t>1</w:t>
      </w:r>
      <w:r>
        <w:rPr>
          <w:kern w:val="0"/>
          <w:sz w:val="24"/>
        </w:rPr>
        <w:t>月</w:t>
      </w:r>
      <w:r>
        <w:rPr>
          <w:kern w:val="0"/>
          <w:sz w:val="24"/>
        </w:rPr>
        <w:t>20</w:t>
      </w:r>
      <w:r>
        <w:rPr>
          <w:kern w:val="0"/>
          <w:sz w:val="24"/>
        </w:rPr>
        <w:t>日起转为开放式运作，自该日起开始办理日常申购、赎回业务，并同时增加开通</w:t>
      </w:r>
      <w:r>
        <w:rPr>
          <w:kern w:val="0"/>
          <w:sz w:val="24"/>
        </w:rPr>
        <w:t>A</w:t>
      </w:r>
      <w:r>
        <w:rPr>
          <w:kern w:val="0"/>
          <w:sz w:val="24"/>
        </w:rPr>
        <w:t>类基金份额。</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1B7979">
        <w:rPr>
          <w:kern w:val="0"/>
          <w:sz w:val="24"/>
        </w:rPr>
        <w:t>AA</w:t>
      </w:r>
      <w:r w:rsidRPr="001B7979">
        <w:rPr>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1B7979">
        <w:rPr>
          <w:kern w:val="0"/>
          <w:sz w:val="24"/>
        </w:rPr>
        <w:t>80%</w:t>
      </w:r>
      <w:r w:rsidRPr="001B7979">
        <w:rPr>
          <w:kern w:val="0"/>
          <w:sz w:val="24"/>
        </w:rPr>
        <w:t>，但在封闭期结束转开放的前后三个月内，基金投资不受上述债券资产投资比例限制。本基金在开放期内，现金或到期日在一年以内的政府债券的比例合计不低于基金资产净值的</w:t>
      </w:r>
      <w:r w:rsidRPr="001B7979">
        <w:rPr>
          <w:kern w:val="0"/>
          <w:sz w:val="24"/>
        </w:rPr>
        <w:t>5%</w:t>
      </w:r>
      <w:r w:rsidRPr="001B7979">
        <w:rPr>
          <w:kern w:val="0"/>
          <w:sz w:val="24"/>
        </w:rPr>
        <w:t>，其中现金不包括结算备付金，存出保证金及应收申购款等。本基金封闭期内投资的业绩比较基准为两年期银行定期存款税后收益率，转为开放式运作后业绩比较基准为中债综合全价指数。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39056C" w:rsidRDefault="005409C6">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w:t>
      </w:r>
      <w:r>
        <w:rPr>
          <w:kern w:val="0"/>
          <w:sz w:val="24"/>
        </w:rPr>
        <w:lastRenderedPageBreak/>
        <w:t>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颁布的《证券投资基金会计核算业务指引》、《交银施罗德丰享收益债券型证券投资基金基金合同》和在财务报表附注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8D2D43" w:rsidRPr="005312D8" w:rsidRDefault="008D2D43" w:rsidP="008D2D43">
      <w:pPr>
        <w:spacing w:before="29" w:line="288" w:lineRule="auto"/>
        <w:ind w:firstLineChars="200" w:firstLine="480"/>
        <w:rPr>
          <w:color w:val="000000"/>
          <w:sz w:val="24"/>
        </w:rPr>
      </w:pPr>
      <w:r w:rsidRPr="005312D8">
        <w:rPr>
          <w:color w:val="000000"/>
          <w:sz w:val="24"/>
        </w:rPr>
        <w:t>本财务报表以持续经营为基础编制。</w:t>
      </w:r>
    </w:p>
    <w:p w:rsidR="001548F9" w:rsidRPr="008D2D43"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A53850" w:rsidRPr="001B7979" w:rsidRDefault="00A53850" w:rsidP="00FF3C5B">
      <w:pPr>
        <w:autoSpaceDE w:val="0"/>
        <w:autoSpaceDN w:val="0"/>
        <w:adjustRightInd w:val="0"/>
        <w:snapToGrid w:val="0"/>
        <w:spacing w:before="29" w:line="288" w:lineRule="auto"/>
        <w:jc w:val="left"/>
        <w:rPr>
          <w:rFonts w:hint="eastAsia"/>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39056C" w:rsidRDefault="005409C6">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9056C" w:rsidRDefault="005409C6">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w:t>
      </w:r>
      <w:r>
        <w:rPr>
          <w:kern w:val="0"/>
          <w:sz w:val="24"/>
        </w:rPr>
        <w:lastRenderedPageBreak/>
        <w:t>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39056C" w:rsidRDefault="005409C6">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39056C" w:rsidRDefault="005409C6">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39056C" w:rsidRDefault="005409C6">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1,228,486.29</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1,228,486.29</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1,355,762,275.35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1,353,779,000.00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-1,983,275.35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1,355,762,275.35</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1,353,779,000.00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-1,983,275.35</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1,355,762,275.35</w:t>
            </w:r>
          </w:p>
        </w:tc>
        <w:tc>
          <w:tcPr>
            <w:tcW w:w="2264" w:type="dxa"/>
            <w:vAlign w:val="center"/>
          </w:tcPr>
          <w:p w:rsidR="00DE2112" w:rsidRPr="001B7979" w:rsidRDefault="00DE2112" w:rsidP="00571B8A">
            <w:pPr>
              <w:spacing w:before="29" w:line="288" w:lineRule="auto"/>
              <w:jc w:val="right"/>
              <w:rPr>
                <w:sz w:val="24"/>
              </w:rPr>
            </w:pPr>
            <w:r w:rsidRPr="001B7979">
              <w:rPr>
                <w:sz w:val="24"/>
              </w:rPr>
              <w:t>1,353,779,000.00</w:t>
            </w:r>
          </w:p>
        </w:tc>
        <w:tc>
          <w:tcPr>
            <w:tcW w:w="2265" w:type="dxa"/>
            <w:vAlign w:val="center"/>
          </w:tcPr>
          <w:p w:rsidR="00DE2112" w:rsidRPr="001B7979" w:rsidRDefault="00DE2112" w:rsidP="00571B8A">
            <w:pPr>
              <w:spacing w:before="29" w:line="288" w:lineRule="auto"/>
              <w:jc w:val="right"/>
              <w:rPr>
                <w:sz w:val="24"/>
              </w:rPr>
            </w:pPr>
            <w:r w:rsidRPr="001B7979">
              <w:rPr>
                <w:sz w:val="24"/>
              </w:rPr>
              <w:t>-1,983,275.35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A53850" w:rsidRPr="001B7979" w:rsidRDefault="00A53850" w:rsidP="00571B8A">
      <w:pPr>
        <w:tabs>
          <w:tab w:val="left" w:pos="426"/>
        </w:tabs>
        <w:spacing w:before="29" w:line="288" w:lineRule="auto"/>
        <w:jc w:val="left"/>
        <w:rPr>
          <w:rFonts w:hint="eastAsia"/>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169.17</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16,898,088.55</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0.10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16,898,257.82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lastRenderedPageBreak/>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24,111.94</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24,111.94</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23.26</w:t>
            </w:r>
          </w:p>
        </w:tc>
      </w:tr>
      <w:tr w:rsidR="0039056C">
        <w:tc>
          <w:tcPr>
            <w:tcW w:w="3610" w:type="dxa"/>
            <w:vAlign w:val="center"/>
          </w:tcPr>
          <w:p w:rsidR="0039056C" w:rsidRDefault="005409C6">
            <w:pPr>
              <w:jc w:val="left"/>
            </w:pPr>
            <w:r>
              <w:rPr>
                <w:sz w:val="24"/>
              </w:rPr>
              <w:t>预提信息披露费</w:t>
            </w:r>
          </w:p>
        </w:tc>
        <w:tc>
          <w:tcPr>
            <w:tcW w:w="5388" w:type="dxa"/>
            <w:vAlign w:val="center"/>
          </w:tcPr>
          <w:p w:rsidR="0039056C" w:rsidRDefault="005409C6">
            <w:pPr>
              <w:jc w:val="right"/>
            </w:pPr>
            <w:r>
              <w:rPr>
                <w:sz w:val="24"/>
              </w:rPr>
              <w:t>56,896.94</w:t>
            </w:r>
          </w:p>
        </w:tc>
      </w:tr>
      <w:tr w:rsidR="0039056C">
        <w:tc>
          <w:tcPr>
            <w:tcW w:w="3610" w:type="dxa"/>
            <w:vAlign w:val="center"/>
          </w:tcPr>
          <w:p w:rsidR="0039056C" w:rsidRDefault="005409C6">
            <w:pPr>
              <w:jc w:val="left"/>
            </w:pPr>
            <w:r>
              <w:rPr>
                <w:sz w:val="24"/>
              </w:rPr>
              <w:t>预提审计费</w:t>
            </w:r>
          </w:p>
        </w:tc>
        <w:tc>
          <w:tcPr>
            <w:tcW w:w="5388" w:type="dxa"/>
            <w:vAlign w:val="center"/>
          </w:tcPr>
          <w:p w:rsidR="0039056C" w:rsidRDefault="005409C6">
            <w:pPr>
              <w:jc w:val="right"/>
            </w:pPr>
            <w:r>
              <w:rPr>
                <w:sz w:val="24"/>
              </w:rPr>
              <w:t>24,795.19</w:t>
            </w:r>
          </w:p>
        </w:tc>
      </w:tr>
      <w:tr w:rsidR="0039056C">
        <w:tc>
          <w:tcPr>
            <w:tcW w:w="3610" w:type="dxa"/>
            <w:vAlign w:val="center"/>
          </w:tcPr>
          <w:p w:rsidR="0039056C" w:rsidRDefault="005409C6">
            <w:pPr>
              <w:jc w:val="left"/>
            </w:pPr>
            <w:r>
              <w:rPr>
                <w:sz w:val="24"/>
              </w:rPr>
              <w:t>预提账户维护费</w:t>
            </w:r>
          </w:p>
        </w:tc>
        <w:tc>
          <w:tcPr>
            <w:tcW w:w="5388" w:type="dxa"/>
            <w:vAlign w:val="center"/>
          </w:tcPr>
          <w:p w:rsidR="0039056C" w:rsidRDefault="005409C6">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91,015.39</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交银丰享收益债券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13,733,982.68</w:t>
            </w:r>
          </w:p>
        </w:tc>
        <w:tc>
          <w:tcPr>
            <w:tcW w:w="3120" w:type="dxa"/>
            <w:vAlign w:val="center"/>
          </w:tcPr>
          <w:p w:rsidR="001548F9" w:rsidRPr="001B7979" w:rsidRDefault="001548F9" w:rsidP="00571B8A">
            <w:pPr>
              <w:spacing w:before="29" w:line="288" w:lineRule="auto"/>
              <w:jc w:val="right"/>
              <w:rPr>
                <w:sz w:val="24"/>
              </w:rPr>
            </w:pPr>
            <w:r w:rsidRPr="001B7979">
              <w:rPr>
                <w:sz w:val="24"/>
              </w:rPr>
              <w:t>13,733,982.68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499,817,011.32</w:t>
            </w:r>
          </w:p>
        </w:tc>
        <w:tc>
          <w:tcPr>
            <w:tcW w:w="3120" w:type="dxa"/>
            <w:vAlign w:val="center"/>
          </w:tcPr>
          <w:p w:rsidR="001548F9" w:rsidRPr="001B7979" w:rsidRDefault="001548F9" w:rsidP="00571B8A">
            <w:pPr>
              <w:spacing w:before="29" w:line="288" w:lineRule="auto"/>
              <w:jc w:val="right"/>
              <w:rPr>
                <w:sz w:val="24"/>
              </w:rPr>
            </w:pPr>
            <w:r w:rsidRPr="001B7979">
              <w:rPr>
                <w:sz w:val="24"/>
              </w:rPr>
              <w:t>499,817,011.32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-8,979,751.00</w:t>
            </w:r>
          </w:p>
        </w:tc>
        <w:tc>
          <w:tcPr>
            <w:tcW w:w="3120" w:type="dxa"/>
            <w:vAlign w:val="center"/>
          </w:tcPr>
          <w:p w:rsidR="001548F9" w:rsidRPr="001B7979" w:rsidRDefault="001548F9" w:rsidP="00571B8A">
            <w:pPr>
              <w:spacing w:before="29" w:line="288" w:lineRule="auto"/>
              <w:jc w:val="right"/>
              <w:rPr>
                <w:sz w:val="24"/>
              </w:rPr>
            </w:pPr>
            <w:r w:rsidRPr="001B7979">
              <w:rPr>
                <w:sz w:val="24"/>
              </w:rPr>
              <w:t>-8,979,751.00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504,571,243.00</w:t>
            </w:r>
          </w:p>
        </w:tc>
        <w:tc>
          <w:tcPr>
            <w:tcW w:w="3120" w:type="dxa"/>
            <w:vAlign w:val="center"/>
          </w:tcPr>
          <w:p w:rsidR="001548F9" w:rsidRPr="001B7979" w:rsidRDefault="001548F9" w:rsidP="00571B8A">
            <w:pPr>
              <w:spacing w:before="29" w:line="288" w:lineRule="auto"/>
              <w:jc w:val="right"/>
              <w:rPr>
                <w:sz w:val="24"/>
              </w:rPr>
            </w:pPr>
            <w:r w:rsidRPr="001B7979">
              <w:rPr>
                <w:sz w:val="24"/>
              </w:rPr>
              <w:t>504,571,243.00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交银丰享收益债券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13,049,142.86</w:t>
            </w:r>
          </w:p>
        </w:tc>
        <w:tc>
          <w:tcPr>
            <w:tcW w:w="3120" w:type="dxa"/>
            <w:vAlign w:val="center"/>
          </w:tcPr>
          <w:p w:rsidR="001548F9" w:rsidRPr="001B7979" w:rsidRDefault="001548F9" w:rsidP="00571B8A">
            <w:pPr>
              <w:spacing w:before="29" w:line="288" w:lineRule="auto"/>
              <w:jc w:val="right"/>
              <w:rPr>
                <w:sz w:val="24"/>
              </w:rPr>
            </w:pPr>
            <w:r w:rsidRPr="001B7979">
              <w:rPr>
                <w:sz w:val="24"/>
              </w:rPr>
              <w:t>13,049,142.86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3,176,590.25</w:t>
            </w:r>
          </w:p>
        </w:tc>
        <w:tc>
          <w:tcPr>
            <w:tcW w:w="3120" w:type="dxa"/>
            <w:vAlign w:val="center"/>
          </w:tcPr>
          <w:p w:rsidR="001548F9" w:rsidRPr="001B7979" w:rsidRDefault="001548F9" w:rsidP="00571B8A">
            <w:pPr>
              <w:spacing w:before="29" w:line="288" w:lineRule="auto"/>
              <w:jc w:val="right"/>
              <w:rPr>
                <w:sz w:val="24"/>
              </w:rPr>
            </w:pPr>
            <w:r w:rsidRPr="001B7979">
              <w:rPr>
                <w:sz w:val="24"/>
              </w:rPr>
              <w:t>3,176,590.25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-6,148,206.20</w:t>
            </w:r>
          </w:p>
        </w:tc>
        <w:tc>
          <w:tcPr>
            <w:tcW w:w="3120" w:type="dxa"/>
            <w:vAlign w:val="center"/>
          </w:tcPr>
          <w:p w:rsidR="001548F9" w:rsidRPr="001B7979" w:rsidRDefault="001548F9" w:rsidP="00571B8A">
            <w:pPr>
              <w:spacing w:before="29" w:line="288" w:lineRule="auto"/>
              <w:jc w:val="right"/>
              <w:rPr>
                <w:sz w:val="24"/>
              </w:rPr>
            </w:pPr>
            <w:r w:rsidRPr="001B7979">
              <w:rPr>
                <w:sz w:val="24"/>
              </w:rPr>
              <w:t>-6,148,206.20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10,077,526.91</w:t>
            </w:r>
          </w:p>
        </w:tc>
        <w:tc>
          <w:tcPr>
            <w:tcW w:w="3120" w:type="dxa"/>
            <w:vAlign w:val="center"/>
          </w:tcPr>
          <w:p w:rsidR="001548F9" w:rsidRPr="001B7979" w:rsidRDefault="001548F9" w:rsidP="00571B8A">
            <w:pPr>
              <w:spacing w:before="29" w:line="288" w:lineRule="auto"/>
              <w:jc w:val="right"/>
              <w:rPr>
                <w:sz w:val="24"/>
              </w:rPr>
            </w:pPr>
            <w:r w:rsidRPr="001B7979">
              <w:rPr>
                <w:sz w:val="24"/>
              </w:rPr>
              <w:t>10,077,526.91</w:t>
            </w:r>
          </w:p>
        </w:tc>
      </w:tr>
    </w:tbl>
    <w:p w:rsidR="0039056C" w:rsidRDefault="005409C6">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9056C" w:rsidRDefault="005409C6">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3</w:t>
      </w:r>
      <w:r w:rsidRPr="001B7979">
        <w:rPr>
          <w:kern w:val="0"/>
          <w:sz w:val="24"/>
        </w:rPr>
        <w:t>、根据《交银施罗德丰享收益债券型证券投资基金基金合同》及《交银施罗德丰享收益债券型证券投资基金招募说明书》的相关规定，本基金于</w:t>
      </w:r>
      <w:r w:rsidRPr="001B7979">
        <w:rPr>
          <w:kern w:val="0"/>
          <w:sz w:val="24"/>
        </w:rPr>
        <w:t>2015</w:t>
      </w:r>
      <w:r w:rsidRPr="001B7979">
        <w:rPr>
          <w:kern w:val="0"/>
          <w:sz w:val="24"/>
        </w:rPr>
        <w:t>年</w:t>
      </w:r>
      <w:r w:rsidRPr="001B7979">
        <w:rPr>
          <w:kern w:val="0"/>
          <w:sz w:val="24"/>
        </w:rPr>
        <w:t>1</w:t>
      </w:r>
      <w:r w:rsidRPr="001B7979">
        <w:rPr>
          <w:kern w:val="0"/>
          <w:sz w:val="24"/>
        </w:rPr>
        <w:t>月</w:t>
      </w:r>
      <w:r w:rsidRPr="001B7979">
        <w:rPr>
          <w:kern w:val="0"/>
          <w:sz w:val="24"/>
        </w:rPr>
        <w:t>19</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19</w:t>
      </w:r>
      <w:r w:rsidRPr="001B7979">
        <w:rPr>
          <w:kern w:val="0"/>
          <w:sz w:val="24"/>
        </w:rPr>
        <w:t>日止期间暂不向投资人开放基金交易，日常申购业务和赎回业务自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日起开始办理。</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交银丰享收益债券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14,266,488.45</w:t>
            </w:r>
          </w:p>
        </w:tc>
        <w:tc>
          <w:tcPr>
            <w:tcW w:w="2236" w:type="dxa"/>
            <w:vAlign w:val="center"/>
          </w:tcPr>
          <w:p w:rsidR="001548F9" w:rsidRPr="001B7979" w:rsidRDefault="001548F9" w:rsidP="00571B8A">
            <w:pPr>
              <w:spacing w:before="29" w:line="288" w:lineRule="auto"/>
              <w:jc w:val="right"/>
              <w:rPr>
                <w:sz w:val="24"/>
              </w:rPr>
            </w:pPr>
            <w:r w:rsidRPr="001B7979">
              <w:rPr>
                <w:sz w:val="24"/>
              </w:rPr>
              <w:t>-318,464.66</w:t>
            </w:r>
          </w:p>
        </w:tc>
        <w:tc>
          <w:tcPr>
            <w:tcW w:w="2237" w:type="dxa"/>
            <w:vAlign w:val="center"/>
          </w:tcPr>
          <w:p w:rsidR="001548F9" w:rsidRPr="001B7979" w:rsidRDefault="001548F9" w:rsidP="00571B8A">
            <w:pPr>
              <w:spacing w:before="29" w:line="288" w:lineRule="auto"/>
              <w:jc w:val="right"/>
              <w:rPr>
                <w:sz w:val="24"/>
              </w:rPr>
            </w:pPr>
            <w:r w:rsidRPr="001B7979">
              <w:rPr>
                <w:sz w:val="24"/>
              </w:rPr>
              <w:t>13,948,023.79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9,553,812.02</w:t>
            </w:r>
          </w:p>
        </w:tc>
        <w:tc>
          <w:tcPr>
            <w:tcW w:w="2236" w:type="dxa"/>
            <w:vAlign w:val="center"/>
          </w:tcPr>
          <w:p w:rsidR="001548F9" w:rsidRPr="001B7979" w:rsidRDefault="001548F9" w:rsidP="00571B8A">
            <w:pPr>
              <w:spacing w:before="29" w:line="288" w:lineRule="auto"/>
              <w:jc w:val="right"/>
              <w:rPr>
                <w:sz w:val="24"/>
              </w:rPr>
            </w:pPr>
            <w:r w:rsidRPr="001B7979">
              <w:rPr>
                <w:sz w:val="24"/>
              </w:rPr>
              <w:t>-1,999,032.55</w:t>
            </w:r>
          </w:p>
        </w:tc>
        <w:tc>
          <w:tcPr>
            <w:tcW w:w="2237" w:type="dxa"/>
            <w:vAlign w:val="center"/>
          </w:tcPr>
          <w:p w:rsidR="001548F9" w:rsidRPr="001B7979" w:rsidRDefault="001548F9" w:rsidP="00571B8A">
            <w:pPr>
              <w:spacing w:before="29" w:line="288" w:lineRule="auto"/>
              <w:jc w:val="right"/>
              <w:rPr>
                <w:sz w:val="24"/>
              </w:rPr>
            </w:pPr>
            <w:r w:rsidRPr="001B7979">
              <w:rPr>
                <w:sz w:val="24"/>
              </w:rPr>
              <w:t>7,554,779.47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514,815,537.87</w:t>
            </w:r>
          </w:p>
        </w:tc>
        <w:tc>
          <w:tcPr>
            <w:tcW w:w="2236" w:type="dxa"/>
            <w:vAlign w:val="center"/>
          </w:tcPr>
          <w:p w:rsidR="001548F9" w:rsidRPr="001B7979" w:rsidRDefault="001548F9" w:rsidP="00571B8A">
            <w:pPr>
              <w:spacing w:before="29" w:line="288" w:lineRule="auto"/>
              <w:jc w:val="right"/>
              <w:rPr>
                <w:sz w:val="24"/>
              </w:rPr>
            </w:pPr>
            <w:r w:rsidRPr="001B7979">
              <w:rPr>
                <w:sz w:val="24"/>
              </w:rPr>
              <w:t>-11,710,354.22</w:t>
            </w:r>
          </w:p>
        </w:tc>
        <w:tc>
          <w:tcPr>
            <w:tcW w:w="2237" w:type="dxa"/>
            <w:vAlign w:val="center"/>
          </w:tcPr>
          <w:p w:rsidR="001548F9" w:rsidRPr="001B7979" w:rsidRDefault="001548F9" w:rsidP="00571B8A">
            <w:pPr>
              <w:spacing w:before="29" w:line="288" w:lineRule="auto"/>
              <w:jc w:val="right"/>
              <w:rPr>
                <w:sz w:val="24"/>
              </w:rPr>
            </w:pPr>
            <w:r w:rsidRPr="001B7979">
              <w:rPr>
                <w:sz w:val="24"/>
              </w:rPr>
              <w:t>503,105,183.65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524,211,111.28</w:t>
            </w:r>
          </w:p>
        </w:tc>
        <w:tc>
          <w:tcPr>
            <w:tcW w:w="2236" w:type="dxa"/>
            <w:vAlign w:val="center"/>
          </w:tcPr>
          <w:p w:rsidR="001548F9" w:rsidRPr="001B7979" w:rsidRDefault="001548F9" w:rsidP="00571B8A">
            <w:pPr>
              <w:spacing w:before="29" w:line="288" w:lineRule="auto"/>
              <w:jc w:val="right"/>
              <w:rPr>
                <w:sz w:val="24"/>
              </w:rPr>
            </w:pPr>
            <w:r w:rsidRPr="001B7979">
              <w:rPr>
                <w:sz w:val="24"/>
              </w:rPr>
              <w:t>-11,920,362.91</w:t>
            </w:r>
          </w:p>
        </w:tc>
        <w:tc>
          <w:tcPr>
            <w:tcW w:w="2237" w:type="dxa"/>
            <w:vAlign w:val="center"/>
          </w:tcPr>
          <w:p w:rsidR="001548F9" w:rsidRPr="001B7979" w:rsidRDefault="001548F9" w:rsidP="00571B8A">
            <w:pPr>
              <w:spacing w:before="29" w:line="288" w:lineRule="auto"/>
              <w:jc w:val="right"/>
              <w:rPr>
                <w:sz w:val="24"/>
              </w:rPr>
            </w:pPr>
            <w:r w:rsidRPr="001B7979">
              <w:rPr>
                <w:sz w:val="24"/>
              </w:rPr>
              <w:t>512,290,748.37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-9,395,573.41</w:t>
            </w:r>
          </w:p>
        </w:tc>
        <w:tc>
          <w:tcPr>
            <w:tcW w:w="2236" w:type="dxa"/>
            <w:vAlign w:val="center"/>
          </w:tcPr>
          <w:p w:rsidR="001548F9" w:rsidRPr="001B7979" w:rsidRDefault="001548F9" w:rsidP="00571B8A">
            <w:pPr>
              <w:spacing w:before="29" w:line="288" w:lineRule="auto"/>
              <w:jc w:val="right"/>
              <w:rPr>
                <w:sz w:val="24"/>
              </w:rPr>
            </w:pPr>
            <w:r w:rsidRPr="001B7979">
              <w:rPr>
                <w:sz w:val="24"/>
              </w:rPr>
              <w:t>210,008.69</w:t>
            </w:r>
          </w:p>
        </w:tc>
        <w:tc>
          <w:tcPr>
            <w:tcW w:w="2237" w:type="dxa"/>
            <w:vAlign w:val="center"/>
          </w:tcPr>
          <w:p w:rsidR="001548F9" w:rsidRPr="001B7979" w:rsidRDefault="001548F9" w:rsidP="00571B8A">
            <w:pPr>
              <w:spacing w:before="29" w:line="288" w:lineRule="auto"/>
              <w:jc w:val="right"/>
              <w:rPr>
                <w:sz w:val="24"/>
              </w:rPr>
            </w:pPr>
            <w:r w:rsidRPr="001B7979">
              <w:rPr>
                <w:sz w:val="24"/>
              </w:rPr>
              <w:t>-9,185,564.72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538,635,838.34</w:t>
            </w:r>
          </w:p>
        </w:tc>
        <w:tc>
          <w:tcPr>
            <w:tcW w:w="2236" w:type="dxa"/>
            <w:vAlign w:val="center"/>
          </w:tcPr>
          <w:p w:rsidR="001548F9" w:rsidRPr="001B7979" w:rsidRDefault="001548F9" w:rsidP="00571B8A">
            <w:pPr>
              <w:spacing w:before="29" w:line="288" w:lineRule="auto"/>
              <w:jc w:val="right"/>
              <w:rPr>
                <w:sz w:val="24"/>
              </w:rPr>
            </w:pPr>
            <w:r w:rsidRPr="001B7979">
              <w:rPr>
                <w:sz w:val="24"/>
              </w:rPr>
              <w:t>-14,027,851.43</w:t>
            </w:r>
          </w:p>
        </w:tc>
        <w:tc>
          <w:tcPr>
            <w:tcW w:w="2237" w:type="dxa"/>
            <w:vAlign w:val="center"/>
          </w:tcPr>
          <w:p w:rsidR="001548F9" w:rsidRPr="001B7979" w:rsidRDefault="001548F9" w:rsidP="00571B8A">
            <w:pPr>
              <w:spacing w:before="29" w:line="288" w:lineRule="auto"/>
              <w:jc w:val="right"/>
              <w:rPr>
                <w:sz w:val="24"/>
              </w:rPr>
            </w:pPr>
            <w:r w:rsidRPr="001B7979">
              <w:rPr>
                <w:sz w:val="24"/>
              </w:rPr>
              <w:t>524,607,986.91</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交银丰享收益债券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823,498.33</w:t>
            </w:r>
          </w:p>
        </w:tc>
        <w:tc>
          <w:tcPr>
            <w:tcW w:w="2268" w:type="dxa"/>
            <w:vAlign w:val="center"/>
          </w:tcPr>
          <w:p w:rsidR="001548F9" w:rsidRPr="001B7979" w:rsidRDefault="001548F9" w:rsidP="00571B8A">
            <w:pPr>
              <w:spacing w:before="29" w:line="288" w:lineRule="auto"/>
              <w:jc w:val="right"/>
              <w:rPr>
                <w:sz w:val="24"/>
              </w:rPr>
            </w:pPr>
            <w:r w:rsidRPr="001B7979">
              <w:rPr>
                <w:sz w:val="24"/>
              </w:rPr>
              <w:t>-150,074.95</w:t>
            </w:r>
          </w:p>
        </w:tc>
        <w:tc>
          <w:tcPr>
            <w:tcW w:w="2126" w:type="dxa"/>
            <w:vAlign w:val="center"/>
          </w:tcPr>
          <w:p w:rsidR="001548F9" w:rsidRPr="001B7979" w:rsidRDefault="001548F9" w:rsidP="00571B8A">
            <w:pPr>
              <w:spacing w:before="29" w:line="288" w:lineRule="auto"/>
              <w:jc w:val="right"/>
              <w:rPr>
                <w:sz w:val="24"/>
              </w:rPr>
            </w:pPr>
            <w:r w:rsidRPr="001B7979">
              <w:rPr>
                <w:sz w:val="24"/>
              </w:rPr>
              <w:t>673,423.38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147,636.30</w:t>
            </w:r>
          </w:p>
        </w:tc>
        <w:tc>
          <w:tcPr>
            <w:tcW w:w="2268" w:type="dxa"/>
            <w:vAlign w:val="center"/>
          </w:tcPr>
          <w:p w:rsidR="001548F9" w:rsidRPr="001B7979" w:rsidRDefault="001548F9" w:rsidP="00571B8A">
            <w:pPr>
              <w:spacing w:before="29" w:line="288" w:lineRule="auto"/>
              <w:jc w:val="right"/>
              <w:rPr>
                <w:sz w:val="24"/>
              </w:rPr>
            </w:pPr>
            <w:r w:rsidRPr="001B7979">
              <w:rPr>
                <w:sz w:val="24"/>
              </w:rPr>
              <w:t>-25,272.80</w:t>
            </w:r>
          </w:p>
        </w:tc>
        <w:tc>
          <w:tcPr>
            <w:tcW w:w="2126" w:type="dxa"/>
            <w:vAlign w:val="center"/>
          </w:tcPr>
          <w:p w:rsidR="001548F9" w:rsidRPr="001B7979" w:rsidRDefault="001548F9" w:rsidP="00571B8A">
            <w:pPr>
              <w:spacing w:before="29" w:line="288" w:lineRule="auto"/>
              <w:jc w:val="right"/>
              <w:rPr>
                <w:sz w:val="24"/>
              </w:rPr>
            </w:pPr>
            <w:r w:rsidRPr="001B7979">
              <w:rPr>
                <w:sz w:val="24"/>
              </w:rPr>
              <w:t>122,363.50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-208,012.55</w:t>
            </w:r>
          </w:p>
        </w:tc>
        <w:tc>
          <w:tcPr>
            <w:tcW w:w="2268" w:type="dxa"/>
            <w:vAlign w:val="center"/>
          </w:tcPr>
          <w:p w:rsidR="001548F9" w:rsidRPr="001B7979" w:rsidRDefault="001548F9" w:rsidP="00571B8A">
            <w:pPr>
              <w:spacing w:before="29" w:line="288" w:lineRule="auto"/>
              <w:jc w:val="right"/>
              <w:rPr>
                <w:sz w:val="24"/>
              </w:rPr>
            </w:pPr>
            <w:r w:rsidRPr="001B7979">
              <w:rPr>
                <w:sz w:val="24"/>
              </w:rPr>
              <w:t>35,245.37</w:t>
            </w:r>
          </w:p>
        </w:tc>
        <w:tc>
          <w:tcPr>
            <w:tcW w:w="2126" w:type="dxa"/>
            <w:vAlign w:val="center"/>
          </w:tcPr>
          <w:p w:rsidR="001548F9" w:rsidRPr="001B7979" w:rsidRDefault="001548F9" w:rsidP="00571B8A">
            <w:pPr>
              <w:spacing w:before="29" w:line="288" w:lineRule="auto"/>
              <w:jc w:val="right"/>
              <w:rPr>
                <w:sz w:val="24"/>
              </w:rPr>
            </w:pPr>
            <w:r w:rsidRPr="001B7979">
              <w:rPr>
                <w:sz w:val="24"/>
              </w:rPr>
              <w:t>-172,767.18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200,535.80</w:t>
            </w:r>
          </w:p>
        </w:tc>
        <w:tc>
          <w:tcPr>
            <w:tcW w:w="2268" w:type="dxa"/>
            <w:vAlign w:val="center"/>
          </w:tcPr>
          <w:p w:rsidR="001548F9" w:rsidRPr="001B7979" w:rsidRDefault="001548F9" w:rsidP="00571B8A">
            <w:pPr>
              <w:spacing w:before="29" w:line="288" w:lineRule="auto"/>
              <w:jc w:val="right"/>
              <w:rPr>
                <w:sz w:val="24"/>
              </w:rPr>
            </w:pPr>
            <w:r w:rsidRPr="001B7979">
              <w:rPr>
                <w:sz w:val="24"/>
              </w:rPr>
              <w:t>-34,717.05</w:t>
            </w:r>
          </w:p>
        </w:tc>
        <w:tc>
          <w:tcPr>
            <w:tcW w:w="2126" w:type="dxa"/>
            <w:vAlign w:val="center"/>
          </w:tcPr>
          <w:p w:rsidR="001548F9" w:rsidRPr="001B7979" w:rsidRDefault="001548F9" w:rsidP="00571B8A">
            <w:pPr>
              <w:spacing w:before="29" w:line="288" w:lineRule="auto"/>
              <w:jc w:val="right"/>
              <w:rPr>
                <w:sz w:val="24"/>
              </w:rPr>
            </w:pPr>
            <w:r w:rsidRPr="001B7979">
              <w:rPr>
                <w:sz w:val="24"/>
              </w:rPr>
              <w:t>165,818.75</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-408,548.35</w:t>
            </w:r>
          </w:p>
        </w:tc>
        <w:tc>
          <w:tcPr>
            <w:tcW w:w="2268" w:type="dxa"/>
            <w:vAlign w:val="center"/>
          </w:tcPr>
          <w:p w:rsidR="001548F9" w:rsidRPr="001B7979" w:rsidRDefault="001548F9" w:rsidP="00571B8A">
            <w:pPr>
              <w:spacing w:before="29" w:line="288" w:lineRule="auto"/>
              <w:jc w:val="right"/>
              <w:rPr>
                <w:sz w:val="24"/>
              </w:rPr>
            </w:pPr>
            <w:r w:rsidRPr="001B7979">
              <w:rPr>
                <w:sz w:val="24"/>
              </w:rPr>
              <w:t>69,962.42</w:t>
            </w:r>
          </w:p>
        </w:tc>
        <w:tc>
          <w:tcPr>
            <w:tcW w:w="2126" w:type="dxa"/>
            <w:vAlign w:val="center"/>
          </w:tcPr>
          <w:p w:rsidR="001548F9" w:rsidRPr="001B7979" w:rsidRDefault="001548F9" w:rsidP="00571B8A">
            <w:pPr>
              <w:spacing w:before="29" w:line="288" w:lineRule="auto"/>
              <w:jc w:val="right"/>
              <w:rPr>
                <w:sz w:val="24"/>
              </w:rPr>
            </w:pPr>
            <w:r w:rsidRPr="001B7979">
              <w:rPr>
                <w:sz w:val="24"/>
              </w:rPr>
              <w:t>-338,585.93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763,122.08</w:t>
            </w:r>
          </w:p>
        </w:tc>
        <w:tc>
          <w:tcPr>
            <w:tcW w:w="2268" w:type="dxa"/>
            <w:vAlign w:val="center"/>
          </w:tcPr>
          <w:p w:rsidR="001548F9" w:rsidRPr="001B7979" w:rsidRDefault="001548F9" w:rsidP="00571B8A">
            <w:pPr>
              <w:spacing w:before="29" w:line="288" w:lineRule="auto"/>
              <w:jc w:val="right"/>
              <w:rPr>
                <w:sz w:val="24"/>
              </w:rPr>
            </w:pPr>
            <w:r w:rsidRPr="001B7979">
              <w:rPr>
                <w:sz w:val="24"/>
              </w:rPr>
              <w:t>-140,102.38</w:t>
            </w:r>
          </w:p>
        </w:tc>
        <w:tc>
          <w:tcPr>
            <w:tcW w:w="2126" w:type="dxa"/>
            <w:vAlign w:val="center"/>
          </w:tcPr>
          <w:p w:rsidR="001548F9" w:rsidRPr="001B7979" w:rsidRDefault="001548F9" w:rsidP="00571B8A">
            <w:pPr>
              <w:spacing w:before="29" w:line="288" w:lineRule="auto"/>
              <w:jc w:val="right"/>
              <w:rPr>
                <w:sz w:val="24"/>
              </w:rPr>
            </w:pPr>
            <w:r w:rsidRPr="001B7979">
              <w:rPr>
                <w:sz w:val="24"/>
              </w:rPr>
              <w:t>623,019.70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12,751.00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181,611.11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124.41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198.06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194,684.58</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494,687,033.51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483,426,469.32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12,311,102.85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-1,050,538.66</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-2,024,305.35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-2,024,305.35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-2,024,305.35</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6,768.79</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6,768.79</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2.06</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11,625.00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11,627.06</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lastRenderedPageBreak/>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24,795.19</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56,896.94</w:t>
            </w:r>
          </w:p>
        </w:tc>
      </w:tr>
      <w:tr w:rsidR="0039056C">
        <w:tc>
          <w:tcPr>
            <w:tcW w:w="3689" w:type="dxa"/>
            <w:vAlign w:val="center"/>
          </w:tcPr>
          <w:p w:rsidR="0039056C" w:rsidRDefault="005409C6">
            <w:pPr>
              <w:jc w:val="left"/>
            </w:pPr>
            <w:r>
              <w:rPr>
                <w:sz w:val="24"/>
              </w:rPr>
              <w:t>银行费用</w:t>
            </w:r>
          </w:p>
        </w:tc>
        <w:tc>
          <w:tcPr>
            <w:tcW w:w="5309" w:type="dxa"/>
            <w:vAlign w:val="center"/>
          </w:tcPr>
          <w:p w:rsidR="0039056C" w:rsidRDefault="005409C6">
            <w:pPr>
              <w:jc w:val="right"/>
            </w:pPr>
            <w:r>
              <w:rPr>
                <w:sz w:val="24"/>
              </w:rPr>
              <w:t>5,349.76</w:t>
            </w:r>
          </w:p>
        </w:tc>
      </w:tr>
      <w:tr w:rsidR="0039056C">
        <w:tc>
          <w:tcPr>
            <w:tcW w:w="3689" w:type="dxa"/>
            <w:vAlign w:val="center"/>
          </w:tcPr>
          <w:p w:rsidR="0039056C" w:rsidRDefault="005409C6">
            <w:pPr>
              <w:jc w:val="left"/>
            </w:pPr>
            <w:r>
              <w:rPr>
                <w:sz w:val="24"/>
              </w:rPr>
              <w:t>债券账户费用</w:t>
            </w:r>
          </w:p>
        </w:tc>
        <w:tc>
          <w:tcPr>
            <w:tcW w:w="5309" w:type="dxa"/>
            <w:vAlign w:val="center"/>
          </w:tcPr>
          <w:p w:rsidR="0039056C" w:rsidRDefault="005409C6">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105,641.89</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39056C">
        <w:tc>
          <w:tcPr>
            <w:tcW w:w="5219" w:type="dxa"/>
            <w:vAlign w:val="center"/>
          </w:tcPr>
          <w:p w:rsidR="0039056C" w:rsidRDefault="005409C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9056C" w:rsidRDefault="005409C6">
            <w:pPr>
              <w:jc w:val="left"/>
            </w:pPr>
            <w:r>
              <w:rPr>
                <w:color w:val="000000"/>
                <w:sz w:val="24"/>
              </w:rPr>
              <w:t>基金管理人、基金销售机构</w:t>
            </w:r>
          </w:p>
        </w:tc>
      </w:tr>
      <w:tr w:rsidR="0039056C">
        <w:tc>
          <w:tcPr>
            <w:tcW w:w="5219" w:type="dxa"/>
            <w:vAlign w:val="center"/>
          </w:tcPr>
          <w:p w:rsidR="0039056C" w:rsidRDefault="005409C6">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39056C" w:rsidRDefault="005409C6">
            <w:pPr>
              <w:jc w:val="left"/>
            </w:pPr>
            <w:r>
              <w:rPr>
                <w:color w:val="000000"/>
                <w:sz w:val="24"/>
              </w:rPr>
              <w:t>基金托管人、基金销售机构</w:t>
            </w:r>
          </w:p>
        </w:tc>
      </w:tr>
      <w:tr w:rsidR="0039056C">
        <w:tc>
          <w:tcPr>
            <w:tcW w:w="5219" w:type="dxa"/>
            <w:vAlign w:val="center"/>
          </w:tcPr>
          <w:p w:rsidR="0039056C" w:rsidRDefault="005409C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9056C" w:rsidRDefault="005409C6">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lastRenderedPageBreak/>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lastRenderedPageBreak/>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lastRenderedPageBreak/>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904,732.71</w:t>
            </w:r>
          </w:p>
        </w:tc>
        <w:tc>
          <w:tcPr>
            <w:tcW w:w="2656" w:type="dxa"/>
            <w:vAlign w:val="center"/>
          </w:tcPr>
          <w:p w:rsidR="001548F9" w:rsidRPr="001B7979" w:rsidRDefault="001548F9" w:rsidP="00571B8A">
            <w:pPr>
              <w:spacing w:before="29" w:line="288" w:lineRule="auto"/>
              <w:jc w:val="right"/>
              <w:rPr>
                <w:sz w:val="24"/>
              </w:rPr>
            </w:pPr>
            <w:r w:rsidRPr="001B7979">
              <w:rPr>
                <w:sz w:val="24"/>
              </w:rPr>
              <w:t>832,150.68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35,661.73</w:t>
            </w:r>
          </w:p>
        </w:tc>
        <w:tc>
          <w:tcPr>
            <w:tcW w:w="2656" w:type="dxa"/>
            <w:vAlign w:val="center"/>
          </w:tcPr>
          <w:p w:rsidR="001548F9" w:rsidRPr="001B7979" w:rsidRDefault="001548F9" w:rsidP="00571B8A">
            <w:pPr>
              <w:spacing w:before="29" w:line="288" w:lineRule="auto"/>
              <w:jc w:val="right"/>
              <w:rPr>
                <w:sz w:val="24"/>
              </w:rPr>
            </w:pPr>
            <w:r w:rsidRPr="001B7979">
              <w:rPr>
                <w:sz w:val="24"/>
              </w:rPr>
              <w:t>45,624.27</w:t>
            </w:r>
          </w:p>
        </w:tc>
      </w:tr>
    </w:tbl>
    <w:p w:rsidR="0039056C" w:rsidRDefault="005409C6">
      <w:pPr>
        <w:widowControl/>
        <w:spacing w:before="29" w:line="288" w:lineRule="auto"/>
        <w:jc w:val="left"/>
        <w:rPr>
          <w:kern w:val="0"/>
          <w:sz w:val="24"/>
        </w:rPr>
      </w:pPr>
      <w:r>
        <w:rPr>
          <w:kern w:val="0"/>
          <w:sz w:val="24"/>
        </w:rPr>
        <w:t>注：支付基金管理人交银施罗德基金公司的管理人报酬按前一日基金资产净值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301,577.61</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277,383.56</w:t>
            </w:r>
          </w:p>
        </w:tc>
      </w:tr>
    </w:tbl>
    <w:p w:rsidR="0039056C" w:rsidRDefault="005409C6">
      <w:pPr>
        <w:widowControl/>
        <w:spacing w:before="29" w:line="288" w:lineRule="auto"/>
        <w:jc w:val="left"/>
        <w:rPr>
          <w:kern w:val="0"/>
          <w:sz w:val="24"/>
        </w:rPr>
      </w:pPr>
      <w:r>
        <w:rPr>
          <w:kern w:val="0"/>
          <w:sz w:val="24"/>
        </w:rPr>
        <w:t>注：支付基金托管人中信银行的托管费按前一日基金资产净值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0.10%/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交银丰享收益债券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交银丰享收益债券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39056C">
        <w:tc>
          <w:tcPr>
            <w:tcW w:w="2000" w:type="dxa"/>
            <w:vAlign w:val="center"/>
          </w:tcPr>
          <w:p w:rsidR="0039056C" w:rsidRDefault="005409C6">
            <w:pPr>
              <w:jc w:val="left"/>
            </w:pPr>
            <w:r>
              <w:rPr>
                <w:sz w:val="24"/>
              </w:rPr>
              <w:t>中信银行</w:t>
            </w:r>
          </w:p>
        </w:tc>
        <w:tc>
          <w:tcPr>
            <w:tcW w:w="1766" w:type="dxa"/>
            <w:vAlign w:val="center"/>
          </w:tcPr>
          <w:p w:rsidR="0039056C" w:rsidRDefault="005409C6">
            <w:pPr>
              <w:jc w:val="right"/>
            </w:pPr>
            <w:r>
              <w:rPr>
                <w:sz w:val="24"/>
              </w:rPr>
              <w:t>-</w:t>
            </w:r>
          </w:p>
        </w:tc>
        <w:tc>
          <w:tcPr>
            <w:tcW w:w="2162" w:type="dxa"/>
            <w:vAlign w:val="center"/>
          </w:tcPr>
          <w:p w:rsidR="0039056C" w:rsidRDefault="005409C6">
            <w:pPr>
              <w:jc w:val="right"/>
            </w:pPr>
            <w:r>
              <w:rPr>
                <w:sz w:val="24"/>
              </w:rPr>
              <w:t>1,502.73</w:t>
            </w:r>
          </w:p>
        </w:tc>
        <w:tc>
          <w:tcPr>
            <w:tcW w:w="3070" w:type="dxa"/>
            <w:vAlign w:val="center"/>
          </w:tcPr>
          <w:p w:rsidR="0039056C" w:rsidRDefault="005409C6">
            <w:pPr>
              <w:jc w:val="right"/>
            </w:pPr>
            <w:r>
              <w:rPr>
                <w:sz w:val="24"/>
              </w:rPr>
              <w:t>1,502.73</w:t>
            </w:r>
          </w:p>
        </w:tc>
      </w:tr>
      <w:tr w:rsidR="0039056C">
        <w:tc>
          <w:tcPr>
            <w:tcW w:w="2000" w:type="dxa"/>
            <w:vAlign w:val="center"/>
          </w:tcPr>
          <w:p w:rsidR="0039056C" w:rsidRDefault="005409C6">
            <w:pPr>
              <w:jc w:val="left"/>
            </w:pPr>
            <w:r>
              <w:rPr>
                <w:sz w:val="24"/>
              </w:rPr>
              <w:t>交通银行</w:t>
            </w:r>
          </w:p>
        </w:tc>
        <w:tc>
          <w:tcPr>
            <w:tcW w:w="1766" w:type="dxa"/>
            <w:vAlign w:val="center"/>
          </w:tcPr>
          <w:p w:rsidR="0039056C" w:rsidRDefault="005409C6">
            <w:pPr>
              <w:jc w:val="right"/>
            </w:pPr>
            <w:r>
              <w:rPr>
                <w:sz w:val="24"/>
              </w:rPr>
              <w:t>-</w:t>
            </w:r>
          </w:p>
        </w:tc>
        <w:tc>
          <w:tcPr>
            <w:tcW w:w="2162" w:type="dxa"/>
            <w:vAlign w:val="center"/>
          </w:tcPr>
          <w:p w:rsidR="0039056C" w:rsidRDefault="005409C6">
            <w:pPr>
              <w:jc w:val="right"/>
            </w:pPr>
            <w:r>
              <w:rPr>
                <w:sz w:val="24"/>
              </w:rPr>
              <w:t>1,501.88</w:t>
            </w:r>
          </w:p>
        </w:tc>
        <w:tc>
          <w:tcPr>
            <w:tcW w:w="3070" w:type="dxa"/>
            <w:vAlign w:val="center"/>
          </w:tcPr>
          <w:p w:rsidR="0039056C" w:rsidRDefault="005409C6">
            <w:pPr>
              <w:jc w:val="right"/>
            </w:pPr>
            <w:r>
              <w:rPr>
                <w:sz w:val="24"/>
              </w:rPr>
              <w:t>1,501.88</w:t>
            </w:r>
          </w:p>
        </w:tc>
      </w:tr>
      <w:tr w:rsidR="0039056C">
        <w:tc>
          <w:tcPr>
            <w:tcW w:w="2000" w:type="dxa"/>
            <w:vAlign w:val="center"/>
          </w:tcPr>
          <w:p w:rsidR="0039056C" w:rsidRDefault="005409C6">
            <w:pPr>
              <w:jc w:val="left"/>
            </w:pPr>
            <w:r>
              <w:rPr>
                <w:sz w:val="24"/>
              </w:rPr>
              <w:t>交银施罗德基金公司</w:t>
            </w:r>
          </w:p>
        </w:tc>
        <w:tc>
          <w:tcPr>
            <w:tcW w:w="1766" w:type="dxa"/>
            <w:vAlign w:val="center"/>
          </w:tcPr>
          <w:p w:rsidR="0039056C" w:rsidRDefault="005409C6">
            <w:pPr>
              <w:jc w:val="right"/>
            </w:pPr>
            <w:r>
              <w:rPr>
                <w:sz w:val="24"/>
              </w:rPr>
              <w:t>-</w:t>
            </w:r>
          </w:p>
        </w:tc>
        <w:tc>
          <w:tcPr>
            <w:tcW w:w="2162" w:type="dxa"/>
            <w:vAlign w:val="center"/>
          </w:tcPr>
          <w:p w:rsidR="0039056C" w:rsidRDefault="005409C6">
            <w:pPr>
              <w:jc w:val="right"/>
            </w:pPr>
            <w:r>
              <w:rPr>
                <w:sz w:val="24"/>
              </w:rPr>
              <w:t>799.24</w:t>
            </w:r>
          </w:p>
        </w:tc>
        <w:tc>
          <w:tcPr>
            <w:tcW w:w="3070" w:type="dxa"/>
            <w:vAlign w:val="center"/>
          </w:tcPr>
          <w:p w:rsidR="0039056C" w:rsidRDefault="005409C6">
            <w:pPr>
              <w:jc w:val="right"/>
            </w:pPr>
            <w:r>
              <w:rPr>
                <w:sz w:val="24"/>
              </w:rPr>
              <w:t>799.24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3,803.85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3,803.85</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交银丰享收益债券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交银丰享收益债券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39056C">
        <w:tc>
          <w:tcPr>
            <w:tcW w:w="2000" w:type="dxa"/>
            <w:vAlign w:val="center"/>
          </w:tcPr>
          <w:p w:rsidR="0039056C" w:rsidRDefault="005409C6">
            <w:pPr>
              <w:jc w:val="left"/>
            </w:pPr>
            <w:r>
              <w:rPr>
                <w:sz w:val="24"/>
              </w:rPr>
              <w:t>中信银行</w:t>
            </w:r>
          </w:p>
        </w:tc>
        <w:tc>
          <w:tcPr>
            <w:tcW w:w="1766" w:type="dxa"/>
            <w:vAlign w:val="center"/>
          </w:tcPr>
          <w:p w:rsidR="0039056C" w:rsidRDefault="005409C6">
            <w:pPr>
              <w:jc w:val="right"/>
            </w:pPr>
            <w:r>
              <w:rPr>
                <w:sz w:val="24"/>
              </w:rPr>
              <w:t>-</w:t>
            </w:r>
          </w:p>
        </w:tc>
        <w:tc>
          <w:tcPr>
            <w:tcW w:w="2162" w:type="dxa"/>
            <w:vAlign w:val="center"/>
          </w:tcPr>
          <w:p w:rsidR="0039056C" w:rsidRDefault="005409C6">
            <w:pPr>
              <w:jc w:val="right"/>
            </w:pPr>
            <w:r>
              <w:rPr>
                <w:sz w:val="24"/>
              </w:rPr>
              <w:t>2,514.32</w:t>
            </w:r>
          </w:p>
        </w:tc>
        <w:tc>
          <w:tcPr>
            <w:tcW w:w="3070" w:type="dxa"/>
            <w:vAlign w:val="center"/>
          </w:tcPr>
          <w:p w:rsidR="0039056C" w:rsidRDefault="005409C6">
            <w:pPr>
              <w:jc w:val="right"/>
            </w:pPr>
            <w:r>
              <w:rPr>
                <w:sz w:val="24"/>
              </w:rPr>
              <w:t>2,514.32</w:t>
            </w:r>
          </w:p>
        </w:tc>
      </w:tr>
      <w:tr w:rsidR="0039056C">
        <w:tc>
          <w:tcPr>
            <w:tcW w:w="2000" w:type="dxa"/>
            <w:vAlign w:val="center"/>
          </w:tcPr>
          <w:p w:rsidR="0039056C" w:rsidRDefault="005409C6">
            <w:pPr>
              <w:jc w:val="left"/>
            </w:pPr>
            <w:r>
              <w:rPr>
                <w:sz w:val="24"/>
              </w:rPr>
              <w:t>交通银行</w:t>
            </w:r>
          </w:p>
        </w:tc>
        <w:tc>
          <w:tcPr>
            <w:tcW w:w="1766" w:type="dxa"/>
            <w:vAlign w:val="center"/>
          </w:tcPr>
          <w:p w:rsidR="0039056C" w:rsidRDefault="005409C6">
            <w:pPr>
              <w:jc w:val="right"/>
            </w:pPr>
            <w:r>
              <w:rPr>
                <w:sz w:val="24"/>
              </w:rPr>
              <w:t>-</w:t>
            </w:r>
          </w:p>
        </w:tc>
        <w:tc>
          <w:tcPr>
            <w:tcW w:w="2162" w:type="dxa"/>
            <w:vAlign w:val="center"/>
          </w:tcPr>
          <w:p w:rsidR="0039056C" w:rsidRDefault="005409C6">
            <w:pPr>
              <w:jc w:val="right"/>
            </w:pPr>
            <w:r>
              <w:rPr>
                <w:sz w:val="24"/>
              </w:rPr>
              <w:t>1,622.98</w:t>
            </w:r>
          </w:p>
        </w:tc>
        <w:tc>
          <w:tcPr>
            <w:tcW w:w="3070" w:type="dxa"/>
            <w:vAlign w:val="center"/>
          </w:tcPr>
          <w:p w:rsidR="0039056C" w:rsidRDefault="005409C6">
            <w:pPr>
              <w:jc w:val="right"/>
            </w:pPr>
            <w:r>
              <w:rPr>
                <w:sz w:val="24"/>
              </w:rPr>
              <w:t>1,622.98</w:t>
            </w:r>
          </w:p>
        </w:tc>
      </w:tr>
      <w:tr w:rsidR="0039056C">
        <w:tc>
          <w:tcPr>
            <w:tcW w:w="2000" w:type="dxa"/>
            <w:vAlign w:val="center"/>
          </w:tcPr>
          <w:p w:rsidR="0039056C" w:rsidRDefault="005409C6">
            <w:pPr>
              <w:jc w:val="left"/>
            </w:pPr>
            <w:r>
              <w:rPr>
                <w:sz w:val="24"/>
              </w:rPr>
              <w:t>交银施罗德基金公司</w:t>
            </w:r>
          </w:p>
        </w:tc>
        <w:tc>
          <w:tcPr>
            <w:tcW w:w="1766" w:type="dxa"/>
            <w:vAlign w:val="center"/>
          </w:tcPr>
          <w:p w:rsidR="0039056C" w:rsidRDefault="005409C6">
            <w:pPr>
              <w:jc w:val="right"/>
            </w:pPr>
            <w:r>
              <w:rPr>
                <w:sz w:val="24"/>
              </w:rPr>
              <w:t>-</w:t>
            </w:r>
          </w:p>
        </w:tc>
        <w:tc>
          <w:tcPr>
            <w:tcW w:w="2162" w:type="dxa"/>
            <w:vAlign w:val="center"/>
          </w:tcPr>
          <w:p w:rsidR="0039056C" w:rsidRDefault="005409C6">
            <w:pPr>
              <w:jc w:val="right"/>
            </w:pPr>
            <w:r>
              <w:rPr>
                <w:sz w:val="24"/>
              </w:rPr>
              <w:t>60.61</w:t>
            </w:r>
          </w:p>
        </w:tc>
        <w:tc>
          <w:tcPr>
            <w:tcW w:w="3070" w:type="dxa"/>
            <w:vAlign w:val="center"/>
          </w:tcPr>
          <w:p w:rsidR="0039056C" w:rsidRDefault="005409C6">
            <w:pPr>
              <w:jc w:val="right"/>
            </w:pPr>
            <w:r>
              <w:rPr>
                <w:sz w:val="24"/>
              </w:rPr>
              <w:t>60.61</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4,197.91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4,197.91</w:t>
            </w:r>
          </w:p>
        </w:tc>
      </w:tr>
    </w:tbl>
    <w:p w:rsidR="0039056C" w:rsidRDefault="005409C6">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×0.40%÷ </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交银丰享收益债券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交银丰享收益债券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交银丰享收益债券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39056C">
        <w:tc>
          <w:tcPr>
            <w:tcW w:w="1928" w:type="dxa"/>
            <w:vAlign w:val="center"/>
          </w:tcPr>
          <w:p w:rsidR="0039056C" w:rsidRDefault="005409C6">
            <w:pPr>
              <w:jc w:val="center"/>
            </w:pPr>
            <w:r>
              <w:rPr>
                <w:sz w:val="24"/>
              </w:rPr>
              <w:t>中信银行股份有限公司</w:t>
            </w:r>
          </w:p>
        </w:tc>
        <w:tc>
          <w:tcPr>
            <w:tcW w:w="1994" w:type="dxa"/>
            <w:vAlign w:val="center"/>
          </w:tcPr>
          <w:p w:rsidR="0039056C" w:rsidRDefault="005409C6">
            <w:pPr>
              <w:jc w:val="center"/>
            </w:pPr>
            <w:r>
              <w:rPr>
                <w:sz w:val="24"/>
              </w:rPr>
              <w:t>246,913,086.42</w:t>
            </w:r>
          </w:p>
        </w:tc>
        <w:tc>
          <w:tcPr>
            <w:tcW w:w="1551" w:type="dxa"/>
            <w:vAlign w:val="center"/>
          </w:tcPr>
          <w:p w:rsidR="0039056C" w:rsidRDefault="005409C6">
            <w:pPr>
              <w:jc w:val="center"/>
            </w:pPr>
            <w:r>
              <w:rPr>
                <w:sz w:val="24"/>
              </w:rPr>
              <w:t>48.94%</w:t>
            </w:r>
          </w:p>
        </w:tc>
        <w:tc>
          <w:tcPr>
            <w:tcW w:w="1829" w:type="dxa"/>
            <w:vAlign w:val="center"/>
          </w:tcPr>
          <w:p w:rsidR="0039056C" w:rsidRDefault="005409C6">
            <w:pPr>
              <w:jc w:val="center"/>
            </w:pPr>
            <w:r>
              <w:rPr>
                <w:sz w:val="24"/>
              </w:rPr>
              <w:t>-</w:t>
            </w:r>
          </w:p>
        </w:tc>
        <w:tc>
          <w:tcPr>
            <w:tcW w:w="1696" w:type="dxa"/>
            <w:vAlign w:val="center"/>
          </w:tcPr>
          <w:p w:rsidR="0039056C" w:rsidRDefault="005409C6">
            <w:pPr>
              <w:jc w:val="center"/>
            </w:pPr>
            <w:r>
              <w:rPr>
                <w:sz w:val="24"/>
              </w:rPr>
              <w:t>-</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交银丰享收益债券</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39056C">
        <w:tc>
          <w:tcPr>
            <w:tcW w:w="1843" w:type="dxa"/>
            <w:vAlign w:val="center"/>
          </w:tcPr>
          <w:p w:rsidR="0039056C" w:rsidRDefault="005409C6">
            <w:pPr>
              <w:jc w:val="left"/>
            </w:pPr>
            <w:r>
              <w:rPr>
                <w:sz w:val="24"/>
              </w:rPr>
              <w:t>中信银行股份</w:t>
            </w:r>
            <w:r>
              <w:rPr>
                <w:sz w:val="24"/>
              </w:rPr>
              <w:lastRenderedPageBreak/>
              <w:t>有限公司</w:t>
            </w:r>
          </w:p>
        </w:tc>
        <w:tc>
          <w:tcPr>
            <w:tcW w:w="1843" w:type="dxa"/>
            <w:vAlign w:val="center"/>
          </w:tcPr>
          <w:p w:rsidR="0039056C" w:rsidRDefault="005409C6">
            <w:pPr>
              <w:jc w:val="right"/>
            </w:pPr>
            <w:r>
              <w:rPr>
                <w:sz w:val="24"/>
              </w:rPr>
              <w:lastRenderedPageBreak/>
              <w:t>1,228,486.29</w:t>
            </w:r>
          </w:p>
        </w:tc>
        <w:tc>
          <w:tcPr>
            <w:tcW w:w="1701" w:type="dxa"/>
            <w:vAlign w:val="center"/>
          </w:tcPr>
          <w:p w:rsidR="0039056C" w:rsidRDefault="005409C6">
            <w:pPr>
              <w:jc w:val="right"/>
            </w:pPr>
            <w:r>
              <w:rPr>
                <w:sz w:val="24"/>
              </w:rPr>
              <w:t>12,751.00</w:t>
            </w:r>
          </w:p>
        </w:tc>
        <w:tc>
          <w:tcPr>
            <w:tcW w:w="1701" w:type="dxa"/>
            <w:vAlign w:val="center"/>
          </w:tcPr>
          <w:p w:rsidR="0039056C" w:rsidRDefault="005409C6">
            <w:pPr>
              <w:jc w:val="right"/>
            </w:pPr>
            <w:r>
              <w:rPr>
                <w:sz w:val="24"/>
              </w:rPr>
              <w:t>1,822,028.57</w:t>
            </w:r>
          </w:p>
        </w:tc>
        <w:tc>
          <w:tcPr>
            <w:tcW w:w="1910" w:type="dxa"/>
            <w:vAlign w:val="center"/>
          </w:tcPr>
          <w:p w:rsidR="0039056C" w:rsidRDefault="005409C6">
            <w:pPr>
              <w:jc w:val="right"/>
            </w:pPr>
            <w:r>
              <w:rPr>
                <w:sz w:val="24"/>
              </w:rPr>
              <w:t>153,983.77</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A53850" w:rsidRPr="001B7979" w:rsidRDefault="00A53850" w:rsidP="00621AC9">
      <w:pPr>
        <w:widowControl/>
        <w:spacing w:line="360" w:lineRule="auto"/>
        <w:ind w:firstLineChars="200" w:firstLine="480"/>
        <w:rPr>
          <w:rFonts w:eastAsiaTheme="minorEastAsia" w:hint="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根据相关法律法规和基金合同的规定，本基金对本报告期应分配的可供分配利润进行了收益分配，具体情况参见</w:t>
      </w:r>
      <w:r w:rsidRPr="001B7979">
        <w:rPr>
          <w:kern w:val="0"/>
          <w:sz w:val="24"/>
        </w:rPr>
        <w:t>6.4.8.2</w:t>
      </w:r>
      <w:r w:rsidRPr="001B7979">
        <w:rPr>
          <w:kern w:val="0"/>
          <w:sz w:val="24"/>
        </w:rPr>
        <w:t>资产负债表日后事项。</w:t>
      </w:r>
    </w:p>
    <w:p w:rsidR="00A53850" w:rsidRPr="001B7979" w:rsidRDefault="00A53850" w:rsidP="001806E1">
      <w:pPr>
        <w:spacing w:before="29" w:line="288" w:lineRule="auto"/>
        <w:jc w:val="left"/>
        <w:rPr>
          <w:rFonts w:hint="eastAsia"/>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B257F" w:rsidRPr="001B7979" w:rsidRDefault="001B257F" w:rsidP="001B257F">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B257F" w:rsidRPr="001B7979" w:rsidRDefault="001B257F" w:rsidP="001B257F">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B257F" w:rsidRPr="001B7979" w:rsidRDefault="001B257F" w:rsidP="001B257F">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331,179,106.35</w:t>
      </w:r>
      <w:r w:rsidRPr="001B7979">
        <w:rPr>
          <w:kern w:val="0"/>
          <w:sz w:val="24"/>
        </w:rPr>
        <w:t>元，是以如下债券作为抵押：</w:t>
      </w:r>
    </w:p>
    <w:p w:rsidR="001B257F" w:rsidRPr="001B7979" w:rsidRDefault="001B257F" w:rsidP="001B257F">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B257F" w:rsidRPr="001B7979" w:rsidTr="0035718D">
        <w:tc>
          <w:tcPr>
            <w:tcW w:w="1276" w:type="dxa"/>
            <w:vAlign w:val="center"/>
          </w:tcPr>
          <w:p w:rsidR="001B257F" w:rsidRPr="001B7979" w:rsidRDefault="001B257F" w:rsidP="0035718D">
            <w:pPr>
              <w:spacing w:before="29" w:line="288" w:lineRule="auto"/>
              <w:jc w:val="center"/>
              <w:rPr>
                <w:color w:val="000000"/>
                <w:sz w:val="24"/>
              </w:rPr>
            </w:pPr>
            <w:r w:rsidRPr="001B7979">
              <w:rPr>
                <w:color w:val="000000"/>
                <w:sz w:val="24"/>
              </w:rPr>
              <w:t>债券代码</w:t>
            </w:r>
          </w:p>
        </w:tc>
        <w:tc>
          <w:tcPr>
            <w:tcW w:w="1711" w:type="dxa"/>
            <w:vAlign w:val="center"/>
          </w:tcPr>
          <w:p w:rsidR="001B257F" w:rsidRPr="001B7979" w:rsidRDefault="001B257F" w:rsidP="0035718D">
            <w:pPr>
              <w:spacing w:before="29" w:line="288" w:lineRule="auto"/>
              <w:jc w:val="center"/>
              <w:rPr>
                <w:color w:val="000000"/>
                <w:sz w:val="24"/>
              </w:rPr>
            </w:pPr>
            <w:r w:rsidRPr="001B7979">
              <w:rPr>
                <w:color w:val="000000"/>
                <w:sz w:val="24"/>
              </w:rPr>
              <w:t>债券名称</w:t>
            </w:r>
          </w:p>
        </w:tc>
        <w:tc>
          <w:tcPr>
            <w:tcW w:w="1494" w:type="dxa"/>
            <w:vAlign w:val="center"/>
          </w:tcPr>
          <w:p w:rsidR="001B257F" w:rsidRPr="001B7979" w:rsidRDefault="001B257F" w:rsidP="0035718D">
            <w:pPr>
              <w:spacing w:before="29" w:line="288" w:lineRule="auto"/>
              <w:jc w:val="center"/>
              <w:rPr>
                <w:color w:val="000000"/>
                <w:sz w:val="24"/>
              </w:rPr>
            </w:pPr>
            <w:r w:rsidRPr="001B7979">
              <w:rPr>
                <w:color w:val="000000"/>
                <w:sz w:val="24"/>
              </w:rPr>
              <w:t>回购到期日</w:t>
            </w:r>
          </w:p>
        </w:tc>
        <w:tc>
          <w:tcPr>
            <w:tcW w:w="1255" w:type="dxa"/>
            <w:vAlign w:val="center"/>
          </w:tcPr>
          <w:p w:rsidR="001B257F" w:rsidRPr="001B7979" w:rsidRDefault="001B257F" w:rsidP="0035718D">
            <w:pPr>
              <w:spacing w:before="29" w:line="288" w:lineRule="auto"/>
              <w:jc w:val="center"/>
              <w:rPr>
                <w:color w:val="000000"/>
                <w:sz w:val="24"/>
              </w:rPr>
            </w:pPr>
            <w:r w:rsidRPr="001B7979">
              <w:rPr>
                <w:color w:val="000000"/>
                <w:sz w:val="24"/>
              </w:rPr>
              <w:t>期末估值单价</w:t>
            </w:r>
          </w:p>
        </w:tc>
        <w:tc>
          <w:tcPr>
            <w:tcW w:w="1434" w:type="dxa"/>
            <w:vAlign w:val="center"/>
          </w:tcPr>
          <w:p w:rsidR="001B257F" w:rsidRPr="001B7979" w:rsidRDefault="001B257F" w:rsidP="0035718D">
            <w:pPr>
              <w:spacing w:before="29" w:line="288" w:lineRule="auto"/>
              <w:jc w:val="center"/>
              <w:rPr>
                <w:color w:val="000000"/>
                <w:sz w:val="24"/>
              </w:rPr>
            </w:pPr>
            <w:r w:rsidRPr="001B7979">
              <w:rPr>
                <w:color w:val="000000"/>
                <w:sz w:val="24"/>
              </w:rPr>
              <w:t>数量（张）</w:t>
            </w:r>
          </w:p>
        </w:tc>
        <w:tc>
          <w:tcPr>
            <w:tcW w:w="1828" w:type="dxa"/>
            <w:vAlign w:val="center"/>
          </w:tcPr>
          <w:p w:rsidR="001B257F" w:rsidRPr="001B7979" w:rsidRDefault="001B257F" w:rsidP="0035718D">
            <w:pPr>
              <w:spacing w:before="29" w:line="288" w:lineRule="auto"/>
              <w:jc w:val="center"/>
              <w:rPr>
                <w:color w:val="000000"/>
                <w:sz w:val="24"/>
              </w:rPr>
            </w:pPr>
            <w:r w:rsidRPr="001B7979">
              <w:rPr>
                <w:color w:val="000000"/>
                <w:sz w:val="24"/>
              </w:rPr>
              <w:t>期末估值总额</w:t>
            </w:r>
          </w:p>
        </w:tc>
      </w:tr>
      <w:tr w:rsidR="001B257F" w:rsidTr="0035718D">
        <w:tc>
          <w:tcPr>
            <w:tcW w:w="1276" w:type="dxa"/>
            <w:vAlign w:val="center"/>
          </w:tcPr>
          <w:p w:rsidR="001B257F" w:rsidRDefault="001B257F" w:rsidP="0035718D">
            <w:pPr>
              <w:jc w:val="center"/>
            </w:pPr>
            <w:r>
              <w:rPr>
                <w:color w:val="000000"/>
                <w:kern w:val="0"/>
                <w:sz w:val="24"/>
              </w:rPr>
              <w:t>011900344</w:t>
            </w:r>
          </w:p>
        </w:tc>
        <w:tc>
          <w:tcPr>
            <w:tcW w:w="1711" w:type="dxa"/>
            <w:vAlign w:val="center"/>
          </w:tcPr>
          <w:p w:rsidR="001B257F" w:rsidRDefault="001B257F" w:rsidP="0035718D">
            <w:pPr>
              <w:jc w:val="center"/>
            </w:pPr>
            <w:r>
              <w:rPr>
                <w:color w:val="000000"/>
                <w:kern w:val="0"/>
                <w:sz w:val="24"/>
              </w:rPr>
              <w:t>19</w:t>
            </w:r>
            <w:r>
              <w:rPr>
                <w:color w:val="000000"/>
                <w:kern w:val="0"/>
                <w:sz w:val="24"/>
              </w:rPr>
              <w:t>日照港</w:t>
            </w:r>
            <w:r>
              <w:rPr>
                <w:color w:val="000000"/>
                <w:kern w:val="0"/>
                <w:sz w:val="24"/>
              </w:rPr>
              <w:t>SCP001</w:t>
            </w:r>
          </w:p>
        </w:tc>
        <w:tc>
          <w:tcPr>
            <w:tcW w:w="1494" w:type="dxa"/>
            <w:vAlign w:val="center"/>
          </w:tcPr>
          <w:p w:rsidR="001B257F" w:rsidRDefault="001B257F" w:rsidP="0035718D">
            <w:pPr>
              <w:jc w:val="center"/>
            </w:pPr>
            <w:r>
              <w:rPr>
                <w:color w:val="000000"/>
                <w:kern w:val="0"/>
                <w:sz w:val="24"/>
              </w:rPr>
              <w:t>2019-07-03</w:t>
            </w:r>
          </w:p>
        </w:tc>
        <w:tc>
          <w:tcPr>
            <w:tcW w:w="1255" w:type="dxa"/>
            <w:vAlign w:val="center"/>
          </w:tcPr>
          <w:p w:rsidR="001B257F" w:rsidRDefault="001B257F" w:rsidP="0035718D">
            <w:pPr>
              <w:jc w:val="right"/>
            </w:pPr>
            <w:r>
              <w:rPr>
                <w:color w:val="000000"/>
                <w:kern w:val="0"/>
                <w:sz w:val="24"/>
              </w:rPr>
              <w:t>100.18</w:t>
            </w:r>
          </w:p>
        </w:tc>
        <w:tc>
          <w:tcPr>
            <w:tcW w:w="1434" w:type="dxa"/>
            <w:vAlign w:val="center"/>
          </w:tcPr>
          <w:p w:rsidR="001B257F" w:rsidRDefault="001B257F" w:rsidP="0035718D">
            <w:pPr>
              <w:jc w:val="right"/>
            </w:pPr>
            <w:r>
              <w:rPr>
                <w:color w:val="000000"/>
                <w:kern w:val="0"/>
                <w:sz w:val="24"/>
              </w:rPr>
              <w:t>700,000</w:t>
            </w:r>
          </w:p>
        </w:tc>
        <w:tc>
          <w:tcPr>
            <w:tcW w:w="1828" w:type="dxa"/>
            <w:vAlign w:val="center"/>
          </w:tcPr>
          <w:p w:rsidR="001B257F" w:rsidRDefault="001B257F" w:rsidP="0035718D">
            <w:pPr>
              <w:jc w:val="right"/>
            </w:pPr>
            <w:r>
              <w:rPr>
                <w:color w:val="000000"/>
                <w:kern w:val="0"/>
                <w:sz w:val="24"/>
              </w:rPr>
              <w:t>70,126,000.00</w:t>
            </w:r>
          </w:p>
        </w:tc>
      </w:tr>
      <w:tr w:rsidR="001B257F" w:rsidTr="0035718D">
        <w:tc>
          <w:tcPr>
            <w:tcW w:w="1276" w:type="dxa"/>
            <w:vAlign w:val="center"/>
          </w:tcPr>
          <w:p w:rsidR="001B257F" w:rsidRDefault="001B257F" w:rsidP="0035718D">
            <w:pPr>
              <w:jc w:val="center"/>
            </w:pPr>
            <w:r>
              <w:rPr>
                <w:color w:val="000000"/>
                <w:kern w:val="0"/>
                <w:sz w:val="24"/>
              </w:rPr>
              <w:t>011900688</w:t>
            </w:r>
          </w:p>
        </w:tc>
        <w:tc>
          <w:tcPr>
            <w:tcW w:w="1711" w:type="dxa"/>
            <w:vAlign w:val="center"/>
          </w:tcPr>
          <w:p w:rsidR="001B257F" w:rsidRDefault="001B257F" w:rsidP="0035718D">
            <w:pPr>
              <w:jc w:val="center"/>
            </w:pPr>
            <w:r>
              <w:rPr>
                <w:color w:val="000000"/>
                <w:kern w:val="0"/>
                <w:sz w:val="24"/>
              </w:rPr>
              <w:t>19</w:t>
            </w:r>
            <w:r>
              <w:rPr>
                <w:color w:val="000000"/>
                <w:kern w:val="0"/>
                <w:sz w:val="24"/>
              </w:rPr>
              <w:t>长发集团</w:t>
            </w:r>
            <w:r>
              <w:rPr>
                <w:color w:val="000000"/>
                <w:kern w:val="0"/>
                <w:sz w:val="24"/>
              </w:rPr>
              <w:t>SCP002</w:t>
            </w:r>
          </w:p>
        </w:tc>
        <w:tc>
          <w:tcPr>
            <w:tcW w:w="1494" w:type="dxa"/>
            <w:vAlign w:val="center"/>
          </w:tcPr>
          <w:p w:rsidR="001B257F" w:rsidRDefault="001B257F" w:rsidP="0035718D">
            <w:pPr>
              <w:jc w:val="center"/>
            </w:pPr>
            <w:r>
              <w:rPr>
                <w:color w:val="000000"/>
                <w:kern w:val="0"/>
                <w:sz w:val="24"/>
              </w:rPr>
              <w:t>2019-07-03</w:t>
            </w:r>
          </w:p>
        </w:tc>
        <w:tc>
          <w:tcPr>
            <w:tcW w:w="1255" w:type="dxa"/>
            <w:vAlign w:val="center"/>
          </w:tcPr>
          <w:p w:rsidR="001B257F" w:rsidRDefault="001B257F" w:rsidP="0035718D">
            <w:pPr>
              <w:jc w:val="right"/>
            </w:pPr>
            <w:r>
              <w:rPr>
                <w:color w:val="000000"/>
                <w:kern w:val="0"/>
                <w:sz w:val="24"/>
              </w:rPr>
              <w:t>100.07</w:t>
            </w:r>
          </w:p>
        </w:tc>
        <w:tc>
          <w:tcPr>
            <w:tcW w:w="1434" w:type="dxa"/>
            <w:vAlign w:val="center"/>
          </w:tcPr>
          <w:p w:rsidR="001B257F" w:rsidRDefault="001B257F" w:rsidP="0035718D">
            <w:pPr>
              <w:jc w:val="right"/>
            </w:pPr>
            <w:r>
              <w:rPr>
                <w:color w:val="000000"/>
                <w:kern w:val="0"/>
                <w:sz w:val="24"/>
              </w:rPr>
              <w:t>662,000</w:t>
            </w:r>
          </w:p>
        </w:tc>
        <w:tc>
          <w:tcPr>
            <w:tcW w:w="1828" w:type="dxa"/>
            <w:vAlign w:val="center"/>
          </w:tcPr>
          <w:p w:rsidR="001B257F" w:rsidRDefault="001B257F" w:rsidP="0035718D">
            <w:pPr>
              <w:jc w:val="right"/>
            </w:pPr>
            <w:r>
              <w:rPr>
                <w:color w:val="000000"/>
                <w:kern w:val="0"/>
                <w:sz w:val="24"/>
              </w:rPr>
              <w:t>66,246,340.00</w:t>
            </w:r>
          </w:p>
        </w:tc>
      </w:tr>
      <w:tr w:rsidR="001B257F" w:rsidTr="0035718D">
        <w:tc>
          <w:tcPr>
            <w:tcW w:w="1276" w:type="dxa"/>
            <w:vAlign w:val="center"/>
          </w:tcPr>
          <w:p w:rsidR="001B257F" w:rsidRDefault="001B257F" w:rsidP="0035718D">
            <w:pPr>
              <w:jc w:val="center"/>
            </w:pPr>
            <w:r>
              <w:rPr>
                <w:color w:val="000000"/>
                <w:kern w:val="0"/>
                <w:sz w:val="24"/>
              </w:rPr>
              <w:t>190401</w:t>
            </w:r>
          </w:p>
        </w:tc>
        <w:tc>
          <w:tcPr>
            <w:tcW w:w="1711" w:type="dxa"/>
            <w:vAlign w:val="center"/>
          </w:tcPr>
          <w:p w:rsidR="001B257F" w:rsidRDefault="001B257F" w:rsidP="0035718D">
            <w:pPr>
              <w:jc w:val="center"/>
            </w:pPr>
            <w:r>
              <w:rPr>
                <w:color w:val="000000"/>
                <w:kern w:val="0"/>
                <w:sz w:val="24"/>
              </w:rPr>
              <w:t>19</w:t>
            </w:r>
            <w:r>
              <w:rPr>
                <w:color w:val="000000"/>
                <w:kern w:val="0"/>
                <w:sz w:val="24"/>
              </w:rPr>
              <w:t>农发</w:t>
            </w:r>
            <w:r>
              <w:rPr>
                <w:color w:val="000000"/>
                <w:kern w:val="0"/>
                <w:sz w:val="24"/>
              </w:rPr>
              <w:t>01</w:t>
            </w:r>
          </w:p>
        </w:tc>
        <w:tc>
          <w:tcPr>
            <w:tcW w:w="1494" w:type="dxa"/>
            <w:vAlign w:val="center"/>
          </w:tcPr>
          <w:p w:rsidR="001B257F" w:rsidRDefault="001B257F" w:rsidP="0035718D">
            <w:pPr>
              <w:jc w:val="center"/>
            </w:pPr>
            <w:r>
              <w:rPr>
                <w:color w:val="000000"/>
                <w:kern w:val="0"/>
                <w:sz w:val="24"/>
              </w:rPr>
              <w:t>2019-07-01</w:t>
            </w:r>
          </w:p>
        </w:tc>
        <w:tc>
          <w:tcPr>
            <w:tcW w:w="1255" w:type="dxa"/>
            <w:vAlign w:val="center"/>
          </w:tcPr>
          <w:p w:rsidR="001B257F" w:rsidRDefault="001B257F" w:rsidP="0035718D">
            <w:pPr>
              <w:jc w:val="right"/>
            </w:pPr>
            <w:r>
              <w:rPr>
                <w:color w:val="000000"/>
                <w:kern w:val="0"/>
                <w:sz w:val="24"/>
              </w:rPr>
              <w:t>99.29</w:t>
            </w:r>
          </w:p>
        </w:tc>
        <w:tc>
          <w:tcPr>
            <w:tcW w:w="1434" w:type="dxa"/>
            <w:vAlign w:val="center"/>
          </w:tcPr>
          <w:p w:rsidR="001B257F" w:rsidRDefault="001B257F" w:rsidP="0035718D">
            <w:pPr>
              <w:jc w:val="right"/>
            </w:pPr>
            <w:r>
              <w:rPr>
                <w:color w:val="000000"/>
                <w:kern w:val="0"/>
                <w:sz w:val="24"/>
              </w:rPr>
              <w:t>500,000</w:t>
            </w:r>
          </w:p>
        </w:tc>
        <w:tc>
          <w:tcPr>
            <w:tcW w:w="1828" w:type="dxa"/>
            <w:vAlign w:val="center"/>
          </w:tcPr>
          <w:p w:rsidR="001B257F" w:rsidRDefault="001B257F" w:rsidP="0035718D">
            <w:pPr>
              <w:jc w:val="right"/>
            </w:pPr>
            <w:r>
              <w:rPr>
                <w:color w:val="000000"/>
                <w:kern w:val="0"/>
                <w:sz w:val="24"/>
              </w:rPr>
              <w:t>49,645,000.00</w:t>
            </w:r>
          </w:p>
        </w:tc>
      </w:tr>
      <w:tr w:rsidR="001B257F" w:rsidTr="0035718D">
        <w:tc>
          <w:tcPr>
            <w:tcW w:w="1276" w:type="dxa"/>
            <w:vAlign w:val="center"/>
          </w:tcPr>
          <w:p w:rsidR="001B257F" w:rsidRDefault="001B257F" w:rsidP="0035718D">
            <w:pPr>
              <w:jc w:val="center"/>
            </w:pPr>
            <w:r>
              <w:rPr>
                <w:color w:val="000000"/>
                <w:kern w:val="0"/>
                <w:sz w:val="24"/>
              </w:rPr>
              <w:t>190304</w:t>
            </w:r>
          </w:p>
        </w:tc>
        <w:tc>
          <w:tcPr>
            <w:tcW w:w="1711" w:type="dxa"/>
            <w:vAlign w:val="center"/>
          </w:tcPr>
          <w:p w:rsidR="001B257F" w:rsidRDefault="001B257F" w:rsidP="0035718D">
            <w:pPr>
              <w:jc w:val="center"/>
            </w:pPr>
            <w:r>
              <w:rPr>
                <w:color w:val="000000"/>
                <w:kern w:val="0"/>
                <w:sz w:val="24"/>
              </w:rPr>
              <w:t>19</w:t>
            </w:r>
            <w:r>
              <w:rPr>
                <w:color w:val="000000"/>
                <w:kern w:val="0"/>
                <w:sz w:val="24"/>
              </w:rPr>
              <w:t>进出</w:t>
            </w:r>
            <w:r>
              <w:rPr>
                <w:color w:val="000000"/>
                <w:kern w:val="0"/>
                <w:sz w:val="24"/>
              </w:rPr>
              <w:t>04</w:t>
            </w:r>
          </w:p>
        </w:tc>
        <w:tc>
          <w:tcPr>
            <w:tcW w:w="1494" w:type="dxa"/>
            <w:vAlign w:val="center"/>
          </w:tcPr>
          <w:p w:rsidR="001B257F" w:rsidRDefault="001B257F" w:rsidP="0035718D">
            <w:pPr>
              <w:jc w:val="center"/>
            </w:pPr>
            <w:r>
              <w:rPr>
                <w:color w:val="000000"/>
                <w:kern w:val="0"/>
                <w:sz w:val="24"/>
              </w:rPr>
              <w:t>2019-07-01</w:t>
            </w:r>
          </w:p>
        </w:tc>
        <w:tc>
          <w:tcPr>
            <w:tcW w:w="1255" w:type="dxa"/>
            <w:vAlign w:val="center"/>
          </w:tcPr>
          <w:p w:rsidR="001B257F" w:rsidRDefault="001B257F" w:rsidP="0035718D">
            <w:pPr>
              <w:jc w:val="right"/>
            </w:pPr>
            <w:r>
              <w:rPr>
                <w:color w:val="000000"/>
                <w:kern w:val="0"/>
                <w:sz w:val="24"/>
              </w:rPr>
              <w:t>99.97</w:t>
            </w:r>
          </w:p>
        </w:tc>
        <w:tc>
          <w:tcPr>
            <w:tcW w:w="1434" w:type="dxa"/>
            <w:vAlign w:val="center"/>
          </w:tcPr>
          <w:p w:rsidR="001B257F" w:rsidRDefault="001B257F" w:rsidP="0035718D">
            <w:pPr>
              <w:jc w:val="right"/>
            </w:pPr>
            <w:r>
              <w:rPr>
                <w:color w:val="000000"/>
                <w:kern w:val="0"/>
                <w:sz w:val="24"/>
              </w:rPr>
              <w:t>400,000</w:t>
            </w:r>
          </w:p>
        </w:tc>
        <w:tc>
          <w:tcPr>
            <w:tcW w:w="1828" w:type="dxa"/>
            <w:vAlign w:val="center"/>
          </w:tcPr>
          <w:p w:rsidR="001B257F" w:rsidRDefault="001B257F" w:rsidP="0035718D">
            <w:pPr>
              <w:jc w:val="right"/>
            </w:pPr>
            <w:r>
              <w:rPr>
                <w:color w:val="000000"/>
                <w:kern w:val="0"/>
                <w:sz w:val="24"/>
              </w:rPr>
              <w:t>39,988,000.00</w:t>
            </w:r>
          </w:p>
        </w:tc>
      </w:tr>
      <w:tr w:rsidR="001B257F" w:rsidTr="0035718D">
        <w:tc>
          <w:tcPr>
            <w:tcW w:w="1276" w:type="dxa"/>
            <w:vAlign w:val="center"/>
          </w:tcPr>
          <w:p w:rsidR="001B257F" w:rsidRDefault="001B257F" w:rsidP="0035718D">
            <w:pPr>
              <w:jc w:val="center"/>
            </w:pPr>
            <w:r>
              <w:rPr>
                <w:color w:val="000000"/>
                <w:kern w:val="0"/>
                <w:sz w:val="24"/>
              </w:rPr>
              <w:t>180210</w:t>
            </w:r>
          </w:p>
        </w:tc>
        <w:tc>
          <w:tcPr>
            <w:tcW w:w="1711" w:type="dxa"/>
            <w:vAlign w:val="center"/>
          </w:tcPr>
          <w:p w:rsidR="001B257F" w:rsidRDefault="001B257F" w:rsidP="0035718D">
            <w:pPr>
              <w:jc w:val="center"/>
            </w:pPr>
            <w:r>
              <w:rPr>
                <w:color w:val="000000"/>
                <w:kern w:val="0"/>
                <w:sz w:val="24"/>
              </w:rPr>
              <w:t>18</w:t>
            </w:r>
            <w:r>
              <w:rPr>
                <w:color w:val="000000"/>
                <w:kern w:val="0"/>
                <w:sz w:val="24"/>
              </w:rPr>
              <w:t>国开</w:t>
            </w:r>
            <w:r>
              <w:rPr>
                <w:color w:val="000000"/>
                <w:kern w:val="0"/>
                <w:sz w:val="24"/>
              </w:rPr>
              <w:t>10</w:t>
            </w:r>
          </w:p>
        </w:tc>
        <w:tc>
          <w:tcPr>
            <w:tcW w:w="1494" w:type="dxa"/>
            <w:vAlign w:val="center"/>
          </w:tcPr>
          <w:p w:rsidR="001B257F" w:rsidRDefault="001B257F" w:rsidP="0035718D">
            <w:pPr>
              <w:jc w:val="center"/>
            </w:pPr>
            <w:r>
              <w:rPr>
                <w:color w:val="000000"/>
                <w:kern w:val="0"/>
                <w:sz w:val="24"/>
              </w:rPr>
              <w:t>2019-07-01</w:t>
            </w:r>
          </w:p>
        </w:tc>
        <w:tc>
          <w:tcPr>
            <w:tcW w:w="1255" w:type="dxa"/>
            <w:vAlign w:val="center"/>
          </w:tcPr>
          <w:p w:rsidR="001B257F" w:rsidRDefault="001B257F" w:rsidP="0035718D">
            <w:pPr>
              <w:jc w:val="right"/>
            </w:pPr>
            <w:r>
              <w:rPr>
                <w:color w:val="000000"/>
                <w:kern w:val="0"/>
                <w:sz w:val="24"/>
              </w:rPr>
              <w:t>101.58</w:t>
            </w:r>
          </w:p>
        </w:tc>
        <w:tc>
          <w:tcPr>
            <w:tcW w:w="1434" w:type="dxa"/>
            <w:vAlign w:val="center"/>
          </w:tcPr>
          <w:p w:rsidR="001B257F" w:rsidRDefault="001B257F" w:rsidP="0035718D">
            <w:pPr>
              <w:jc w:val="right"/>
            </w:pPr>
            <w:r>
              <w:rPr>
                <w:color w:val="000000"/>
                <w:kern w:val="0"/>
                <w:sz w:val="24"/>
              </w:rPr>
              <w:t>300,000</w:t>
            </w:r>
          </w:p>
        </w:tc>
        <w:tc>
          <w:tcPr>
            <w:tcW w:w="1828" w:type="dxa"/>
            <w:vAlign w:val="center"/>
          </w:tcPr>
          <w:p w:rsidR="001B257F" w:rsidRDefault="001B257F" w:rsidP="0035718D">
            <w:pPr>
              <w:jc w:val="right"/>
            </w:pPr>
            <w:r>
              <w:rPr>
                <w:color w:val="000000"/>
                <w:kern w:val="0"/>
                <w:sz w:val="24"/>
              </w:rPr>
              <w:t>30,474,000.00</w:t>
            </w:r>
          </w:p>
        </w:tc>
      </w:tr>
      <w:tr w:rsidR="001B257F" w:rsidTr="0035718D">
        <w:tc>
          <w:tcPr>
            <w:tcW w:w="1276" w:type="dxa"/>
            <w:vAlign w:val="center"/>
          </w:tcPr>
          <w:p w:rsidR="001B257F" w:rsidRDefault="001B257F" w:rsidP="0035718D">
            <w:pPr>
              <w:jc w:val="center"/>
            </w:pPr>
            <w:r>
              <w:rPr>
                <w:color w:val="000000"/>
                <w:kern w:val="0"/>
                <w:sz w:val="24"/>
              </w:rPr>
              <w:t>160215</w:t>
            </w:r>
          </w:p>
        </w:tc>
        <w:tc>
          <w:tcPr>
            <w:tcW w:w="1711" w:type="dxa"/>
            <w:vAlign w:val="center"/>
          </w:tcPr>
          <w:p w:rsidR="001B257F" w:rsidRDefault="001B257F" w:rsidP="0035718D">
            <w:pPr>
              <w:jc w:val="center"/>
            </w:pPr>
            <w:r>
              <w:rPr>
                <w:color w:val="000000"/>
                <w:kern w:val="0"/>
                <w:sz w:val="24"/>
              </w:rPr>
              <w:t>16</w:t>
            </w:r>
            <w:r>
              <w:rPr>
                <w:color w:val="000000"/>
                <w:kern w:val="0"/>
                <w:sz w:val="24"/>
              </w:rPr>
              <w:t>国开</w:t>
            </w:r>
            <w:r>
              <w:rPr>
                <w:color w:val="000000"/>
                <w:kern w:val="0"/>
                <w:sz w:val="24"/>
              </w:rPr>
              <w:t>15</w:t>
            </w:r>
          </w:p>
        </w:tc>
        <w:tc>
          <w:tcPr>
            <w:tcW w:w="1494" w:type="dxa"/>
            <w:vAlign w:val="center"/>
          </w:tcPr>
          <w:p w:rsidR="001B257F" w:rsidRDefault="001B257F" w:rsidP="0035718D">
            <w:pPr>
              <w:jc w:val="center"/>
            </w:pPr>
            <w:r>
              <w:rPr>
                <w:color w:val="000000"/>
                <w:kern w:val="0"/>
                <w:sz w:val="24"/>
              </w:rPr>
              <w:t>2019-07-01</w:t>
            </w:r>
          </w:p>
        </w:tc>
        <w:tc>
          <w:tcPr>
            <w:tcW w:w="1255" w:type="dxa"/>
            <w:vAlign w:val="center"/>
          </w:tcPr>
          <w:p w:rsidR="001B257F" w:rsidRDefault="001B257F" w:rsidP="0035718D">
            <w:pPr>
              <w:jc w:val="right"/>
            </w:pPr>
            <w:r>
              <w:rPr>
                <w:color w:val="000000"/>
                <w:kern w:val="0"/>
                <w:sz w:val="24"/>
              </w:rPr>
              <w:t>100.04</w:t>
            </w:r>
          </w:p>
        </w:tc>
        <w:tc>
          <w:tcPr>
            <w:tcW w:w="1434" w:type="dxa"/>
            <w:vAlign w:val="center"/>
          </w:tcPr>
          <w:p w:rsidR="001B257F" w:rsidRDefault="001B257F" w:rsidP="0035718D">
            <w:pPr>
              <w:jc w:val="right"/>
            </w:pPr>
            <w:r>
              <w:rPr>
                <w:color w:val="000000"/>
                <w:kern w:val="0"/>
                <w:sz w:val="24"/>
              </w:rPr>
              <w:t>167,000</w:t>
            </w:r>
          </w:p>
        </w:tc>
        <w:tc>
          <w:tcPr>
            <w:tcW w:w="1828" w:type="dxa"/>
            <w:vAlign w:val="center"/>
          </w:tcPr>
          <w:p w:rsidR="001B257F" w:rsidRDefault="001B257F" w:rsidP="0035718D">
            <w:pPr>
              <w:jc w:val="right"/>
            </w:pPr>
            <w:r>
              <w:rPr>
                <w:color w:val="000000"/>
                <w:kern w:val="0"/>
                <w:sz w:val="24"/>
              </w:rPr>
              <w:t>16,706,680.00</w:t>
            </w:r>
          </w:p>
        </w:tc>
      </w:tr>
      <w:tr w:rsidR="001B257F" w:rsidTr="0035718D">
        <w:tc>
          <w:tcPr>
            <w:tcW w:w="1276" w:type="dxa"/>
            <w:vAlign w:val="center"/>
          </w:tcPr>
          <w:p w:rsidR="001B257F" w:rsidRDefault="001B257F" w:rsidP="0035718D">
            <w:pPr>
              <w:jc w:val="center"/>
            </w:pPr>
            <w:r>
              <w:rPr>
                <w:color w:val="000000"/>
                <w:kern w:val="0"/>
                <w:sz w:val="24"/>
              </w:rPr>
              <w:t>01190047</w:t>
            </w:r>
            <w:r>
              <w:rPr>
                <w:color w:val="000000"/>
                <w:kern w:val="0"/>
                <w:sz w:val="24"/>
              </w:rPr>
              <w:lastRenderedPageBreak/>
              <w:t>2</w:t>
            </w:r>
          </w:p>
        </w:tc>
        <w:tc>
          <w:tcPr>
            <w:tcW w:w="1711" w:type="dxa"/>
            <w:vAlign w:val="center"/>
          </w:tcPr>
          <w:p w:rsidR="001B257F" w:rsidRDefault="001B257F" w:rsidP="0035718D">
            <w:pPr>
              <w:jc w:val="center"/>
            </w:pPr>
            <w:r>
              <w:rPr>
                <w:color w:val="000000"/>
                <w:kern w:val="0"/>
                <w:sz w:val="24"/>
              </w:rPr>
              <w:lastRenderedPageBreak/>
              <w:t>19</w:t>
            </w:r>
            <w:r>
              <w:rPr>
                <w:color w:val="000000"/>
                <w:kern w:val="0"/>
                <w:sz w:val="24"/>
              </w:rPr>
              <w:t>云能投</w:t>
            </w:r>
            <w:r>
              <w:rPr>
                <w:color w:val="000000"/>
                <w:kern w:val="0"/>
                <w:sz w:val="24"/>
              </w:rPr>
              <w:lastRenderedPageBreak/>
              <w:t>SCP002</w:t>
            </w:r>
          </w:p>
        </w:tc>
        <w:tc>
          <w:tcPr>
            <w:tcW w:w="1494" w:type="dxa"/>
            <w:vAlign w:val="center"/>
          </w:tcPr>
          <w:p w:rsidR="001B257F" w:rsidRDefault="001B257F" w:rsidP="0035718D">
            <w:pPr>
              <w:jc w:val="center"/>
            </w:pPr>
            <w:r>
              <w:rPr>
                <w:color w:val="000000"/>
                <w:kern w:val="0"/>
                <w:sz w:val="24"/>
              </w:rPr>
              <w:lastRenderedPageBreak/>
              <w:t>2019-07-01</w:t>
            </w:r>
          </w:p>
        </w:tc>
        <w:tc>
          <w:tcPr>
            <w:tcW w:w="1255" w:type="dxa"/>
            <w:vAlign w:val="center"/>
          </w:tcPr>
          <w:p w:rsidR="001B257F" w:rsidRDefault="001B257F" w:rsidP="0035718D">
            <w:pPr>
              <w:jc w:val="right"/>
            </w:pPr>
            <w:r>
              <w:rPr>
                <w:color w:val="000000"/>
                <w:kern w:val="0"/>
                <w:sz w:val="24"/>
              </w:rPr>
              <w:t>100.10</w:t>
            </w:r>
          </w:p>
        </w:tc>
        <w:tc>
          <w:tcPr>
            <w:tcW w:w="1434" w:type="dxa"/>
            <w:vAlign w:val="center"/>
          </w:tcPr>
          <w:p w:rsidR="001B257F" w:rsidRDefault="001B257F" w:rsidP="0035718D">
            <w:pPr>
              <w:jc w:val="right"/>
            </w:pPr>
            <w:r>
              <w:rPr>
                <w:color w:val="000000"/>
                <w:kern w:val="0"/>
                <w:sz w:val="24"/>
              </w:rPr>
              <w:t>400,000</w:t>
            </w:r>
          </w:p>
        </w:tc>
        <w:tc>
          <w:tcPr>
            <w:tcW w:w="1828" w:type="dxa"/>
            <w:vAlign w:val="center"/>
          </w:tcPr>
          <w:p w:rsidR="001B257F" w:rsidRDefault="001B257F" w:rsidP="0035718D">
            <w:pPr>
              <w:jc w:val="right"/>
            </w:pPr>
            <w:r>
              <w:rPr>
                <w:color w:val="000000"/>
                <w:kern w:val="0"/>
                <w:sz w:val="24"/>
              </w:rPr>
              <w:t>40,040,000.00</w:t>
            </w:r>
          </w:p>
        </w:tc>
      </w:tr>
      <w:tr w:rsidR="001B257F" w:rsidTr="0035718D">
        <w:tc>
          <w:tcPr>
            <w:tcW w:w="1276" w:type="dxa"/>
            <w:vAlign w:val="center"/>
          </w:tcPr>
          <w:p w:rsidR="001B257F" w:rsidRDefault="001B257F" w:rsidP="0035718D">
            <w:pPr>
              <w:jc w:val="center"/>
            </w:pPr>
            <w:r>
              <w:rPr>
                <w:color w:val="000000"/>
                <w:kern w:val="0"/>
                <w:sz w:val="24"/>
              </w:rPr>
              <w:t>011900720</w:t>
            </w:r>
          </w:p>
        </w:tc>
        <w:tc>
          <w:tcPr>
            <w:tcW w:w="1711" w:type="dxa"/>
            <w:vAlign w:val="center"/>
          </w:tcPr>
          <w:p w:rsidR="001B257F" w:rsidRDefault="001B257F" w:rsidP="0035718D">
            <w:pPr>
              <w:jc w:val="center"/>
            </w:pPr>
            <w:r>
              <w:rPr>
                <w:color w:val="000000"/>
                <w:kern w:val="0"/>
                <w:sz w:val="24"/>
              </w:rPr>
              <w:t>19</w:t>
            </w:r>
            <w:r>
              <w:rPr>
                <w:color w:val="000000"/>
                <w:kern w:val="0"/>
                <w:sz w:val="24"/>
              </w:rPr>
              <w:t>西安高新</w:t>
            </w:r>
            <w:r>
              <w:rPr>
                <w:color w:val="000000"/>
                <w:kern w:val="0"/>
                <w:sz w:val="24"/>
              </w:rPr>
              <w:t>SCP004</w:t>
            </w:r>
          </w:p>
        </w:tc>
        <w:tc>
          <w:tcPr>
            <w:tcW w:w="1494" w:type="dxa"/>
            <w:vAlign w:val="center"/>
          </w:tcPr>
          <w:p w:rsidR="001B257F" w:rsidRDefault="001B257F" w:rsidP="0035718D">
            <w:pPr>
              <w:jc w:val="center"/>
            </w:pPr>
            <w:r>
              <w:rPr>
                <w:color w:val="000000"/>
                <w:kern w:val="0"/>
                <w:sz w:val="24"/>
              </w:rPr>
              <w:t>2019-07-01</w:t>
            </w:r>
          </w:p>
        </w:tc>
        <w:tc>
          <w:tcPr>
            <w:tcW w:w="1255" w:type="dxa"/>
            <w:vAlign w:val="center"/>
          </w:tcPr>
          <w:p w:rsidR="001B257F" w:rsidRDefault="001B257F" w:rsidP="0035718D">
            <w:pPr>
              <w:jc w:val="right"/>
            </w:pPr>
            <w:r>
              <w:rPr>
                <w:color w:val="000000"/>
                <w:kern w:val="0"/>
                <w:sz w:val="24"/>
              </w:rPr>
              <w:t>100.16</w:t>
            </w:r>
          </w:p>
        </w:tc>
        <w:tc>
          <w:tcPr>
            <w:tcW w:w="1434" w:type="dxa"/>
            <w:vAlign w:val="center"/>
          </w:tcPr>
          <w:p w:rsidR="001B257F" w:rsidRDefault="001B257F" w:rsidP="0035718D">
            <w:pPr>
              <w:jc w:val="right"/>
            </w:pPr>
            <w:r>
              <w:rPr>
                <w:color w:val="000000"/>
                <w:kern w:val="0"/>
                <w:sz w:val="24"/>
              </w:rPr>
              <w:t>396,000</w:t>
            </w:r>
          </w:p>
        </w:tc>
        <w:tc>
          <w:tcPr>
            <w:tcW w:w="1828" w:type="dxa"/>
            <w:vAlign w:val="center"/>
          </w:tcPr>
          <w:p w:rsidR="001B257F" w:rsidRDefault="001B257F" w:rsidP="0035718D">
            <w:pPr>
              <w:jc w:val="right"/>
            </w:pPr>
            <w:r>
              <w:rPr>
                <w:color w:val="000000"/>
                <w:kern w:val="0"/>
                <w:sz w:val="24"/>
              </w:rPr>
              <w:t>39,663,360.00</w:t>
            </w:r>
          </w:p>
        </w:tc>
      </w:tr>
      <w:tr w:rsidR="001B257F" w:rsidRPr="001B7979" w:rsidTr="0035718D">
        <w:tc>
          <w:tcPr>
            <w:tcW w:w="1276" w:type="dxa"/>
            <w:vAlign w:val="center"/>
          </w:tcPr>
          <w:p w:rsidR="001B257F" w:rsidRPr="001B7979" w:rsidRDefault="001B257F" w:rsidP="0035718D">
            <w:pPr>
              <w:spacing w:before="29" w:line="288" w:lineRule="auto"/>
              <w:jc w:val="center"/>
              <w:rPr>
                <w:color w:val="000000"/>
                <w:kern w:val="0"/>
                <w:sz w:val="24"/>
              </w:rPr>
            </w:pPr>
            <w:r w:rsidRPr="001B7979">
              <w:rPr>
                <w:sz w:val="24"/>
              </w:rPr>
              <w:t>合计</w:t>
            </w:r>
          </w:p>
        </w:tc>
        <w:tc>
          <w:tcPr>
            <w:tcW w:w="1711" w:type="dxa"/>
            <w:vAlign w:val="center"/>
          </w:tcPr>
          <w:p w:rsidR="001B257F" w:rsidRPr="001B7979" w:rsidRDefault="001B257F" w:rsidP="0035718D">
            <w:pPr>
              <w:autoSpaceDE w:val="0"/>
              <w:autoSpaceDN w:val="0"/>
              <w:adjustRightInd w:val="0"/>
              <w:spacing w:before="29" w:line="288" w:lineRule="auto"/>
              <w:ind w:left="15"/>
              <w:jc w:val="center"/>
              <w:rPr>
                <w:color w:val="000000"/>
                <w:kern w:val="0"/>
                <w:sz w:val="24"/>
              </w:rPr>
            </w:pPr>
          </w:p>
        </w:tc>
        <w:tc>
          <w:tcPr>
            <w:tcW w:w="1494" w:type="dxa"/>
            <w:vAlign w:val="center"/>
          </w:tcPr>
          <w:p w:rsidR="001B257F" w:rsidRPr="001B7979" w:rsidRDefault="001B257F" w:rsidP="0035718D">
            <w:pPr>
              <w:autoSpaceDE w:val="0"/>
              <w:autoSpaceDN w:val="0"/>
              <w:adjustRightInd w:val="0"/>
              <w:spacing w:before="29" w:line="288" w:lineRule="auto"/>
              <w:ind w:left="15"/>
              <w:jc w:val="center"/>
              <w:rPr>
                <w:color w:val="000000"/>
                <w:kern w:val="0"/>
                <w:sz w:val="24"/>
              </w:rPr>
            </w:pPr>
          </w:p>
        </w:tc>
        <w:tc>
          <w:tcPr>
            <w:tcW w:w="1255" w:type="dxa"/>
            <w:vAlign w:val="center"/>
          </w:tcPr>
          <w:p w:rsidR="001B257F" w:rsidRPr="001B7979" w:rsidRDefault="001B257F" w:rsidP="0035718D">
            <w:pPr>
              <w:autoSpaceDE w:val="0"/>
              <w:autoSpaceDN w:val="0"/>
              <w:adjustRightInd w:val="0"/>
              <w:spacing w:before="29" w:line="288" w:lineRule="auto"/>
              <w:ind w:left="15"/>
              <w:jc w:val="right"/>
              <w:rPr>
                <w:color w:val="000000"/>
                <w:kern w:val="0"/>
                <w:sz w:val="24"/>
              </w:rPr>
            </w:pPr>
          </w:p>
        </w:tc>
        <w:tc>
          <w:tcPr>
            <w:tcW w:w="1434" w:type="dxa"/>
            <w:vAlign w:val="center"/>
          </w:tcPr>
          <w:p w:rsidR="001B257F" w:rsidRPr="001B7979" w:rsidRDefault="001B257F" w:rsidP="0035718D">
            <w:pPr>
              <w:spacing w:before="29" w:line="288" w:lineRule="auto"/>
              <w:jc w:val="right"/>
              <w:rPr>
                <w:sz w:val="24"/>
              </w:rPr>
            </w:pPr>
            <w:r w:rsidRPr="001B7979">
              <w:rPr>
                <w:sz w:val="24"/>
              </w:rPr>
              <w:t>3,525,000</w:t>
            </w:r>
          </w:p>
        </w:tc>
        <w:tc>
          <w:tcPr>
            <w:tcW w:w="1828" w:type="dxa"/>
            <w:vAlign w:val="center"/>
          </w:tcPr>
          <w:p w:rsidR="001B257F" w:rsidRPr="001B7979" w:rsidRDefault="001B257F" w:rsidP="0035718D">
            <w:pPr>
              <w:spacing w:before="29" w:line="288" w:lineRule="auto"/>
              <w:jc w:val="right"/>
              <w:rPr>
                <w:sz w:val="24"/>
              </w:rPr>
            </w:pPr>
            <w:r w:rsidRPr="001B7979">
              <w:rPr>
                <w:sz w:val="24"/>
              </w:rPr>
              <w:t>352,889,380.00</w:t>
            </w:r>
          </w:p>
        </w:tc>
      </w:tr>
    </w:tbl>
    <w:p w:rsidR="001B257F" w:rsidRPr="001B7979" w:rsidRDefault="001B257F" w:rsidP="001B257F">
      <w:pPr>
        <w:spacing w:before="29" w:line="288" w:lineRule="auto"/>
        <w:rPr>
          <w:color w:val="000000"/>
          <w:sz w:val="24"/>
        </w:rPr>
      </w:pPr>
    </w:p>
    <w:p w:rsidR="001B257F" w:rsidRPr="001B7979" w:rsidRDefault="001B257F" w:rsidP="001B257F">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Default="001B257F" w:rsidP="00571B8A">
      <w:pPr>
        <w:spacing w:before="29" w:line="288" w:lineRule="auto"/>
        <w:rPr>
          <w:kern w:val="0"/>
          <w:sz w:val="24"/>
        </w:rPr>
      </w:pPr>
      <w:r w:rsidRPr="001B7979">
        <w:rPr>
          <w:kern w:val="0"/>
          <w:sz w:val="24"/>
        </w:rPr>
        <w:t>本基金本报告期末无从事交易所债券正回购交易形成的卖出回购证券款余额。</w:t>
      </w:r>
    </w:p>
    <w:p w:rsidR="00A53850" w:rsidRPr="001B7979" w:rsidRDefault="00A53850" w:rsidP="00571B8A">
      <w:pPr>
        <w:spacing w:before="29" w:line="288" w:lineRule="auto"/>
        <w:rPr>
          <w:rFonts w:hint="eastAsia"/>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39056C" w:rsidRDefault="005409C6">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39056C" w:rsidRDefault="005409C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9056C" w:rsidRDefault="005409C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39056C" w:rsidRDefault="005409C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9056C" w:rsidRDefault="005409C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70,074,000.00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540,933,000.00</w:t>
            </w:r>
          </w:p>
        </w:tc>
        <w:tc>
          <w:tcPr>
            <w:tcW w:w="3247" w:type="dxa"/>
            <w:vAlign w:val="center"/>
          </w:tcPr>
          <w:p w:rsidR="001548F9" w:rsidRPr="001B7979" w:rsidRDefault="001548F9" w:rsidP="00571B8A">
            <w:pPr>
              <w:spacing w:before="29" w:line="288" w:lineRule="auto"/>
              <w:jc w:val="right"/>
              <w:rPr>
                <w:sz w:val="24"/>
              </w:rPr>
            </w:pPr>
            <w:r w:rsidRPr="001B7979">
              <w:rPr>
                <w:sz w:val="24"/>
              </w:rPr>
              <w:t>40,128,000.00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611,007,000.00</w:t>
            </w:r>
          </w:p>
        </w:tc>
        <w:tc>
          <w:tcPr>
            <w:tcW w:w="3247" w:type="dxa"/>
            <w:vAlign w:val="center"/>
          </w:tcPr>
          <w:p w:rsidR="001548F9" w:rsidRPr="001B7979" w:rsidRDefault="001548F9" w:rsidP="00571B8A">
            <w:pPr>
              <w:spacing w:before="29" w:line="288" w:lineRule="auto"/>
              <w:jc w:val="right"/>
              <w:rPr>
                <w:sz w:val="24"/>
              </w:rPr>
            </w:pPr>
            <w:r w:rsidRPr="001B7979">
              <w:rPr>
                <w:sz w:val="24"/>
              </w:rPr>
              <w:t>40,128,000.00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111,534,000.00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531,111,000.00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100,127,000.00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742,772,000.00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39056C" w:rsidRDefault="005409C6">
      <w:pPr>
        <w:spacing w:before="29" w:line="288" w:lineRule="auto"/>
        <w:ind w:firstLineChars="200" w:firstLine="480"/>
        <w:rPr>
          <w:kern w:val="0"/>
          <w:sz w:val="24"/>
        </w:rPr>
      </w:pPr>
      <w:r>
        <w:rPr>
          <w:kern w:val="0"/>
          <w:sz w:val="24"/>
        </w:rPr>
        <w:t>流动性风险是指基金在履行与金融负债有关的义务时遇到资金短缺的风险。本基金</w:t>
      </w:r>
      <w:r>
        <w:rPr>
          <w:kern w:val="0"/>
          <w:sz w:val="24"/>
        </w:rPr>
        <w:lastRenderedPageBreak/>
        <w:t>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9056C" w:rsidRDefault="005409C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9056C" w:rsidRDefault="005409C6">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331,179,106.35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39056C" w:rsidRPr="00A53850" w:rsidRDefault="005409C6" w:rsidP="00A53850">
      <w:pPr>
        <w:spacing w:before="29" w:line="288" w:lineRule="auto"/>
        <w:ind w:firstLineChars="200" w:firstLine="480"/>
        <w:rPr>
          <w:kern w:val="0"/>
          <w:sz w:val="24"/>
        </w:rPr>
      </w:pPr>
      <w:r w:rsidRPr="00A53850">
        <w:rPr>
          <w:kern w:val="0"/>
          <w:sz w:val="24"/>
        </w:rPr>
        <w:t>本基金的基金管理人在基金运作过程中严格按照《公开募集证券投资基金运作管理办法》及《公开募集开放式证券投资基金流动性风险管理规定》</w:t>
      </w:r>
      <w:r w:rsidRPr="00A53850">
        <w:rPr>
          <w:kern w:val="0"/>
          <w:sz w:val="24"/>
        </w:rPr>
        <w:t>(</w:t>
      </w:r>
      <w:r w:rsidRPr="00A53850">
        <w:rPr>
          <w:kern w:val="0"/>
          <w:sz w:val="24"/>
        </w:rPr>
        <w:t>自</w:t>
      </w:r>
      <w:r w:rsidRPr="00A53850">
        <w:rPr>
          <w:kern w:val="0"/>
          <w:sz w:val="24"/>
        </w:rPr>
        <w:t>2017</w:t>
      </w:r>
      <w:r w:rsidRPr="00A53850">
        <w:rPr>
          <w:kern w:val="0"/>
          <w:sz w:val="24"/>
        </w:rPr>
        <w:t>年</w:t>
      </w:r>
      <w:r w:rsidRPr="00A53850">
        <w:rPr>
          <w:kern w:val="0"/>
          <w:sz w:val="24"/>
        </w:rPr>
        <w:t>10</w:t>
      </w:r>
      <w:r w:rsidRPr="00A53850">
        <w:rPr>
          <w:kern w:val="0"/>
          <w:sz w:val="24"/>
        </w:rPr>
        <w:t>月</w:t>
      </w:r>
      <w:r w:rsidRPr="00A53850">
        <w:rPr>
          <w:kern w:val="0"/>
          <w:sz w:val="24"/>
        </w:rPr>
        <w:t>1</w:t>
      </w:r>
      <w:r w:rsidRPr="00A53850">
        <w:rPr>
          <w:kern w:val="0"/>
          <w:sz w:val="24"/>
        </w:rPr>
        <w:t>日起施行</w:t>
      </w:r>
      <w:r w:rsidRPr="00A53850">
        <w:rPr>
          <w:kern w:val="0"/>
          <w:sz w:val="24"/>
        </w:rPr>
        <w:t>)</w:t>
      </w:r>
      <w:r w:rsidRPr="00A53850">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9056C" w:rsidRPr="00A53850" w:rsidRDefault="005409C6" w:rsidP="00A53850">
      <w:pPr>
        <w:spacing w:before="29" w:line="288" w:lineRule="auto"/>
        <w:ind w:firstLineChars="200" w:firstLine="480"/>
        <w:rPr>
          <w:kern w:val="0"/>
          <w:sz w:val="24"/>
        </w:rPr>
      </w:pPr>
      <w:r w:rsidRPr="00A53850">
        <w:rPr>
          <w:kern w:val="0"/>
          <w:sz w:val="24"/>
        </w:rPr>
        <w:t>本基金投资于一家公司发行的证券市值不超过基金资产净值的</w:t>
      </w:r>
      <w:r w:rsidRPr="00A53850">
        <w:rPr>
          <w:kern w:val="0"/>
          <w:sz w:val="24"/>
        </w:rPr>
        <w:t>10%</w:t>
      </w:r>
      <w:r w:rsidRPr="00A53850">
        <w:rPr>
          <w:kern w:val="0"/>
          <w:sz w:val="24"/>
        </w:rPr>
        <w:t>，且本基金与由本基金的基金管理人管理的其他基金共同持有一家公司发行的证券不得超过该证券的</w:t>
      </w:r>
      <w:r w:rsidRPr="00A53850">
        <w:rPr>
          <w:kern w:val="0"/>
          <w:sz w:val="24"/>
        </w:rPr>
        <w:t>10%</w:t>
      </w:r>
      <w:r w:rsidRPr="00A53850">
        <w:rPr>
          <w:kern w:val="0"/>
          <w:sz w:val="24"/>
        </w:rPr>
        <w:t>。本基金与由本基金的基金管理人管理的其他开放式基金共同持有一家上市公司发行的可流通股票不得超过该上市公司可流通股票的</w:t>
      </w:r>
      <w:r w:rsidRPr="00A53850">
        <w:rPr>
          <w:kern w:val="0"/>
          <w:sz w:val="24"/>
        </w:rPr>
        <w:t>15%</w:t>
      </w:r>
      <w:r w:rsidRPr="00A53850">
        <w:rPr>
          <w:kern w:val="0"/>
          <w:sz w:val="24"/>
        </w:rPr>
        <w:t>，本基金与由本基金的基金管理人管理的全部投资组合持有一家上市公司发行的可流通股票，不得超过该上市公司可流通股票的</w:t>
      </w:r>
      <w:r w:rsidRPr="00A53850">
        <w:rPr>
          <w:kern w:val="0"/>
          <w:sz w:val="24"/>
        </w:rPr>
        <w:t>30%(</w:t>
      </w:r>
      <w:r w:rsidRPr="00A53850">
        <w:rPr>
          <w:kern w:val="0"/>
          <w:sz w:val="24"/>
        </w:rPr>
        <w:t>完全按照有关指数构成比例进行证券投资的开放式基金及中国证监会认定的特殊投资组合不受该比例限制</w:t>
      </w:r>
      <w:r w:rsidRPr="00A53850">
        <w:rPr>
          <w:kern w:val="0"/>
          <w:sz w:val="24"/>
        </w:rPr>
        <w:t>)</w:t>
      </w:r>
      <w:r w:rsidRPr="00A53850">
        <w:rPr>
          <w:kern w:val="0"/>
          <w:sz w:val="24"/>
        </w:rPr>
        <w:t>。</w:t>
      </w:r>
    </w:p>
    <w:p w:rsidR="0039056C" w:rsidRPr="00A53850" w:rsidRDefault="005409C6" w:rsidP="00A53850">
      <w:pPr>
        <w:spacing w:before="29" w:line="288" w:lineRule="auto"/>
        <w:ind w:firstLineChars="200" w:firstLine="480"/>
        <w:rPr>
          <w:kern w:val="0"/>
          <w:sz w:val="24"/>
        </w:rPr>
      </w:pPr>
      <w:r w:rsidRPr="00A53850">
        <w:rPr>
          <w:kern w:val="0"/>
          <w:sz w:val="24"/>
        </w:rPr>
        <w:t>本基金所持部分证券在证券交易所上市，其余亦可在银行间同业市场交易，部分基金资产流通暂时受限制不能自由转让的情况参见附注</w:t>
      </w:r>
      <w:r w:rsidRPr="00A53850">
        <w:rPr>
          <w:kern w:val="0"/>
          <w:sz w:val="24"/>
        </w:rPr>
        <w:t>6.4.12</w:t>
      </w:r>
      <w:r w:rsidRPr="00A53850">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A53850">
        <w:rPr>
          <w:kern w:val="0"/>
          <w:sz w:val="24"/>
        </w:rPr>
        <w:t>15%</w:t>
      </w:r>
      <w:r w:rsidRPr="00A53850">
        <w:rPr>
          <w:kern w:val="0"/>
          <w:sz w:val="24"/>
        </w:rPr>
        <w:t>。</w:t>
      </w:r>
    </w:p>
    <w:p w:rsidR="0039056C" w:rsidRPr="00A53850" w:rsidRDefault="005409C6" w:rsidP="00A53850">
      <w:pPr>
        <w:spacing w:before="29" w:line="288" w:lineRule="auto"/>
        <w:ind w:firstLineChars="200" w:firstLine="480"/>
        <w:rPr>
          <w:kern w:val="0"/>
          <w:sz w:val="24"/>
        </w:rPr>
      </w:pPr>
      <w:r w:rsidRPr="00A53850">
        <w:rPr>
          <w:kern w:val="0"/>
          <w:sz w:val="24"/>
        </w:rPr>
        <w:t>本基金的基金管理人每日对基金组合资产中</w:t>
      </w:r>
      <w:r w:rsidRPr="00A53850">
        <w:rPr>
          <w:kern w:val="0"/>
          <w:sz w:val="24"/>
        </w:rPr>
        <w:t>7</w:t>
      </w:r>
      <w:r w:rsidRPr="00A53850">
        <w:rPr>
          <w:kern w:val="0"/>
          <w:sz w:val="24"/>
        </w:rPr>
        <w:t>个工作日可变现资产的可变现价值进行审慎评估与测算，确保每日确认的净赎回申请不得超过</w:t>
      </w:r>
      <w:r w:rsidRPr="00A53850">
        <w:rPr>
          <w:kern w:val="0"/>
          <w:sz w:val="24"/>
        </w:rPr>
        <w:t>7</w:t>
      </w:r>
      <w:r w:rsidRPr="00A53850">
        <w:rPr>
          <w:kern w:val="0"/>
          <w:sz w:val="24"/>
        </w:rPr>
        <w:t>个工作日可变现资产的可变现价值。</w:t>
      </w:r>
    </w:p>
    <w:p w:rsidR="0039056C" w:rsidRPr="00A53850" w:rsidRDefault="005409C6" w:rsidP="00A53850">
      <w:pPr>
        <w:spacing w:before="29" w:line="288" w:lineRule="auto"/>
        <w:ind w:firstLineChars="200" w:firstLine="480"/>
        <w:rPr>
          <w:kern w:val="0"/>
          <w:sz w:val="24"/>
        </w:rPr>
      </w:pPr>
      <w:r w:rsidRPr="00A53850">
        <w:rPr>
          <w:kern w:val="0"/>
          <w:sz w:val="24"/>
        </w:rPr>
        <w:t>同时，本基金的基金管理人通过合理分散逆回购交易的到期日与交易对手的集中度；</w:t>
      </w:r>
      <w:r w:rsidRPr="00A53850">
        <w:rPr>
          <w:kern w:val="0"/>
          <w:sz w:val="24"/>
        </w:rPr>
        <w:lastRenderedPageBreak/>
        <w:t>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A53850" w:rsidRDefault="00816E9F" w:rsidP="00A53850">
      <w:pPr>
        <w:spacing w:before="29" w:line="288" w:lineRule="auto"/>
        <w:ind w:firstLineChars="200" w:firstLine="480"/>
        <w:rPr>
          <w:kern w:val="0"/>
          <w:sz w:val="24"/>
        </w:rPr>
      </w:pPr>
      <w:r w:rsidRPr="00A53850">
        <w:rPr>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39056C" w:rsidRDefault="005409C6">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9056C" w:rsidRDefault="005409C6">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39056C">
        <w:tc>
          <w:tcPr>
            <w:tcW w:w="1518" w:type="dxa"/>
            <w:vAlign w:val="center"/>
          </w:tcPr>
          <w:p w:rsidR="0039056C" w:rsidRDefault="005409C6">
            <w:pPr>
              <w:jc w:val="left"/>
            </w:pPr>
            <w:r>
              <w:rPr>
                <w:color w:val="000000"/>
                <w:sz w:val="18"/>
                <w:szCs w:val="18"/>
              </w:rPr>
              <w:t>银行存款</w:t>
            </w:r>
          </w:p>
        </w:tc>
        <w:tc>
          <w:tcPr>
            <w:tcW w:w="1627" w:type="dxa"/>
            <w:vAlign w:val="center"/>
          </w:tcPr>
          <w:p w:rsidR="0039056C" w:rsidRDefault="005409C6">
            <w:pPr>
              <w:jc w:val="left"/>
            </w:pPr>
            <w:r>
              <w:rPr>
                <w:color w:val="000000"/>
                <w:sz w:val="18"/>
                <w:szCs w:val="18"/>
              </w:rPr>
              <w:t>1,228,486.29</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w:t>
            </w:r>
          </w:p>
        </w:tc>
        <w:tc>
          <w:tcPr>
            <w:tcW w:w="1446" w:type="dxa"/>
            <w:vAlign w:val="center"/>
          </w:tcPr>
          <w:p w:rsidR="0039056C" w:rsidRDefault="005409C6">
            <w:pPr>
              <w:jc w:val="left"/>
            </w:pPr>
            <w:r>
              <w:rPr>
                <w:color w:val="000000"/>
                <w:sz w:val="18"/>
                <w:szCs w:val="18"/>
              </w:rPr>
              <w:t>1,228,486.29</w:t>
            </w:r>
          </w:p>
        </w:tc>
      </w:tr>
      <w:tr w:rsidR="0039056C">
        <w:tc>
          <w:tcPr>
            <w:tcW w:w="1518" w:type="dxa"/>
            <w:vAlign w:val="center"/>
          </w:tcPr>
          <w:p w:rsidR="0039056C" w:rsidRDefault="005409C6">
            <w:pPr>
              <w:jc w:val="left"/>
            </w:pPr>
            <w:r>
              <w:rPr>
                <w:color w:val="000000"/>
                <w:sz w:val="18"/>
                <w:szCs w:val="18"/>
              </w:rPr>
              <w:t>存出保证金</w:t>
            </w:r>
          </w:p>
        </w:tc>
        <w:tc>
          <w:tcPr>
            <w:tcW w:w="1627" w:type="dxa"/>
            <w:vAlign w:val="center"/>
          </w:tcPr>
          <w:p w:rsidR="0039056C" w:rsidRDefault="005409C6">
            <w:pPr>
              <w:jc w:val="left"/>
            </w:pPr>
            <w:r>
              <w:rPr>
                <w:color w:val="000000"/>
                <w:sz w:val="18"/>
                <w:szCs w:val="18"/>
              </w:rPr>
              <w:t>250.55</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w:t>
            </w:r>
          </w:p>
        </w:tc>
        <w:tc>
          <w:tcPr>
            <w:tcW w:w="1446" w:type="dxa"/>
            <w:vAlign w:val="center"/>
          </w:tcPr>
          <w:p w:rsidR="0039056C" w:rsidRDefault="005409C6">
            <w:pPr>
              <w:jc w:val="left"/>
            </w:pPr>
            <w:r>
              <w:rPr>
                <w:color w:val="000000"/>
                <w:sz w:val="18"/>
                <w:szCs w:val="18"/>
              </w:rPr>
              <w:t>250.55</w:t>
            </w:r>
          </w:p>
        </w:tc>
      </w:tr>
      <w:tr w:rsidR="0039056C">
        <w:tc>
          <w:tcPr>
            <w:tcW w:w="1518" w:type="dxa"/>
            <w:vAlign w:val="center"/>
          </w:tcPr>
          <w:p w:rsidR="0039056C" w:rsidRDefault="005409C6">
            <w:pPr>
              <w:jc w:val="left"/>
            </w:pPr>
            <w:r>
              <w:rPr>
                <w:color w:val="000000"/>
                <w:sz w:val="18"/>
                <w:szCs w:val="18"/>
              </w:rPr>
              <w:t>交易性金融资产</w:t>
            </w:r>
          </w:p>
        </w:tc>
        <w:tc>
          <w:tcPr>
            <w:tcW w:w="1627" w:type="dxa"/>
            <w:vAlign w:val="center"/>
          </w:tcPr>
          <w:p w:rsidR="0039056C" w:rsidRDefault="005409C6">
            <w:pPr>
              <w:jc w:val="left"/>
            </w:pPr>
            <w:r>
              <w:rPr>
                <w:color w:val="000000"/>
                <w:sz w:val="18"/>
                <w:szCs w:val="18"/>
              </w:rPr>
              <w:t>783,308,000.00</w:t>
            </w:r>
          </w:p>
        </w:tc>
        <w:tc>
          <w:tcPr>
            <w:tcW w:w="1627" w:type="dxa"/>
            <w:vAlign w:val="center"/>
          </w:tcPr>
          <w:p w:rsidR="0039056C" w:rsidRDefault="005409C6">
            <w:pPr>
              <w:jc w:val="left"/>
            </w:pPr>
            <w:r>
              <w:rPr>
                <w:color w:val="000000"/>
                <w:sz w:val="18"/>
                <w:szCs w:val="18"/>
              </w:rPr>
              <w:t>490,352,000.00</w:t>
            </w:r>
          </w:p>
        </w:tc>
        <w:tc>
          <w:tcPr>
            <w:tcW w:w="1491" w:type="dxa"/>
            <w:vAlign w:val="center"/>
          </w:tcPr>
          <w:p w:rsidR="0039056C" w:rsidRDefault="005409C6">
            <w:pPr>
              <w:jc w:val="left"/>
            </w:pPr>
            <w:r>
              <w:rPr>
                <w:color w:val="000000"/>
                <w:sz w:val="18"/>
                <w:szCs w:val="18"/>
              </w:rPr>
              <w:t>80,119,000.00</w:t>
            </w:r>
          </w:p>
        </w:tc>
        <w:tc>
          <w:tcPr>
            <w:tcW w:w="1289" w:type="dxa"/>
            <w:vAlign w:val="center"/>
          </w:tcPr>
          <w:p w:rsidR="0039056C" w:rsidRDefault="005409C6">
            <w:pPr>
              <w:jc w:val="left"/>
            </w:pPr>
            <w:r>
              <w:rPr>
                <w:color w:val="000000"/>
                <w:sz w:val="18"/>
                <w:szCs w:val="18"/>
              </w:rPr>
              <w:t>-</w:t>
            </w:r>
          </w:p>
        </w:tc>
        <w:tc>
          <w:tcPr>
            <w:tcW w:w="1446" w:type="dxa"/>
            <w:vAlign w:val="center"/>
          </w:tcPr>
          <w:p w:rsidR="0039056C" w:rsidRDefault="005409C6">
            <w:pPr>
              <w:jc w:val="left"/>
            </w:pPr>
            <w:r>
              <w:rPr>
                <w:color w:val="000000"/>
                <w:sz w:val="18"/>
                <w:szCs w:val="18"/>
              </w:rPr>
              <w:t>1,353,779,000.00</w:t>
            </w:r>
          </w:p>
        </w:tc>
      </w:tr>
      <w:tr w:rsidR="0039056C">
        <w:tc>
          <w:tcPr>
            <w:tcW w:w="1518" w:type="dxa"/>
            <w:vAlign w:val="center"/>
          </w:tcPr>
          <w:p w:rsidR="0039056C" w:rsidRDefault="005409C6">
            <w:pPr>
              <w:jc w:val="left"/>
            </w:pPr>
            <w:r>
              <w:rPr>
                <w:color w:val="000000"/>
                <w:sz w:val="18"/>
                <w:szCs w:val="18"/>
              </w:rPr>
              <w:t>应收利息</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16,898,257.82</w:t>
            </w:r>
          </w:p>
        </w:tc>
        <w:tc>
          <w:tcPr>
            <w:tcW w:w="1446" w:type="dxa"/>
            <w:vAlign w:val="center"/>
          </w:tcPr>
          <w:p w:rsidR="0039056C" w:rsidRDefault="005409C6">
            <w:pPr>
              <w:jc w:val="left"/>
            </w:pPr>
            <w:r>
              <w:rPr>
                <w:color w:val="000000"/>
                <w:sz w:val="18"/>
                <w:szCs w:val="18"/>
              </w:rPr>
              <w:t>16,898,257.82</w:t>
            </w:r>
          </w:p>
        </w:tc>
      </w:tr>
      <w:tr w:rsidR="0039056C">
        <w:tc>
          <w:tcPr>
            <w:tcW w:w="1518" w:type="dxa"/>
            <w:vAlign w:val="center"/>
          </w:tcPr>
          <w:p w:rsidR="0039056C" w:rsidRDefault="005409C6">
            <w:pPr>
              <w:jc w:val="left"/>
            </w:pPr>
            <w:r>
              <w:rPr>
                <w:color w:val="000000"/>
                <w:sz w:val="18"/>
                <w:szCs w:val="18"/>
              </w:rPr>
              <w:t>应收申购款</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9,759.28</w:t>
            </w:r>
          </w:p>
        </w:tc>
        <w:tc>
          <w:tcPr>
            <w:tcW w:w="1446" w:type="dxa"/>
            <w:vAlign w:val="center"/>
          </w:tcPr>
          <w:p w:rsidR="0039056C" w:rsidRDefault="005409C6">
            <w:pPr>
              <w:jc w:val="left"/>
            </w:pPr>
            <w:r>
              <w:rPr>
                <w:color w:val="000000"/>
                <w:sz w:val="18"/>
                <w:szCs w:val="18"/>
              </w:rPr>
              <w:t>9,759.28</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784,536,736.84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490,352,000.00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80,119,000.00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16,908,017.10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1,371,915,753.94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lastRenderedPageBreak/>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39056C">
        <w:tc>
          <w:tcPr>
            <w:tcW w:w="1518" w:type="dxa"/>
            <w:vAlign w:val="center"/>
          </w:tcPr>
          <w:p w:rsidR="0039056C" w:rsidRDefault="005409C6">
            <w:pPr>
              <w:jc w:val="left"/>
            </w:pPr>
            <w:r>
              <w:rPr>
                <w:color w:val="000000"/>
                <w:sz w:val="18"/>
                <w:szCs w:val="18"/>
              </w:rPr>
              <w:t>卖出回购金融资产款</w:t>
            </w:r>
          </w:p>
        </w:tc>
        <w:tc>
          <w:tcPr>
            <w:tcW w:w="1627" w:type="dxa"/>
            <w:vAlign w:val="center"/>
          </w:tcPr>
          <w:p w:rsidR="0039056C" w:rsidRDefault="005409C6">
            <w:pPr>
              <w:jc w:val="left"/>
            </w:pPr>
            <w:r>
              <w:rPr>
                <w:color w:val="000000"/>
                <w:sz w:val="18"/>
                <w:szCs w:val="18"/>
              </w:rPr>
              <w:t>331,179,106.35</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w:t>
            </w:r>
          </w:p>
        </w:tc>
        <w:tc>
          <w:tcPr>
            <w:tcW w:w="1446" w:type="dxa"/>
            <w:vAlign w:val="center"/>
          </w:tcPr>
          <w:p w:rsidR="0039056C" w:rsidRDefault="005409C6">
            <w:pPr>
              <w:jc w:val="left"/>
            </w:pPr>
            <w:r>
              <w:rPr>
                <w:color w:val="000000"/>
                <w:sz w:val="18"/>
                <w:szCs w:val="18"/>
              </w:rPr>
              <w:t>331,179,106.35</w:t>
            </w:r>
          </w:p>
        </w:tc>
      </w:tr>
      <w:tr w:rsidR="0039056C">
        <w:tc>
          <w:tcPr>
            <w:tcW w:w="1518" w:type="dxa"/>
            <w:vAlign w:val="center"/>
          </w:tcPr>
          <w:p w:rsidR="0039056C" w:rsidRDefault="005409C6">
            <w:pPr>
              <w:jc w:val="left"/>
            </w:pPr>
            <w:r>
              <w:rPr>
                <w:color w:val="000000"/>
                <w:sz w:val="18"/>
                <w:szCs w:val="18"/>
              </w:rPr>
              <w:t>应付赎回款</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169,630.44</w:t>
            </w:r>
          </w:p>
        </w:tc>
        <w:tc>
          <w:tcPr>
            <w:tcW w:w="1446" w:type="dxa"/>
            <w:vAlign w:val="center"/>
          </w:tcPr>
          <w:p w:rsidR="0039056C" w:rsidRDefault="005409C6">
            <w:pPr>
              <w:jc w:val="left"/>
            </w:pPr>
            <w:r>
              <w:rPr>
                <w:color w:val="000000"/>
                <w:sz w:val="18"/>
                <w:szCs w:val="18"/>
              </w:rPr>
              <w:t>169,630.44</w:t>
            </w:r>
          </w:p>
        </w:tc>
      </w:tr>
      <w:tr w:rsidR="0039056C">
        <w:tc>
          <w:tcPr>
            <w:tcW w:w="1518" w:type="dxa"/>
            <w:vAlign w:val="center"/>
          </w:tcPr>
          <w:p w:rsidR="0039056C" w:rsidRDefault="005409C6">
            <w:pPr>
              <w:jc w:val="left"/>
            </w:pPr>
            <w:r>
              <w:rPr>
                <w:color w:val="000000"/>
                <w:sz w:val="18"/>
                <w:szCs w:val="18"/>
              </w:rPr>
              <w:t>应付管理人报酬</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256,046.24</w:t>
            </w:r>
          </w:p>
        </w:tc>
        <w:tc>
          <w:tcPr>
            <w:tcW w:w="1446" w:type="dxa"/>
            <w:vAlign w:val="center"/>
          </w:tcPr>
          <w:p w:rsidR="0039056C" w:rsidRDefault="005409C6">
            <w:pPr>
              <w:jc w:val="left"/>
            </w:pPr>
            <w:r>
              <w:rPr>
                <w:color w:val="000000"/>
                <w:sz w:val="18"/>
                <w:szCs w:val="18"/>
              </w:rPr>
              <w:t>256,046.24</w:t>
            </w:r>
          </w:p>
        </w:tc>
      </w:tr>
      <w:tr w:rsidR="0039056C">
        <w:tc>
          <w:tcPr>
            <w:tcW w:w="1518" w:type="dxa"/>
            <w:vAlign w:val="center"/>
          </w:tcPr>
          <w:p w:rsidR="0039056C" w:rsidRDefault="005409C6">
            <w:pPr>
              <w:jc w:val="left"/>
            </w:pPr>
            <w:r>
              <w:rPr>
                <w:color w:val="000000"/>
                <w:sz w:val="18"/>
                <w:szCs w:val="18"/>
              </w:rPr>
              <w:t>应付托管费</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85,348.78</w:t>
            </w:r>
          </w:p>
        </w:tc>
        <w:tc>
          <w:tcPr>
            <w:tcW w:w="1446" w:type="dxa"/>
            <w:vAlign w:val="center"/>
          </w:tcPr>
          <w:p w:rsidR="0039056C" w:rsidRDefault="005409C6">
            <w:pPr>
              <w:jc w:val="left"/>
            </w:pPr>
            <w:r>
              <w:rPr>
                <w:color w:val="000000"/>
                <w:sz w:val="18"/>
                <w:szCs w:val="18"/>
              </w:rPr>
              <w:t>85,348.78</w:t>
            </w:r>
          </w:p>
        </w:tc>
      </w:tr>
      <w:tr w:rsidR="0039056C">
        <w:tc>
          <w:tcPr>
            <w:tcW w:w="1518" w:type="dxa"/>
            <w:vAlign w:val="center"/>
          </w:tcPr>
          <w:p w:rsidR="0039056C" w:rsidRDefault="005409C6">
            <w:pPr>
              <w:jc w:val="left"/>
            </w:pPr>
            <w:r>
              <w:rPr>
                <w:color w:val="000000"/>
                <w:sz w:val="18"/>
                <w:szCs w:val="18"/>
              </w:rPr>
              <w:t>应付销售服务费</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3,545.34</w:t>
            </w:r>
          </w:p>
        </w:tc>
        <w:tc>
          <w:tcPr>
            <w:tcW w:w="1446" w:type="dxa"/>
            <w:vAlign w:val="center"/>
          </w:tcPr>
          <w:p w:rsidR="0039056C" w:rsidRDefault="005409C6">
            <w:pPr>
              <w:jc w:val="left"/>
            </w:pPr>
            <w:r>
              <w:rPr>
                <w:color w:val="000000"/>
                <w:sz w:val="18"/>
                <w:szCs w:val="18"/>
              </w:rPr>
              <w:t>3,545.34</w:t>
            </w:r>
          </w:p>
        </w:tc>
      </w:tr>
      <w:tr w:rsidR="0039056C">
        <w:tc>
          <w:tcPr>
            <w:tcW w:w="1518" w:type="dxa"/>
            <w:vAlign w:val="center"/>
          </w:tcPr>
          <w:p w:rsidR="0039056C" w:rsidRDefault="005409C6">
            <w:pPr>
              <w:jc w:val="left"/>
            </w:pPr>
            <w:r>
              <w:rPr>
                <w:color w:val="000000"/>
                <w:sz w:val="18"/>
                <w:szCs w:val="18"/>
              </w:rPr>
              <w:t>应付交易费用</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24,111.94</w:t>
            </w:r>
          </w:p>
        </w:tc>
        <w:tc>
          <w:tcPr>
            <w:tcW w:w="1446" w:type="dxa"/>
            <w:vAlign w:val="center"/>
          </w:tcPr>
          <w:p w:rsidR="0039056C" w:rsidRDefault="005409C6">
            <w:pPr>
              <w:jc w:val="left"/>
            </w:pPr>
            <w:r>
              <w:rPr>
                <w:color w:val="000000"/>
                <w:sz w:val="18"/>
                <w:szCs w:val="18"/>
              </w:rPr>
              <w:t>24,111.94</w:t>
            </w:r>
          </w:p>
        </w:tc>
      </w:tr>
      <w:tr w:rsidR="0039056C">
        <w:tc>
          <w:tcPr>
            <w:tcW w:w="1518" w:type="dxa"/>
            <w:vAlign w:val="center"/>
          </w:tcPr>
          <w:p w:rsidR="0039056C" w:rsidRDefault="005409C6">
            <w:pPr>
              <w:jc w:val="left"/>
            </w:pPr>
            <w:r>
              <w:rPr>
                <w:color w:val="000000"/>
                <w:sz w:val="18"/>
                <w:szCs w:val="18"/>
              </w:rPr>
              <w:t>应交税费</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158,912.00</w:t>
            </w:r>
          </w:p>
        </w:tc>
        <w:tc>
          <w:tcPr>
            <w:tcW w:w="1446" w:type="dxa"/>
            <w:vAlign w:val="center"/>
          </w:tcPr>
          <w:p w:rsidR="0039056C" w:rsidRDefault="005409C6">
            <w:pPr>
              <w:jc w:val="left"/>
            </w:pPr>
            <w:r>
              <w:rPr>
                <w:color w:val="000000"/>
                <w:sz w:val="18"/>
                <w:szCs w:val="18"/>
              </w:rPr>
              <w:t>158,912.00</w:t>
            </w:r>
          </w:p>
        </w:tc>
      </w:tr>
      <w:tr w:rsidR="0039056C">
        <w:tc>
          <w:tcPr>
            <w:tcW w:w="1518" w:type="dxa"/>
            <w:vAlign w:val="center"/>
          </w:tcPr>
          <w:p w:rsidR="0039056C" w:rsidRDefault="005409C6">
            <w:pPr>
              <w:jc w:val="left"/>
            </w:pPr>
            <w:r>
              <w:rPr>
                <w:color w:val="000000"/>
                <w:sz w:val="18"/>
                <w:szCs w:val="18"/>
              </w:rPr>
              <w:t>应付利息</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68,260.94</w:t>
            </w:r>
          </w:p>
        </w:tc>
        <w:tc>
          <w:tcPr>
            <w:tcW w:w="1446" w:type="dxa"/>
            <w:vAlign w:val="center"/>
          </w:tcPr>
          <w:p w:rsidR="0039056C" w:rsidRDefault="005409C6">
            <w:pPr>
              <w:jc w:val="left"/>
            </w:pPr>
            <w:r>
              <w:rPr>
                <w:color w:val="000000"/>
                <w:sz w:val="18"/>
                <w:szCs w:val="18"/>
              </w:rPr>
              <w:t>68,260.94</w:t>
            </w:r>
          </w:p>
        </w:tc>
      </w:tr>
      <w:tr w:rsidR="0039056C">
        <w:tc>
          <w:tcPr>
            <w:tcW w:w="1518" w:type="dxa"/>
            <w:vAlign w:val="center"/>
          </w:tcPr>
          <w:p w:rsidR="0039056C" w:rsidRDefault="005409C6">
            <w:pPr>
              <w:jc w:val="left"/>
            </w:pPr>
            <w:r>
              <w:rPr>
                <w:color w:val="000000"/>
                <w:sz w:val="18"/>
                <w:szCs w:val="18"/>
              </w:rPr>
              <w:t>其他负债</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91,015.39</w:t>
            </w:r>
          </w:p>
        </w:tc>
        <w:tc>
          <w:tcPr>
            <w:tcW w:w="1446" w:type="dxa"/>
            <w:vAlign w:val="center"/>
          </w:tcPr>
          <w:p w:rsidR="0039056C" w:rsidRDefault="005409C6">
            <w:pPr>
              <w:jc w:val="left"/>
            </w:pPr>
            <w:r>
              <w:rPr>
                <w:color w:val="000000"/>
                <w:sz w:val="18"/>
                <w:szCs w:val="18"/>
              </w:rPr>
              <w:t>91,015.39</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331,179,106.35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856,871.07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332,035,977.42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453,357,630.49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490,352,000.00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80,119,000.00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16,051,146.03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1,039,879,776.52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39056C">
        <w:tc>
          <w:tcPr>
            <w:tcW w:w="1518" w:type="dxa"/>
            <w:vAlign w:val="center"/>
          </w:tcPr>
          <w:p w:rsidR="0039056C" w:rsidRDefault="005409C6">
            <w:pPr>
              <w:jc w:val="left"/>
            </w:pPr>
            <w:r>
              <w:rPr>
                <w:color w:val="000000"/>
                <w:sz w:val="18"/>
                <w:szCs w:val="18"/>
              </w:rPr>
              <w:t>银行存款</w:t>
            </w:r>
          </w:p>
        </w:tc>
        <w:tc>
          <w:tcPr>
            <w:tcW w:w="1627" w:type="dxa"/>
            <w:vAlign w:val="center"/>
          </w:tcPr>
          <w:p w:rsidR="0039056C" w:rsidRDefault="005409C6">
            <w:pPr>
              <w:jc w:val="left"/>
            </w:pPr>
            <w:r>
              <w:rPr>
                <w:color w:val="000000"/>
                <w:sz w:val="18"/>
                <w:szCs w:val="18"/>
              </w:rPr>
              <w:t>777,476.45</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w:t>
            </w:r>
          </w:p>
        </w:tc>
        <w:tc>
          <w:tcPr>
            <w:tcW w:w="1446" w:type="dxa"/>
            <w:vAlign w:val="center"/>
          </w:tcPr>
          <w:p w:rsidR="0039056C" w:rsidRDefault="005409C6">
            <w:pPr>
              <w:jc w:val="left"/>
            </w:pPr>
            <w:r>
              <w:rPr>
                <w:color w:val="000000"/>
                <w:sz w:val="18"/>
                <w:szCs w:val="18"/>
              </w:rPr>
              <w:t>777,476.45</w:t>
            </w:r>
          </w:p>
        </w:tc>
      </w:tr>
      <w:tr w:rsidR="0039056C">
        <w:tc>
          <w:tcPr>
            <w:tcW w:w="1518" w:type="dxa"/>
            <w:vAlign w:val="center"/>
          </w:tcPr>
          <w:p w:rsidR="0039056C" w:rsidRDefault="005409C6">
            <w:pPr>
              <w:jc w:val="left"/>
            </w:pPr>
            <w:r>
              <w:rPr>
                <w:color w:val="000000"/>
                <w:sz w:val="18"/>
                <w:szCs w:val="18"/>
              </w:rPr>
              <w:t>存出保证金</w:t>
            </w:r>
          </w:p>
        </w:tc>
        <w:tc>
          <w:tcPr>
            <w:tcW w:w="1627" w:type="dxa"/>
            <w:vAlign w:val="center"/>
          </w:tcPr>
          <w:p w:rsidR="0039056C" w:rsidRDefault="005409C6">
            <w:pPr>
              <w:jc w:val="left"/>
            </w:pPr>
            <w:r>
              <w:rPr>
                <w:color w:val="000000"/>
                <w:sz w:val="18"/>
                <w:szCs w:val="18"/>
              </w:rPr>
              <w:t>6,546.48</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w:t>
            </w:r>
          </w:p>
        </w:tc>
        <w:tc>
          <w:tcPr>
            <w:tcW w:w="1446" w:type="dxa"/>
            <w:vAlign w:val="center"/>
          </w:tcPr>
          <w:p w:rsidR="0039056C" w:rsidRDefault="005409C6">
            <w:pPr>
              <w:jc w:val="left"/>
            </w:pPr>
            <w:r>
              <w:rPr>
                <w:color w:val="000000"/>
                <w:sz w:val="18"/>
                <w:szCs w:val="18"/>
              </w:rPr>
              <w:t>6,546.48</w:t>
            </w:r>
          </w:p>
        </w:tc>
      </w:tr>
      <w:tr w:rsidR="0039056C">
        <w:tc>
          <w:tcPr>
            <w:tcW w:w="1518" w:type="dxa"/>
            <w:vAlign w:val="center"/>
          </w:tcPr>
          <w:p w:rsidR="0039056C" w:rsidRDefault="005409C6">
            <w:pPr>
              <w:jc w:val="left"/>
            </w:pPr>
            <w:r>
              <w:rPr>
                <w:color w:val="000000"/>
                <w:sz w:val="18"/>
                <w:szCs w:val="18"/>
              </w:rPr>
              <w:t>交易性金融资产</w:t>
            </w:r>
          </w:p>
        </w:tc>
        <w:tc>
          <w:tcPr>
            <w:tcW w:w="1627" w:type="dxa"/>
            <w:vAlign w:val="center"/>
          </w:tcPr>
          <w:p w:rsidR="0039056C" w:rsidRDefault="005409C6">
            <w:pPr>
              <w:jc w:val="left"/>
            </w:pPr>
            <w:r>
              <w:rPr>
                <w:color w:val="000000"/>
                <w:sz w:val="18"/>
                <w:szCs w:val="18"/>
              </w:rPr>
              <w:t>40,128,000.00</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w:t>
            </w:r>
          </w:p>
        </w:tc>
        <w:tc>
          <w:tcPr>
            <w:tcW w:w="1446" w:type="dxa"/>
            <w:vAlign w:val="center"/>
          </w:tcPr>
          <w:p w:rsidR="0039056C" w:rsidRDefault="005409C6">
            <w:pPr>
              <w:jc w:val="left"/>
            </w:pPr>
            <w:r>
              <w:rPr>
                <w:color w:val="000000"/>
                <w:sz w:val="18"/>
                <w:szCs w:val="18"/>
              </w:rPr>
              <w:t>40,128,000.00</w:t>
            </w:r>
          </w:p>
        </w:tc>
      </w:tr>
      <w:tr w:rsidR="0039056C">
        <w:tc>
          <w:tcPr>
            <w:tcW w:w="1518" w:type="dxa"/>
            <w:vAlign w:val="center"/>
          </w:tcPr>
          <w:p w:rsidR="0039056C" w:rsidRDefault="005409C6">
            <w:pPr>
              <w:jc w:val="left"/>
            </w:pPr>
            <w:r>
              <w:rPr>
                <w:color w:val="000000"/>
                <w:sz w:val="18"/>
                <w:szCs w:val="18"/>
              </w:rPr>
              <w:t>应收利息</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636,888.86</w:t>
            </w:r>
          </w:p>
        </w:tc>
        <w:tc>
          <w:tcPr>
            <w:tcW w:w="1446" w:type="dxa"/>
            <w:vAlign w:val="center"/>
          </w:tcPr>
          <w:p w:rsidR="0039056C" w:rsidRDefault="005409C6">
            <w:pPr>
              <w:jc w:val="left"/>
            </w:pPr>
            <w:r>
              <w:rPr>
                <w:color w:val="000000"/>
                <w:sz w:val="18"/>
                <w:szCs w:val="18"/>
              </w:rPr>
              <w:t>636,888.86</w:t>
            </w:r>
          </w:p>
        </w:tc>
      </w:tr>
      <w:tr w:rsidR="0039056C">
        <w:tc>
          <w:tcPr>
            <w:tcW w:w="1518" w:type="dxa"/>
            <w:vAlign w:val="center"/>
          </w:tcPr>
          <w:p w:rsidR="0039056C" w:rsidRDefault="005409C6">
            <w:pPr>
              <w:jc w:val="left"/>
            </w:pPr>
            <w:r>
              <w:rPr>
                <w:color w:val="000000"/>
                <w:sz w:val="18"/>
                <w:szCs w:val="18"/>
              </w:rPr>
              <w:t>应收申购款</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left"/>
            </w:pPr>
            <w:r>
              <w:rPr>
                <w:color w:val="000000"/>
                <w:sz w:val="18"/>
                <w:szCs w:val="18"/>
              </w:rPr>
              <w:t>30,104.94</w:t>
            </w:r>
          </w:p>
        </w:tc>
        <w:tc>
          <w:tcPr>
            <w:tcW w:w="1446" w:type="dxa"/>
            <w:vAlign w:val="center"/>
          </w:tcPr>
          <w:p w:rsidR="0039056C" w:rsidRDefault="005409C6">
            <w:pPr>
              <w:jc w:val="left"/>
            </w:pPr>
            <w:r>
              <w:rPr>
                <w:color w:val="000000"/>
                <w:sz w:val="18"/>
                <w:szCs w:val="18"/>
              </w:rPr>
              <w:t>30,104.94</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40,912,022.93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666,993.80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41,579,016.73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39056C">
        <w:tc>
          <w:tcPr>
            <w:tcW w:w="1518" w:type="dxa"/>
            <w:vAlign w:val="center"/>
          </w:tcPr>
          <w:p w:rsidR="0039056C" w:rsidRDefault="005409C6">
            <w:pPr>
              <w:jc w:val="left"/>
            </w:pPr>
            <w:r>
              <w:rPr>
                <w:color w:val="000000"/>
                <w:sz w:val="18"/>
                <w:szCs w:val="18"/>
              </w:rPr>
              <w:t>应付赎回款</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center"/>
            </w:pPr>
            <w:r>
              <w:rPr>
                <w:color w:val="000000"/>
                <w:sz w:val="18"/>
                <w:szCs w:val="18"/>
              </w:rPr>
              <w:t>3,344.61</w:t>
            </w:r>
          </w:p>
        </w:tc>
        <w:tc>
          <w:tcPr>
            <w:tcW w:w="1446" w:type="dxa"/>
            <w:vAlign w:val="center"/>
          </w:tcPr>
          <w:p w:rsidR="0039056C" w:rsidRDefault="005409C6">
            <w:pPr>
              <w:jc w:val="left"/>
            </w:pPr>
            <w:r>
              <w:rPr>
                <w:color w:val="000000"/>
                <w:sz w:val="18"/>
                <w:szCs w:val="18"/>
              </w:rPr>
              <w:t>3,344.61</w:t>
            </w:r>
          </w:p>
        </w:tc>
      </w:tr>
      <w:tr w:rsidR="0039056C">
        <w:tc>
          <w:tcPr>
            <w:tcW w:w="1518" w:type="dxa"/>
            <w:vAlign w:val="center"/>
          </w:tcPr>
          <w:p w:rsidR="0039056C" w:rsidRDefault="005409C6">
            <w:pPr>
              <w:jc w:val="left"/>
            </w:pPr>
            <w:r>
              <w:rPr>
                <w:color w:val="000000"/>
                <w:sz w:val="18"/>
                <w:szCs w:val="18"/>
              </w:rPr>
              <w:t>应付管理人报酬</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center"/>
            </w:pPr>
            <w:r>
              <w:rPr>
                <w:color w:val="000000"/>
                <w:sz w:val="18"/>
                <w:szCs w:val="18"/>
              </w:rPr>
              <w:t>10,584.77</w:t>
            </w:r>
          </w:p>
        </w:tc>
        <w:tc>
          <w:tcPr>
            <w:tcW w:w="1446" w:type="dxa"/>
            <w:vAlign w:val="center"/>
          </w:tcPr>
          <w:p w:rsidR="0039056C" w:rsidRDefault="005409C6">
            <w:pPr>
              <w:jc w:val="left"/>
            </w:pPr>
            <w:r>
              <w:rPr>
                <w:color w:val="000000"/>
                <w:sz w:val="18"/>
                <w:szCs w:val="18"/>
              </w:rPr>
              <w:t>10,584.77</w:t>
            </w:r>
          </w:p>
        </w:tc>
      </w:tr>
      <w:tr w:rsidR="0039056C">
        <w:tc>
          <w:tcPr>
            <w:tcW w:w="1518" w:type="dxa"/>
            <w:vAlign w:val="center"/>
          </w:tcPr>
          <w:p w:rsidR="0039056C" w:rsidRDefault="005409C6">
            <w:pPr>
              <w:jc w:val="left"/>
            </w:pPr>
            <w:r>
              <w:rPr>
                <w:color w:val="000000"/>
                <w:sz w:val="18"/>
                <w:szCs w:val="18"/>
              </w:rPr>
              <w:t>应付托管费</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center"/>
            </w:pPr>
            <w:r>
              <w:rPr>
                <w:color w:val="000000"/>
                <w:sz w:val="18"/>
                <w:szCs w:val="18"/>
              </w:rPr>
              <w:t>3,528.26</w:t>
            </w:r>
          </w:p>
        </w:tc>
        <w:tc>
          <w:tcPr>
            <w:tcW w:w="1446" w:type="dxa"/>
            <w:vAlign w:val="center"/>
          </w:tcPr>
          <w:p w:rsidR="0039056C" w:rsidRDefault="005409C6">
            <w:pPr>
              <w:jc w:val="left"/>
            </w:pPr>
            <w:r>
              <w:rPr>
                <w:color w:val="000000"/>
                <w:sz w:val="18"/>
                <w:szCs w:val="18"/>
              </w:rPr>
              <w:t>3,528.26</w:t>
            </w:r>
          </w:p>
        </w:tc>
      </w:tr>
      <w:tr w:rsidR="0039056C">
        <w:tc>
          <w:tcPr>
            <w:tcW w:w="1518" w:type="dxa"/>
            <w:vAlign w:val="center"/>
          </w:tcPr>
          <w:p w:rsidR="0039056C" w:rsidRDefault="005409C6">
            <w:pPr>
              <w:jc w:val="left"/>
            </w:pPr>
            <w:r>
              <w:rPr>
                <w:color w:val="000000"/>
                <w:sz w:val="18"/>
                <w:szCs w:val="18"/>
              </w:rPr>
              <w:t>应付销售服务费</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center"/>
            </w:pPr>
            <w:r>
              <w:rPr>
                <w:color w:val="000000"/>
                <w:sz w:val="18"/>
                <w:szCs w:val="18"/>
              </w:rPr>
              <w:t>4,644.43</w:t>
            </w:r>
          </w:p>
        </w:tc>
        <w:tc>
          <w:tcPr>
            <w:tcW w:w="1446" w:type="dxa"/>
            <w:vAlign w:val="center"/>
          </w:tcPr>
          <w:p w:rsidR="0039056C" w:rsidRDefault="005409C6">
            <w:pPr>
              <w:jc w:val="left"/>
            </w:pPr>
            <w:r>
              <w:rPr>
                <w:color w:val="000000"/>
                <w:sz w:val="18"/>
                <w:szCs w:val="18"/>
              </w:rPr>
              <w:t>4,644.43</w:t>
            </w:r>
          </w:p>
        </w:tc>
      </w:tr>
      <w:tr w:rsidR="0039056C">
        <w:tc>
          <w:tcPr>
            <w:tcW w:w="1518" w:type="dxa"/>
            <w:vAlign w:val="center"/>
          </w:tcPr>
          <w:p w:rsidR="0039056C" w:rsidRDefault="005409C6">
            <w:pPr>
              <w:jc w:val="left"/>
            </w:pPr>
            <w:r>
              <w:rPr>
                <w:color w:val="000000"/>
                <w:sz w:val="18"/>
                <w:szCs w:val="18"/>
              </w:rPr>
              <w:t>应付交易费用</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center"/>
            </w:pPr>
            <w:r>
              <w:rPr>
                <w:color w:val="000000"/>
                <w:sz w:val="18"/>
                <w:szCs w:val="18"/>
              </w:rPr>
              <w:t>3,041.50</w:t>
            </w:r>
          </w:p>
        </w:tc>
        <w:tc>
          <w:tcPr>
            <w:tcW w:w="1446" w:type="dxa"/>
            <w:vAlign w:val="center"/>
          </w:tcPr>
          <w:p w:rsidR="0039056C" w:rsidRDefault="005409C6">
            <w:pPr>
              <w:jc w:val="left"/>
            </w:pPr>
            <w:r>
              <w:rPr>
                <w:color w:val="000000"/>
                <w:sz w:val="18"/>
                <w:szCs w:val="18"/>
              </w:rPr>
              <w:t>3,041.50</w:t>
            </w:r>
          </w:p>
        </w:tc>
      </w:tr>
      <w:tr w:rsidR="0039056C">
        <w:tc>
          <w:tcPr>
            <w:tcW w:w="1518" w:type="dxa"/>
            <w:vAlign w:val="center"/>
          </w:tcPr>
          <w:p w:rsidR="0039056C" w:rsidRDefault="005409C6">
            <w:pPr>
              <w:jc w:val="left"/>
            </w:pPr>
            <w:r>
              <w:rPr>
                <w:color w:val="000000"/>
                <w:sz w:val="18"/>
                <w:szCs w:val="18"/>
              </w:rPr>
              <w:t>其他负债</w:t>
            </w:r>
          </w:p>
        </w:tc>
        <w:tc>
          <w:tcPr>
            <w:tcW w:w="1627" w:type="dxa"/>
            <w:vAlign w:val="center"/>
          </w:tcPr>
          <w:p w:rsidR="0039056C" w:rsidRDefault="005409C6">
            <w:pPr>
              <w:jc w:val="left"/>
            </w:pPr>
            <w:r>
              <w:rPr>
                <w:color w:val="000000"/>
                <w:sz w:val="18"/>
                <w:szCs w:val="18"/>
              </w:rPr>
              <w:t>-</w:t>
            </w:r>
          </w:p>
        </w:tc>
        <w:tc>
          <w:tcPr>
            <w:tcW w:w="1627" w:type="dxa"/>
            <w:vAlign w:val="center"/>
          </w:tcPr>
          <w:p w:rsidR="0039056C" w:rsidRDefault="005409C6">
            <w:pPr>
              <w:jc w:val="left"/>
            </w:pPr>
            <w:r>
              <w:rPr>
                <w:color w:val="000000"/>
                <w:sz w:val="18"/>
                <w:szCs w:val="18"/>
              </w:rPr>
              <w:t>-</w:t>
            </w:r>
          </w:p>
        </w:tc>
        <w:tc>
          <w:tcPr>
            <w:tcW w:w="1491" w:type="dxa"/>
            <w:vAlign w:val="center"/>
          </w:tcPr>
          <w:p w:rsidR="0039056C" w:rsidRDefault="005409C6">
            <w:pPr>
              <w:jc w:val="left"/>
            </w:pPr>
            <w:r>
              <w:rPr>
                <w:color w:val="000000"/>
                <w:sz w:val="18"/>
                <w:szCs w:val="18"/>
              </w:rPr>
              <w:t>-</w:t>
            </w:r>
          </w:p>
        </w:tc>
        <w:tc>
          <w:tcPr>
            <w:tcW w:w="1289" w:type="dxa"/>
            <w:vAlign w:val="center"/>
          </w:tcPr>
          <w:p w:rsidR="0039056C" w:rsidRDefault="005409C6">
            <w:pPr>
              <w:jc w:val="center"/>
            </w:pPr>
            <w:r>
              <w:rPr>
                <w:color w:val="000000"/>
                <w:sz w:val="18"/>
                <w:szCs w:val="18"/>
              </w:rPr>
              <w:t>149,300.45</w:t>
            </w:r>
          </w:p>
        </w:tc>
        <w:tc>
          <w:tcPr>
            <w:tcW w:w="1446" w:type="dxa"/>
            <w:vAlign w:val="center"/>
          </w:tcPr>
          <w:p w:rsidR="0039056C" w:rsidRDefault="005409C6">
            <w:pPr>
              <w:jc w:val="left"/>
            </w:pPr>
            <w:r>
              <w:rPr>
                <w:color w:val="000000"/>
                <w:sz w:val="18"/>
                <w:szCs w:val="18"/>
              </w:rPr>
              <w:t>149,300.45</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lastRenderedPageBreak/>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174,444.02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174,444.02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40,912,022.93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492,549.78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41,404,572.71</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39056C">
        <w:tc>
          <w:tcPr>
            <w:tcW w:w="851" w:type="dxa"/>
            <w:vAlign w:val="center"/>
          </w:tcPr>
          <w:p w:rsidR="0039056C" w:rsidRDefault="005409C6">
            <w:pPr>
              <w:jc w:val="left"/>
            </w:pPr>
            <w:r>
              <w:rPr>
                <w:color w:val="000000"/>
                <w:sz w:val="24"/>
              </w:rPr>
              <w:t>假设</w:t>
            </w:r>
          </w:p>
        </w:tc>
        <w:tc>
          <w:tcPr>
            <w:tcW w:w="8147" w:type="dxa"/>
            <w:gridSpan w:val="3"/>
            <w:vAlign w:val="center"/>
          </w:tcPr>
          <w:p w:rsidR="0039056C" w:rsidRDefault="005409C6">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39056C">
        <w:tc>
          <w:tcPr>
            <w:tcW w:w="852" w:type="dxa"/>
            <w:vMerge/>
          </w:tcPr>
          <w:p w:rsidR="0039056C" w:rsidRDefault="0039056C"/>
        </w:tc>
        <w:tc>
          <w:tcPr>
            <w:tcW w:w="2550" w:type="dxa"/>
            <w:vAlign w:val="center"/>
          </w:tcPr>
          <w:p w:rsidR="0039056C" w:rsidRDefault="005409C6">
            <w:pPr>
              <w:jc w:val="left"/>
            </w:pPr>
            <w:r>
              <w:rPr>
                <w:color w:val="000000"/>
                <w:sz w:val="24"/>
              </w:rPr>
              <w:t>市场利率下降</w:t>
            </w:r>
            <w:r>
              <w:rPr>
                <w:color w:val="000000"/>
                <w:sz w:val="24"/>
              </w:rPr>
              <w:t>25</w:t>
            </w:r>
            <w:r>
              <w:rPr>
                <w:color w:val="000000"/>
                <w:sz w:val="24"/>
              </w:rPr>
              <w:t>个基点</w:t>
            </w:r>
          </w:p>
        </w:tc>
        <w:tc>
          <w:tcPr>
            <w:tcW w:w="2693" w:type="dxa"/>
            <w:vAlign w:val="center"/>
          </w:tcPr>
          <w:p w:rsidR="0039056C" w:rsidRDefault="005409C6">
            <w:pPr>
              <w:jc w:val="right"/>
            </w:pPr>
            <w:r>
              <w:rPr>
                <w:color w:val="000000"/>
                <w:sz w:val="24"/>
              </w:rPr>
              <w:t>增加约</w:t>
            </w:r>
            <w:r>
              <w:rPr>
                <w:color w:val="000000"/>
                <w:sz w:val="24"/>
              </w:rPr>
              <w:t>455</w:t>
            </w:r>
          </w:p>
        </w:tc>
        <w:tc>
          <w:tcPr>
            <w:tcW w:w="2903" w:type="dxa"/>
            <w:vAlign w:val="center"/>
          </w:tcPr>
          <w:p w:rsidR="0039056C" w:rsidRDefault="005409C6">
            <w:pPr>
              <w:jc w:val="right"/>
            </w:pPr>
            <w:r>
              <w:rPr>
                <w:color w:val="000000"/>
                <w:sz w:val="24"/>
              </w:rPr>
              <w:t>增加约</w:t>
            </w:r>
            <w:r>
              <w:rPr>
                <w:color w:val="000000"/>
                <w:sz w:val="24"/>
              </w:rPr>
              <w:t>5</w:t>
            </w:r>
          </w:p>
        </w:tc>
      </w:tr>
      <w:tr w:rsidR="0039056C">
        <w:tc>
          <w:tcPr>
            <w:tcW w:w="852" w:type="dxa"/>
            <w:vMerge/>
          </w:tcPr>
          <w:p w:rsidR="0039056C" w:rsidRDefault="0039056C"/>
        </w:tc>
        <w:tc>
          <w:tcPr>
            <w:tcW w:w="2550" w:type="dxa"/>
            <w:vAlign w:val="center"/>
          </w:tcPr>
          <w:p w:rsidR="0039056C" w:rsidRDefault="005409C6">
            <w:pPr>
              <w:jc w:val="left"/>
            </w:pPr>
            <w:r>
              <w:rPr>
                <w:color w:val="000000"/>
                <w:sz w:val="24"/>
              </w:rPr>
              <w:t>市场利率上升</w:t>
            </w:r>
            <w:r>
              <w:rPr>
                <w:color w:val="000000"/>
                <w:sz w:val="24"/>
              </w:rPr>
              <w:t>25</w:t>
            </w:r>
            <w:r>
              <w:rPr>
                <w:color w:val="000000"/>
                <w:sz w:val="24"/>
              </w:rPr>
              <w:t>个基点</w:t>
            </w:r>
          </w:p>
        </w:tc>
        <w:tc>
          <w:tcPr>
            <w:tcW w:w="2693" w:type="dxa"/>
            <w:vAlign w:val="center"/>
          </w:tcPr>
          <w:p w:rsidR="0039056C" w:rsidRDefault="005409C6">
            <w:pPr>
              <w:jc w:val="right"/>
            </w:pPr>
            <w:r>
              <w:rPr>
                <w:color w:val="000000"/>
                <w:sz w:val="24"/>
              </w:rPr>
              <w:t>减少约</w:t>
            </w:r>
            <w:r>
              <w:rPr>
                <w:color w:val="000000"/>
                <w:sz w:val="24"/>
              </w:rPr>
              <w:t>449</w:t>
            </w:r>
          </w:p>
        </w:tc>
        <w:tc>
          <w:tcPr>
            <w:tcW w:w="2903" w:type="dxa"/>
            <w:vAlign w:val="center"/>
          </w:tcPr>
          <w:p w:rsidR="0039056C" w:rsidRDefault="005409C6">
            <w:pPr>
              <w:jc w:val="right"/>
            </w:pPr>
            <w:r>
              <w:rPr>
                <w:color w:val="000000"/>
                <w:sz w:val="24"/>
              </w:rPr>
              <w:t>减少约</w:t>
            </w:r>
            <w:r>
              <w:rPr>
                <w:color w:val="000000"/>
                <w:sz w:val="24"/>
              </w:rPr>
              <w:t>5</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796492"/>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796493"/>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lastRenderedPageBreak/>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1,353,779,000.00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98.68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1,353,779,000.00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98.68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1,228,486.29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0.09</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16,908,267.65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1,371,915,753.94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796494"/>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796495"/>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Default="001548F9" w:rsidP="00571B8A">
      <w:pPr>
        <w:spacing w:before="29" w:line="288" w:lineRule="auto"/>
        <w:jc w:val="left"/>
        <w:rPr>
          <w:kern w:val="0"/>
          <w:sz w:val="24"/>
        </w:rPr>
      </w:pPr>
      <w:r w:rsidRPr="001B7979">
        <w:rPr>
          <w:kern w:val="0"/>
          <w:sz w:val="24"/>
        </w:rPr>
        <w:t>本基金本报告期末未持有股票。</w:t>
      </w:r>
    </w:p>
    <w:p w:rsidR="00ED598D" w:rsidRPr="001B7979" w:rsidRDefault="00ED598D" w:rsidP="00571B8A">
      <w:pPr>
        <w:spacing w:before="29" w:line="288" w:lineRule="auto"/>
        <w:jc w:val="left"/>
        <w:rPr>
          <w:rFonts w:hint="eastAsia"/>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17796496"/>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ED598D" w:rsidRPr="001B7979" w:rsidRDefault="00ED598D" w:rsidP="00BF3258">
      <w:pPr>
        <w:spacing w:before="29" w:line="288" w:lineRule="auto"/>
        <w:jc w:val="left"/>
        <w:rPr>
          <w:rFonts w:hint="eastAsia"/>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17796497"/>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796498"/>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Default="001548F9" w:rsidP="00571B8A">
      <w:pPr>
        <w:spacing w:before="29" w:line="288" w:lineRule="auto"/>
        <w:jc w:val="left"/>
        <w:rPr>
          <w:kern w:val="0"/>
          <w:sz w:val="24"/>
        </w:rPr>
      </w:pPr>
      <w:r w:rsidRPr="001B7979">
        <w:rPr>
          <w:kern w:val="0"/>
          <w:sz w:val="24"/>
        </w:rPr>
        <w:t>本基金本报告期内未持有股票。</w:t>
      </w:r>
    </w:p>
    <w:p w:rsidR="00ED598D" w:rsidRPr="001B7979" w:rsidRDefault="00ED598D" w:rsidP="00571B8A">
      <w:pPr>
        <w:spacing w:before="29" w:line="288" w:lineRule="auto"/>
        <w:jc w:val="left"/>
        <w:rPr>
          <w:rFonts w:hint="eastAsia"/>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796499"/>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33EBD">
              <w:rPr>
                <w:rFonts w:hint="eastAsia"/>
                <w:color w:val="000000"/>
                <w:sz w:val="24"/>
              </w:rPr>
              <w:t>（</w:t>
            </w:r>
            <w:r w:rsidR="00033EBD">
              <w:rPr>
                <w:rFonts w:hint="eastAsia"/>
                <w:color w:val="000000"/>
                <w:sz w:val="24"/>
              </w:rPr>
              <w:t>%</w:t>
            </w:r>
            <w:r w:rsidR="00033EBD">
              <w:rPr>
                <w:rFonts w:hint="eastAsia"/>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140,115,000.00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13.47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140,115,000.00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13.47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571,019,000.00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54.91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642,645,000.00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61.80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1,353,779,000.00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130.19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796500"/>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39056C">
        <w:tc>
          <w:tcPr>
            <w:tcW w:w="1320" w:type="dxa"/>
            <w:vAlign w:val="center"/>
          </w:tcPr>
          <w:p w:rsidR="0039056C" w:rsidRDefault="005409C6">
            <w:pPr>
              <w:jc w:val="center"/>
            </w:pPr>
            <w:r>
              <w:rPr>
                <w:color w:val="000000"/>
                <w:sz w:val="24"/>
              </w:rPr>
              <w:t>1</w:t>
            </w:r>
          </w:p>
        </w:tc>
        <w:tc>
          <w:tcPr>
            <w:tcW w:w="1382" w:type="dxa"/>
            <w:vAlign w:val="center"/>
          </w:tcPr>
          <w:p w:rsidR="0039056C" w:rsidRDefault="005409C6">
            <w:pPr>
              <w:jc w:val="center"/>
            </w:pPr>
            <w:r>
              <w:rPr>
                <w:color w:val="000000"/>
                <w:sz w:val="24"/>
              </w:rPr>
              <w:t>011900525</w:t>
            </w:r>
          </w:p>
        </w:tc>
        <w:tc>
          <w:tcPr>
            <w:tcW w:w="1353" w:type="dxa"/>
            <w:vAlign w:val="center"/>
          </w:tcPr>
          <w:p w:rsidR="0039056C" w:rsidRDefault="005409C6">
            <w:pPr>
              <w:jc w:val="center"/>
            </w:pPr>
            <w:r>
              <w:rPr>
                <w:color w:val="000000"/>
                <w:sz w:val="24"/>
              </w:rPr>
              <w:t>19</w:t>
            </w:r>
            <w:r>
              <w:rPr>
                <w:color w:val="000000"/>
                <w:sz w:val="24"/>
              </w:rPr>
              <w:t>海通恒信</w:t>
            </w:r>
            <w:r>
              <w:rPr>
                <w:color w:val="000000"/>
                <w:sz w:val="24"/>
              </w:rPr>
              <w:t>SCP003</w:t>
            </w:r>
          </w:p>
        </w:tc>
        <w:tc>
          <w:tcPr>
            <w:tcW w:w="1505" w:type="dxa"/>
            <w:vAlign w:val="center"/>
          </w:tcPr>
          <w:p w:rsidR="0039056C" w:rsidRDefault="005409C6">
            <w:pPr>
              <w:jc w:val="right"/>
            </w:pPr>
            <w:r>
              <w:rPr>
                <w:color w:val="000000"/>
                <w:sz w:val="24"/>
              </w:rPr>
              <w:t>1,000,000</w:t>
            </w:r>
          </w:p>
        </w:tc>
        <w:tc>
          <w:tcPr>
            <w:tcW w:w="1737" w:type="dxa"/>
            <w:vAlign w:val="center"/>
          </w:tcPr>
          <w:p w:rsidR="0039056C" w:rsidRDefault="005409C6">
            <w:pPr>
              <w:jc w:val="right"/>
            </w:pPr>
            <w:r>
              <w:rPr>
                <w:color w:val="000000"/>
                <w:sz w:val="24"/>
              </w:rPr>
              <w:t>100,060,000.00</w:t>
            </w:r>
          </w:p>
        </w:tc>
        <w:tc>
          <w:tcPr>
            <w:tcW w:w="1701" w:type="dxa"/>
            <w:vAlign w:val="center"/>
          </w:tcPr>
          <w:p w:rsidR="0039056C" w:rsidRDefault="005409C6">
            <w:pPr>
              <w:jc w:val="right"/>
            </w:pPr>
            <w:r>
              <w:rPr>
                <w:color w:val="000000"/>
                <w:sz w:val="24"/>
              </w:rPr>
              <w:t>9.62</w:t>
            </w:r>
          </w:p>
        </w:tc>
      </w:tr>
      <w:tr w:rsidR="0039056C">
        <w:tc>
          <w:tcPr>
            <w:tcW w:w="1320" w:type="dxa"/>
            <w:vAlign w:val="center"/>
          </w:tcPr>
          <w:p w:rsidR="0039056C" w:rsidRDefault="005409C6">
            <w:pPr>
              <w:jc w:val="center"/>
            </w:pPr>
            <w:r>
              <w:rPr>
                <w:color w:val="000000"/>
                <w:sz w:val="24"/>
              </w:rPr>
              <w:t>2</w:t>
            </w:r>
          </w:p>
        </w:tc>
        <w:tc>
          <w:tcPr>
            <w:tcW w:w="1382" w:type="dxa"/>
            <w:vAlign w:val="center"/>
          </w:tcPr>
          <w:p w:rsidR="0039056C" w:rsidRDefault="005409C6">
            <w:pPr>
              <w:jc w:val="center"/>
            </w:pPr>
            <w:r>
              <w:rPr>
                <w:color w:val="000000"/>
                <w:sz w:val="24"/>
              </w:rPr>
              <w:t>011900344</w:t>
            </w:r>
          </w:p>
        </w:tc>
        <w:tc>
          <w:tcPr>
            <w:tcW w:w="1353" w:type="dxa"/>
            <w:vAlign w:val="center"/>
          </w:tcPr>
          <w:p w:rsidR="0039056C" w:rsidRDefault="005409C6">
            <w:pPr>
              <w:jc w:val="center"/>
            </w:pPr>
            <w:r>
              <w:rPr>
                <w:color w:val="000000"/>
                <w:sz w:val="24"/>
              </w:rPr>
              <w:t>19</w:t>
            </w:r>
            <w:r>
              <w:rPr>
                <w:color w:val="000000"/>
                <w:sz w:val="24"/>
              </w:rPr>
              <w:t>日照港</w:t>
            </w:r>
            <w:r>
              <w:rPr>
                <w:color w:val="000000"/>
                <w:sz w:val="24"/>
              </w:rPr>
              <w:t>SCP001</w:t>
            </w:r>
          </w:p>
        </w:tc>
        <w:tc>
          <w:tcPr>
            <w:tcW w:w="1505" w:type="dxa"/>
            <w:vAlign w:val="center"/>
          </w:tcPr>
          <w:p w:rsidR="0039056C" w:rsidRDefault="005409C6">
            <w:pPr>
              <w:jc w:val="right"/>
            </w:pPr>
            <w:r>
              <w:rPr>
                <w:color w:val="000000"/>
                <w:sz w:val="24"/>
              </w:rPr>
              <w:t>700,000</w:t>
            </w:r>
          </w:p>
        </w:tc>
        <w:tc>
          <w:tcPr>
            <w:tcW w:w="1737" w:type="dxa"/>
            <w:vAlign w:val="center"/>
          </w:tcPr>
          <w:p w:rsidR="0039056C" w:rsidRDefault="005409C6">
            <w:pPr>
              <w:jc w:val="right"/>
            </w:pPr>
            <w:r>
              <w:rPr>
                <w:color w:val="000000"/>
                <w:sz w:val="24"/>
              </w:rPr>
              <w:t>70,126,000.00</w:t>
            </w:r>
          </w:p>
        </w:tc>
        <w:tc>
          <w:tcPr>
            <w:tcW w:w="1701" w:type="dxa"/>
            <w:vAlign w:val="center"/>
          </w:tcPr>
          <w:p w:rsidR="0039056C" w:rsidRDefault="005409C6">
            <w:pPr>
              <w:jc w:val="right"/>
            </w:pPr>
            <w:r>
              <w:rPr>
                <w:color w:val="000000"/>
                <w:sz w:val="24"/>
              </w:rPr>
              <w:t>6.74</w:t>
            </w:r>
          </w:p>
        </w:tc>
      </w:tr>
      <w:tr w:rsidR="0039056C">
        <w:tc>
          <w:tcPr>
            <w:tcW w:w="1320" w:type="dxa"/>
            <w:vAlign w:val="center"/>
          </w:tcPr>
          <w:p w:rsidR="0039056C" w:rsidRDefault="005409C6">
            <w:pPr>
              <w:jc w:val="center"/>
            </w:pPr>
            <w:r>
              <w:rPr>
                <w:color w:val="000000"/>
                <w:sz w:val="24"/>
              </w:rPr>
              <w:t>3</w:t>
            </w:r>
          </w:p>
        </w:tc>
        <w:tc>
          <w:tcPr>
            <w:tcW w:w="1382" w:type="dxa"/>
            <w:vAlign w:val="center"/>
          </w:tcPr>
          <w:p w:rsidR="0039056C" w:rsidRDefault="005409C6">
            <w:pPr>
              <w:jc w:val="center"/>
            </w:pPr>
            <w:r>
              <w:rPr>
                <w:color w:val="000000"/>
                <w:sz w:val="24"/>
              </w:rPr>
              <w:t>011900688</w:t>
            </w:r>
          </w:p>
        </w:tc>
        <w:tc>
          <w:tcPr>
            <w:tcW w:w="1353" w:type="dxa"/>
            <w:vAlign w:val="center"/>
          </w:tcPr>
          <w:p w:rsidR="0039056C" w:rsidRDefault="005409C6">
            <w:pPr>
              <w:jc w:val="center"/>
            </w:pPr>
            <w:r>
              <w:rPr>
                <w:color w:val="000000"/>
                <w:sz w:val="24"/>
              </w:rPr>
              <w:t>19</w:t>
            </w:r>
            <w:r>
              <w:rPr>
                <w:color w:val="000000"/>
                <w:sz w:val="24"/>
              </w:rPr>
              <w:t>长发集团</w:t>
            </w:r>
            <w:r>
              <w:rPr>
                <w:color w:val="000000"/>
                <w:sz w:val="24"/>
              </w:rPr>
              <w:t>SCP002</w:t>
            </w:r>
          </w:p>
        </w:tc>
        <w:tc>
          <w:tcPr>
            <w:tcW w:w="1505" w:type="dxa"/>
            <w:vAlign w:val="center"/>
          </w:tcPr>
          <w:p w:rsidR="0039056C" w:rsidRDefault="005409C6">
            <w:pPr>
              <w:jc w:val="right"/>
            </w:pPr>
            <w:r>
              <w:rPr>
                <w:color w:val="000000"/>
                <w:sz w:val="24"/>
              </w:rPr>
              <w:t>700,000</w:t>
            </w:r>
          </w:p>
        </w:tc>
        <w:tc>
          <w:tcPr>
            <w:tcW w:w="1737" w:type="dxa"/>
            <w:vAlign w:val="center"/>
          </w:tcPr>
          <w:p w:rsidR="0039056C" w:rsidRDefault="005409C6">
            <w:pPr>
              <w:jc w:val="right"/>
            </w:pPr>
            <w:r>
              <w:rPr>
                <w:color w:val="000000"/>
                <w:sz w:val="24"/>
              </w:rPr>
              <w:t>70,049,000.00</w:t>
            </w:r>
          </w:p>
        </w:tc>
        <w:tc>
          <w:tcPr>
            <w:tcW w:w="1701" w:type="dxa"/>
            <w:vAlign w:val="center"/>
          </w:tcPr>
          <w:p w:rsidR="0039056C" w:rsidRDefault="005409C6">
            <w:pPr>
              <w:jc w:val="right"/>
            </w:pPr>
            <w:r>
              <w:rPr>
                <w:color w:val="000000"/>
                <w:sz w:val="24"/>
              </w:rPr>
              <w:t>6.74</w:t>
            </w:r>
          </w:p>
        </w:tc>
      </w:tr>
      <w:tr w:rsidR="0039056C">
        <w:tc>
          <w:tcPr>
            <w:tcW w:w="1320" w:type="dxa"/>
            <w:vAlign w:val="center"/>
          </w:tcPr>
          <w:p w:rsidR="0039056C" w:rsidRDefault="005409C6">
            <w:pPr>
              <w:jc w:val="center"/>
            </w:pPr>
            <w:r>
              <w:rPr>
                <w:color w:val="000000"/>
                <w:sz w:val="24"/>
              </w:rPr>
              <w:t>4</w:t>
            </w:r>
          </w:p>
        </w:tc>
        <w:tc>
          <w:tcPr>
            <w:tcW w:w="1382" w:type="dxa"/>
            <w:vAlign w:val="center"/>
          </w:tcPr>
          <w:p w:rsidR="0039056C" w:rsidRDefault="005409C6">
            <w:pPr>
              <w:jc w:val="center"/>
            </w:pPr>
            <w:r>
              <w:rPr>
                <w:color w:val="000000"/>
                <w:sz w:val="24"/>
              </w:rPr>
              <w:t>101800261</w:t>
            </w:r>
          </w:p>
        </w:tc>
        <w:tc>
          <w:tcPr>
            <w:tcW w:w="1353" w:type="dxa"/>
            <w:vAlign w:val="center"/>
          </w:tcPr>
          <w:p w:rsidR="0039056C" w:rsidRDefault="005409C6">
            <w:pPr>
              <w:jc w:val="center"/>
            </w:pPr>
            <w:r>
              <w:rPr>
                <w:color w:val="000000"/>
                <w:sz w:val="24"/>
              </w:rPr>
              <w:t>18</w:t>
            </w:r>
            <w:r>
              <w:rPr>
                <w:color w:val="000000"/>
                <w:sz w:val="24"/>
              </w:rPr>
              <w:t>即墨旅投</w:t>
            </w:r>
            <w:r>
              <w:rPr>
                <w:color w:val="000000"/>
                <w:sz w:val="24"/>
              </w:rPr>
              <w:t>MTN001</w:t>
            </w:r>
          </w:p>
        </w:tc>
        <w:tc>
          <w:tcPr>
            <w:tcW w:w="1505" w:type="dxa"/>
            <w:vAlign w:val="center"/>
          </w:tcPr>
          <w:p w:rsidR="0039056C" w:rsidRDefault="005409C6">
            <w:pPr>
              <w:jc w:val="right"/>
            </w:pPr>
            <w:r>
              <w:rPr>
                <w:color w:val="000000"/>
                <w:sz w:val="24"/>
              </w:rPr>
              <w:t>600,000</w:t>
            </w:r>
          </w:p>
        </w:tc>
        <w:tc>
          <w:tcPr>
            <w:tcW w:w="1737" w:type="dxa"/>
            <w:vAlign w:val="center"/>
          </w:tcPr>
          <w:p w:rsidR="0039056C" w:rsidRDefault="005409C6">
            <w:pPr>
              <w:jc w:val="right"/>
            </w:pPr>
            <w:r>
              <w:rPr>
                <w:color w:val="000000"/>
                <w:sz w:val="24"/>
              </w:rPr>
              <w:t>61,920,000.00</w:t>
            </w:r>
          </w:p>
        </w:tc>
        <w:tc>
          <w:tcPr>
            <w:tcW w:w="1701" w:type="dxa"/>
            <w:vAlign w:val="center"/>
          </w:tcPr>
          <w:p w:rsidR="0039056C" w:rsidRDefault="005409C6">
            <w:pPr>
              <w:jc w:val="right"/>
            </w:pPr>
            <w:r>
              <w:rPr>
                <w:color w:val="000000"/>
                <w:sz w:val="24"/>
              </w:rPr>
              <w:t>5.95</w:t>
            </w:r>
          </w:p>
        </w:tc>
      </w:tr>
      <w:tr w:rsidR="0039056C">
        <w:tc>
          <w:tcPr>
            <w:tcW w:w="1320" w:type="dxa"/>
            <w:vAlign w:val="center"/>
          </w:tcPr>
          <w:p w:rsidR="0039056C" w:rsidRDefault="005409C6">
            <w:pPr>
              <w:jc w:val="center"/>
            </w:pPr>
            <w:r>
              <w:rPr>
                <w:color w:val="000000"/>
                <w:sz w:val="24"/>
              </w:rPr>
              <w:t>5</w:t>
            </w:r>
          </w:p>
        </w:tc>
        <w:tc>
          <w:tcPr>
            <w:tcW w:w="1382" w:type="dxa"/>
            <w:vAlign w:val="center"/>
          </w:tcPr>
          <w:p w:rsidR="0039056C" w:rsidRDefault="005409C6">
            <w:pPr>
              <w:jc w:val="center"/>
            </w:pPr>
            <w:r>
              <w:rPr>
                <w:color w:val="000000"/>
                <w:sz w:val="24"/>
              </w:rPr>
              <w:t>101800640</w:t>
            </w:r>
          </w:p>
        </w:tc>
        <w:tc>
          <w:tcPr>
            <w:tcW w:w="1353" w:type="dxa"/>
            <w:vAlign w:val="center"/>
          </w:tcPr>
          <w:p w:rsidR="0039056C" w:rsidRDefault="005409C6">
            <w:pPr>
              <w:jc w:val="center"/>
            </w:pPr>
            <w:r>
              <w:rPr>
                <w:color w:val="000000"/>
                <w:sz w:val="24"/>
              </w:rPr>
              <w:t>18</w:t>
            </w:r>
            <w:r>
              <w:rPr>
                <w:color w:val="000000"/>
                <w:sz w:val="24"/>
              </w:rPr>
              <w:t>环球租赁</w:t>
            </w:r>
            <w:r>
              <w:rPr>
                <w:color w:val="000000"/>
                <w:sz w:val="24"/>
              </w:rPr>
              <w:t>MTN001</w:t>
            </w:r>
          </w:p>
        </w:tc>
        <w:tc>
          <w:tcPr>
            <w:tcW w:w="1505" w:type="dxa"/>
            <w:vAlign w:val="center"/>
          </w:tcPr>
          <w:p w:rsidR="0039056C" w:rsidRDefault="005409C6">
            <w:pPr>
              <w:jc w:val="right"/>
            </w:pPr>
            <w:r>
              <w:rPr>
                <w:color w:val="000000"/>
                <w:sz w:val="24"/>
              </w:rPr>
              <w:t>600,000</w:t>
            </w:r>
          </w:p>
        </w:tc>
        <w:tc>
          <w:tcPr>
            <w:tcW w:w="1737" w:type="dxa"/>
            <w:vAlign w:val="center"/>
          </w:tcPr>
          <w:p w:rsidR="0039056C" w:rsidRDefault="005409C6">
            <w:pPr>
              <w:jc w:val="right"/>
            </w:pPr>
            <w:r>
              <w:rPr>
                <w:color w:val="000000"/>
                <w:sz w:val="24"/>
              </w:rPr>
              <w:t>61,554,000.00</w:t>
            </w:r>
          </w:p>
        </w:tc>
        <w:tc>
          <w:tcPr>
            <w:tcW w:w="1701" w:type="dxa"/>
            <w:vAlign w:val="center"/>
          </w:tcPr>
          <w:p w:rsidR="0039056C" w:rsidRDefault="005409C6">
            <w:pPr>
              <w:jc w:val="right"/>
            </w:pPr>
            <w:r>
              <w:rPr>
                <w:color w:val="000000"/>
                <w:sz w:val="24"/>
              </w:rPr>
              <w:t>5.92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796501"/>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796502"/>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796503"/>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796504"/>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796505"/>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796506"/>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250.55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16,898,257.82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9,759.28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16,908,267.65</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ED598D" w:rsidRPr="001B7979" w:rsidRDefault="00ED598D" w:rsidP="00571B8A">
      <w:pPr>
        <w:spacing w:before="29" w:line="288" w:lineRule="auto"/>
        <w:jc w:val="left"/>
        <w:rPr>
          <w:rFonts w:hint="eastAsia"/>
          <w:kern w:val="0"/>
          <w:sz w:val="24"/>
        </w:rPr>
      </w:pPr>
    </w:p>
    <w:p w:rsidR="00ED598D" w:rsidRPr="001B7979" w:rsidRDefault="001548F9" w:rsidP="00571B8A">
      <w:pPr>
        <w:spacing w:before="29" w:line="288" w:lineRule="auto"/>
        <w:rPr>
          <w:rFonts w:hint="eastAsia"/>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本基金本报告期末未持有股票。</w:t>
      </w:r>
    </w:p>
    <w:p w:rsidR="00ED598D" w:rsidRPr="001B7979" w:rsidRDefault="00ED598D" w:rsidP="00571B8A">
      <w:pPr>
        <w:spacing w:before="29" w:line="288" w:lineRule="auto"/>
        <w:jc w:val="left"/>
        <w:rPr>
          <w:rFonts w:hint="eastAsia"/>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lastRenderedPageBreak/>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796507"/>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796508"/>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交银丰享收益债券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2,663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189,474.74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493,826,666.67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97.87%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10,744,576.33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2.13%</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交银丰享收益债券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52,761.92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10,077,526.91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2,854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180,325.43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493,826,666.67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95.95%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20,822,103.24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4.05%</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796509"/>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交银丰享收益债券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30.13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交银丰享收益债券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30.13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796510"/>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w:t>
            </w:r>
            <w:r w:rsidRPr="001B7979">
              <w:rPr>
                <w:rFonts w:hint="eastAsia"/>
                <w:color w:val="000000"/>
                <w:sz w:val="24"/>
              </w:rPr>
              <w:lastRenderedPageBreak/>
              <w:t>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lastRenderedPageBreak/>
              <w:t>交银丰享收益债券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796511"/>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交银丰享收益债券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交银丰享收益债券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1</w:t>
            </w:r>
            <w:r w:rsidRPr="001B7979">
              <w:rPr>
                <w:sz w:val="24"/>
              </w:rPr>
              <w:t>月</w:t>
            </w:r>
            <w:r w:rsidRPr="001B7979">
              <w:rPr>
                <w:sz w:val="24"/>
              </w:rPr>
              <w:t>19</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259,386,490.95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13,733,982.68</w:t>
            </w:r>
          </w:p>
        </w:tc>
        <w:tc>
          <w:tcPr>
            <w:tcW w:w="1615" w:type="pct"/>
            <w:vAlign w:val="center"/>
          </w:tcPr>
          <w:p w:rsidR="001548F9" w:rsidRPr="001B7979" w:rsidRDefault="001548F9" w:rsidP="00571B8A">
            <w:pPr>
              <w:spacing w:before="29" w:line="288" w:lineRule="auto"/>
              <w:jc w:val="right"/>
              <w:rPr>
                <w:sz w:val="24"/>
              </w:rPr>
            </w:pPr>
            <w:r w:rsidRPr="001B7979">
              <w:rPr>
                <w:sz w:val="24"/>
              </w:rPr>
              <w:t>13,049,142.86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499,817,011.32</w:t>
            </w:r>
          </w:p>
        </w:tc>
        <w:tc>
          <w:tcPr>
            <w:tcW w:w="1615" w:type="pct"/>
            <w:vAlign w:val="center"/>
          </w:tcPr>
          <w:p w:rsidR="001548F9" w:rsidRPr="001B7979" w:rsidRDefault="001548F9" w:rsidP="00571B8A">
            <w:pPr>
              <w:spacing w:before="29" w:line="288" w:lineRule="auto"/>
              <w:jc w:val="right"/>
              <w:rPr>
                <w:sz w:val="24"/>
              </w:rPr>
            </w:pPr>
            <w:r w:rsidRPr="001B7979">
              <w:rPr>
                <w:sz w:val="24"/>
              </w:rPr>
              <w:t>3,176,590.25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8,979,751.00</w:t>
            </w:r>
          </w:p>
        </w:tc>
        <w:tc>
          <w:tcPr>
            <w:tcW w:w="1615" w:type="pct"/>
            <w:vAlign w:val="center"/>
          </w:tcPr>
          <w:p w:rsidR="001548F9" w:rsidRPr="001B7979" w:rsidRDefault="001548F9" w:rsidP="00571B8A">
            <w:pPr>
              <w:spacing w:before="29" w:line="288" w:lineRule="auto"/>
              <w:jc w:val="right"/>
              <w:rPr>
                <w:sz w:val="24"/>
              </w:rPr>
            </w:pPr>
            <w:r w:rsidRPr="001B7979">
              <w:rPr>
                <w:sz w:val="24"/>
              </w:rPr>
              <w:t>6,148,206.20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504,571,243.00</w:t>
            </w:r>
          </w:p>
        </w:tc>
        <w:tc>
          <w:tcPr>
            <w:tcW w:w="1615" w:type="pct"/>
            <w:vAlign w:val="center"/>
          </w:tcPr>
          <w:p w:rsidR="001548F9" w:rsidRPr="001B7979" w:rsidRDefault="001548F9" w:rsidP="00571B8A">
            <w:pPr>
              <w:spacing w:before="29" w:line="288" w:lineRule="auto"/>
              <w:jc w:val="right"/>
              <w:rPr>
                <w:sz w:val="24"/>
              </w:rPr>
            </w:pPr>
            <w:r w:rsidRPr="001B7979">
              <w:rPr>
                <w:sz w:val="24"/>
              </w:rPr>
              <w:t>10,077,526.91</w:t>
            </w:r>
          </w:p>
        </w:tc>
      </w:tr>
    </w:tbl>
    <w:p w:rsidR="0039056C" w:rsidRDefault="005409C6">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796512"/>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796513"/>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796514"/>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39056C" w:rsidRDefault="005409C6">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1B257F" w:rsidRPr="001B7979">
        <w:rPr>
          <w:kern w:val="0"/>
          <w:sz w:val="24"/>
        </w:rPr>
        <w:t>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796515"/>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796516"/>
      <w:r w:rsidRPr="001B7979">
        <w:rPr>
          <w:rFonts w:ascii="Times New Roman" w:hAnsi="Times New Roman"/>
          <w:kern w:val="0"/>
          <w:szCs w:val="24"/>
        </w:rPr>
        <w:lastRenderedPageBreak/>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796517"/>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796518"/>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ED598D" w:rsidRPr="001B7979" w:rsidRDefault="00ED598D" w:rsidP="00BB7DC7">
      <w:pPr>
        <w:spacing w:line="360" w:lineRule="auto"/>
        <w:ind w:firstLineChars="200" w:firstLine="480"/>
        <w:rPr>
          <w:rFonts w:eastAsiaTheme="minorEastAsia" w:hint="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796519"/>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39056C" w:rsidRDefault="005409C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9056C" w:rsidRDefault="005409C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9056C" w:rsidRDefault="005409C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ED598D" w:rsidRPr="001B7979" w:rsidRDefault="00ED598D" w:rsidP="00BB7DC7">
      <w:pPr>
        <w:spacing w:line="360" w:lineRule="auto"/>
        <w:ind w:firstLineChars="200" w:firstLine="480"/>
        <w:rPr>
          <w:rFonts w:eastAsiaTheme="minorEastAsia" w:hint="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796520"/>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39056C">
        <w:tc>
          <w:tcPr>
            <w:tcW w:w="1560" w:type="dxa"/>
            <w:vAlign w:val="center"/>
          </w:tcPr>
          <w:p w:rsidR="0039056C" w:rsidRDefault="005409C6">
            <w:pPr>
              <w:jc w:val="left"/>
            </w:pPr>
            <w:r>
              <w:rPr>
                <w:rFonts w:eastAsiaTheme="minorEastAsia"/>
                <w:sz w:val="24"/>
              </w:rPr>
              <w:t>安信证券股份有限公司</w:t>
            </w:r>
          </w:p>
        </w:tc>
        <w:tc>
          <w:tcPr>
            <w:tcW w:w="780" w:type="dxa"/>
            <w:vAlign w:val="center"/>
          </w:tcPr>
          <w:p w:rsidR="0039056C" w:rsidRDefault="005409C6">
            <w:pPr>
              <w:jc w:val="right"/>
            </w:pPr>
            <w:r>
              <w:rPr>
                <w:rFonts w:eastAsiaTheme="minorEastAsia"/>
                <w:sz w:val="24"/>
              </w:rPr>
              <w:t>2</w:t>
            </w:r>
          </w:p>
        </w:tc>
        <w:tc>
          <w:tcPr>
            <w:tcW w:w="180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62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left"/>
            </w:pPr>
            <w:r>
              <w:rPr>
                <w:rFonts w:eastAsiaTheme="minorEastAsia"/>
                <w:sz w:val="24"/>
              </w:rPr>
              <w:t>-</w:t>
            </w:r>
          </w:p>
        </w:tc>
      </w:tr>
      <w:tr w:rsidR="0039056C">
        <w:tc>
          <w:tcPr>
            <w:tcW w:w="1560" w:type="dxa"/>
            <w:vAlign w:val="center"/>
          </w:tcPr>
          <w:p w:rsidR="0039056C" w:rsidRDefault="005409C6">
            <w:pPr>
              <w:jc w:val="left"/>
            </w:pPr>
            <w:r>
              <w:rPr>
                <w:rFonts w:eastAsiaTheme="minorEastAsia"/>
                <w:sz w:val="24"/>
              </w:rPr>
              <w:t>国金证券股份有限公司</w:t>
            </w:r>
          </w:p>
        </w:tc>
        <w:tc>
          <w:tcPr>
            <w:tcW w:w="780" w:type="dxa"/>
            <w:vAlign w:val="center"/>
          </w:tcPr>
          <w:p w:rsidR="0039056C" w:rsidRDefault="005409C6">
            <w:pPr>
              <w:jc w:val="right"/>
            </w:pPr>
            <w:r>
              <w:rPr>
                <w:rFonts w:eastAsiaTheme="minorEastAsia"/>
                <w:sz w:val="24"/>
              </w:rPr>
              <w:t>2</w:t>
            </w:r>
          </w:p>
        </w:tc>
        <w:tc>
          <w:tcPr>
            <w:tcW w:w="180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62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left"/>
            </w:pPr>
            <w:r>
              <w:rPr>
                <w:rFonts w:eastAsiaTheme="minorEastAsia"/>
                <w:sz w:val="24"/>
              </w:rPr>
              <w:t>-</w:t>
            </w:r>
          </w:p>
        </w:tc>
      </w:tr>
      <w:tr w:rsidR="0039056C">
        <w:tc>
          <w:tcPr>
            <w:tcW w:w="1560" w:type="dxa"/>
            <w:vAlign w:val="center"/>
          </w:tcPr>
          <w:p w:rsidR="0039056C" w:rsidRDefault="005409C6">
            <w:pPr>
              <w:jc w:val="left"/>
            </w:pPr>
            <w:r>
              <w:rPr>
                <w:rFonts w:eastAsiaTheme="minorEastAsia"/>
                <w:sz w:val="24"/>
              </w:rPr>
              <w:t>中泰证券股份有限公司</w:t>
            </w:r>
          </w:p>
        </w:tc>
        <w:tc>
          <w:tcPr>
            <w:tcW w:w="780" w:type="dxa"/>
            <w:vAlign w:val="center"/>
          </w:tcPr>
          <w:p w:rsidR="0039056C" w:rsidRDefault="005409C6">
            <w:pPr>
              <w:jc w:val="right"/>
            </w:pPr>
            <w:r>
              <w:rPr>
                <w:rFonts w:eastAsiaTheme="minorEastAsia"/>
                <w:sz w:val="24"/>
              </w:rPr>
              <w:t>3</w:t>
            </w:r>
          </w:p>
        </w:tc>
        <w:tc>
          <w:tcPr>
            <w:tcW w:w="180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62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left"/>
            </w:pPr>
            <w:r>
              <w:rPr>
                <w:rFonts w:eastAsiaTheme="minorEastAsia"/>
                <w:sz w:val="24"/>
              </w:rPr>
              <w:t>-</w:t>
            </w:r>
          </w:p>
        </w:tc>
      </w:tr>
      <w:tr w:rsidR="0039056C">
        <w:tc>
          <w:tcPr>
            <w:tcW w:w="1560" w:type="dxa"/>
            <w:vAlign w:val="center"/>
          </w:tcPr>
          <w:p w:rsidR="0039056C" w:rsidRDefault="005409C6">
            <w:pPr>
              <w:jc w:val="left"/>
            </w:pPr>
            <w:r>
              <w:rPr>
                <w:rFonts w:eastAsiaTheme="minorEastAsia"/>
                <w:sz w:val="24"/>
              </w:rPr>
              <w:t>新时代证券股份有限公司</w:t>
            </w:r>
          </w:p>
        </w:tc>
        <w:tc>
          <w:tcPr>
            <w:tcW w:w="780" w:type="dxa"/>
            <w:vAlign w:val="center"/>
          </w:tcPr>
          <w:p w:rsidR="0039056C" w:rsidRDefault="005409C6">
            <w:pPr>
              <w:jc w:val="right"/>
            </w:pPr>
            <w:r>
              <w:rPr>
                <w:rFonts w:eastAsiaTheme="minorEastAsia"/>
                <w:sz w:val="24"/>
              </w:rPr>
              <w:t>1</w:t>
            </w:r>
          </w:p>
        </w:tc>
        <w:tc>
          <w:tcPr>
            <w:tcW w:w="180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62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left"/>
            </w:pPr>
            <w:r>
              <w:rPr>
                <w:rFonts w:eastAsiaTheme="minorEastAsia"/>
                <w:sz w:val="24"/>
              </w:rPr>
              <w:t>-</w:t>
            </w:r>
          </w:p>
        </w:tc>
      </w:tr>
      <w:tr w:rsidR="0039056C">
        <w:tc>
          <w:tcPr>
            <w:tcW w:w="1560" w:type="dxa"/>
            <w:vAlign w:val="center"/>
          </w:tcPr>
          <w:p w:rsidR="0039056C" w:rsidRDefault="005409C6">
            <w:pPr>
              <w:jc w:val="left"/>
            </w:pPr>
            <w:r>
              <w:rPr>
                <w:rFonts w:eastAsiaTheme="minorEastAsia"/>
                <w:sz w:val="24"/>
              </w:rPr>
              <w:t>国盛证券有限责任公司</w:t>
            </w:r>
          </w:p>
        </w:tc>
        <w:tc>
          <w:tcPr>
            <w:tcW w:w="780" w:type="dxa"/>
            <w:vAlign w:val="center"/>
          </w:tcPr>
          <w:p w:rsidR="0039056C" w:rsidRDefault="005409C6">
            <w:pPr>
              <w:jc w:val="right"/>
            </w:pPr>
            <w:r>
              <w:rPr>
                <w:rFonts w:eastAsiaTheme="minorEastAsia"/>
                <w:sz w:val="24"/>
              </w:rPr>
              <w:t>1</w:t>
            </w:r>
          </w:p>
        </w:tc>
        <w:tc>
          <w:tcPr>
            <w:tcW w:w="180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62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left"/>
            </w:pPr>
            <w:r>
              <w:rPr>
                <w:rFonts w:eastAsiaTheme="minorEastAsia"/>
                <w:sz w:val="24"/>
              </w:rPr>
              <w:t>-</w:t>
            </w:r>
          </w:p>
        </w:tc>
      </w:tr>
      <w:tr w:rsidR="0039056C">
        <w:tc>
          <w:tcPr>
            <w:tcW w:w="1560" w:type="dxa"/>
            <w:vAlign w:val="center"/>
          </w:tcPr>
          <w:p w:rsidR="0039056C" w:rsidRDefault="005409C6">
            <w:pPr>
              <w:jc w:val="left"/>
            </w:pPr>
            <w:r>
              <w:rPr>
                <w:rFonts w:eastAsiaTheme="minorEastAsia"/>
                <w:sz w:val="24"/>
              </w:rPr>
              <w:t>中信证券股份有限公司</w:t>
            </w:r>
          </w:p>
        </w:tc>
        <w:tc>
          <w:tcPr>
            <w:tcW w:w="780" w:type="dxa"/>
            <w:vAlign w:val="center"/>
          </w:tcPr>
          <w:p w:rsidR="0039056C" w:rsidRDefault="005409C6">
            <w:pPr>
              <w:jc w:val="right"/>
            </w:pPr>
            <w:r>
              <w:rPr>
                <w:rFonts w:eastAsiaTheme="minorEastAsia"/>
                <w:sz w:val="24"/>
              </w:rPr>
              <w:t>1</w:t>
            </w:r>
          </w:p>
        </w:tc>
        <w:tc>
          <w:tcPr>
            <w:tcW w:w="180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62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right"/>
            </w:pPr>
            <w:r>
              <w:rPr>
                <w:rFonts w:eastAsiaTheme="minorEastAsia"/>
                <w:sz w:val="24"/>
              </w:rPr>
              <w:t>-</w:t>
            </w:r>
          </w:p>
        </w:tc>
        <w:tc>
          <w:tcPr>
            <w:tcW w:w="1080" w:type="dxa"/>
            <w:vAlign w:val="center"/>
          </w:tcPr>
          <w:p w:rsidR="0039056C" w:rsidRDefault="005409C6">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lastRenderedPageBreak/>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39056C">
        <w:tc>
          <w:tcPr>
            <w:tcW w:w="1560" w:type="dxa"/>
            <w:vAlign w:val="center"/>
          </w:tcPr>
          <w:p w:rsidR="0039056C" w:rsidRDefault="005409C6">
            <w:pPr>
              <w:jc w:val="center"/>
            </w:pPr>
            <w:r>
              <w:rPr>
                <w:rFonts w:eastAsiaTheme="minorEastAsia"/>
                <w:sz w:val="24"/>
              </w:rPr>
              <w:t>安信证券股份有限公司</w:t>
            </w:r>
          </w:p>
        </w:tc>
        <w:tc>
          <w:tcPr>
            <w:tcW w:w="1320" w:type="dxa"/>
            <w:vAlign w:val="center"/>
          </w:tcPr>
          <w:p w:rsidR="0039056C" w:rsidRDefault="005409C6">
            <w:pPr>
              <w:jc w:val="right"/>
            </w:pPr>
            <w:r>
              <w:rPr>
                <w:rFonts w:eastAsiaTheme="minorEastAsia"/>
                <w:sz w:val="24"/>
              </w:rPr>
              <w:t>2,008,970.00</w:t>
            </w:r>
          </w:p>
        </w:tc>
        <w:tc>
          <w:tcPr>
            <w:tcW w:w="1080" w:type="dxa"/>
            <w:vAlign w:val="center"/>
          </w:tcPr>
          <w:p w:rsidR="0039056C" w:rsidRDefault="005409C6">
            <w:pPr>
              <w:jc w:val="right"/>
            </w:pPr>
            <w:r>
              <w:rPr>
                <w:rFonts w:eastAsiaTheme="minorEastAsia"/>
                <w:sz w:val="24"/>
              </w:rPr>
              <w:t>100.00%</w:t>
            </w:r>
          </w:p>
        </w:tc>
        <w:tc>
          <w:tcPr>
            <w:tcW w:w="1143" w:type="dxa"/>
            <w:vAlign w:val="center"/>
          </w:tcPr>
          <w:p w:rsidR="0039056C" w:rsidRDefault="005409C6">
            <w:pPr>
              <w:jc w:val="right"/>
            </w:pPr>
            <w:r>
              <w:rPr>
                <w:rFonts w:eastAsiaTheme="minorEastAsia"/>
                <w:sz w:val="24"/>
              </w:rPr>
              <w:t>20,000,000.00</w:t>
            </w:r>
          </w:p>
        </w:tc>
        <w:tc>
          <w:tcPr>
            <w:tcW w:w="1197" w:type="dxa"/>
            <w:vAlign w:val="center"/>
          </w:tcPr>
          <w:p w:rsidR="0039056C" w:rsidRDefault="005409C6">
            <w:pPr>
              <w:jc w:val="right"/>
            </w:pPr>
            <w:r>
              <w:rPr>
                <w:rFonts w:eastAsiaTheme="minorEastAsia"/>
                <w:sz w:val="24"/>
              </w:rPr>
              <w:t>100.00%</w:t>
            </w:r>
          </w:p>
        </w:tc>
        <w:tc>
          <w:tcPr>
            <w:tcW w:w="1497" w:type="dxa"/>
            <w:vAlign w:val="center"/>
          </w:tcPr>
          <w:p w:rsidR="0039056C" w:rsidRDefault="005409C6">
            <w:pPr>
              <w:jc w:val="right"/>
            </w:pPr>
            <w:r>
              <w:rPr>
                <w:rFonts w:eastAsiaTheme="minorEastAsia"/>
                <w:sz w:val="24"/>
              </w:rPr>
              <w:t>-</w:t>
            </w:r>
          </w:p>
        </w:tc>
        <w:tc>
          <w:tcPr>
            <w:tcW w:w="1203" w:type="dxa"/>
            <w:vAlign w:val="center"/>
          </w:tcPr>
          <w:p w:rsidR="0039056C" w:rsidRDefault="005409C6">
            <w:pPr>
              <w:jc w:val="right"/>
            </w:pPr>
            <w:r>
              <w:rPr>
                <w:rFonts w:eastAsiaTheme="minorEastAsia"/>
                <w:sz w:val="24"/>
              </w:rPr>
              <w:t>-</w:t>
            </w:r>
          </w:p>
        </w:tc>
      </w:tr>
    </w:tbl>
    <w:p w:rsidR="0039056C" w:rsidRDefault="005409C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、报告期内，本基金新增加国盛证券有限责任公司，其它交易单元未发生变化；</w:t>
      </w:r>
    </w:p>
    <w:p w:rsidR="0039056C" w:rsidRDefault="005409C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796521"/>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39056C">
        <w:tc>
          <w:tcPr>
            <w:tcW w:w="720" w:type="dxa"/>
            <w:vAlign w:val="center"/>
          </w:tcPr>
          <w:p w:rsidR="0039056C" w:rsidRDefault="005409C6">
            <w:pPr>
              <w:jc w:val="center"/>
            </w:pPr>
            <w:r>
              <w:rPr>
                <w:color w:val="000000"/>
                <w:sz w:val="24"/>
              </w:rPr>
              <w:t>1</w:t>
            </w:r>
          </w:p>
        </w:tc>
        <w:tc>
          <w:tcPr>
            <w:tcW w:w="4319" w:type="dxa"/>
            <w:vAlign w:val="center"/>
          </w:tcPr>
          <w:p w:rsidR="0039056C" w:rsidRDefault="005409C6">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2019-01-15</w:t>
            </w:r>
          </w:p>
        </w:tc>
      </w:tr>
      <w:tr w:rsidR="0039056C">
        <w:tc>
          <w:tcPr>
            <w:tcW w:w="720" w:type="dxa"/>
            <w:vAlign w:val="center"/>
          </w:tcPr>
          <w:p w:rsidR="0039056C" w:rsidRDefault="005409C6">
            <w:pPr>
              <w:jc w:val="center"/>
            </w:pPr>
            <w:r>
              <w:rPr>
                <w:color w:val="000000"/>
                <w:sz w:val="24"/>
              </w:rPr>
              <w:t>2</w:t>
            </w:r>
          </w:p>
        </w:tc>
        <w:tc>
          <w:tcPr>
            <w:tcW w:w="4319" w:type="dxa"/>
            <w:vAlign w:val="center"/>
          </w:tcPr>
          <w:p w:rsidR="0039056C" w:rsidRDefault="005409C6">
            <w:r>
              <w:rPr>
                <w:color w:val="000000"/>
                <w:sz w:val="24"/>
              </w:rPr>
              <w:t>交银施罗德丰享收益债券型证券投资基金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39056C" w:rsidRDefault="005409C6">
            <w:r>
              <w:rPr>
                <w:color w:val="000000"/>
                <w:sz w:val="24"/>
              </w:rPr>
              <w:t>中国证券报</w:t>
            </w:r>
          </w:p>
        </w:tc>
        <w:tc>
          <w:tcPr>
            <w:tcW w:w="1440" w:type="dxa"/>
            <w:vAlign w:val="center"/>
          </w:tcPr>
          <w:p w:rsidR="0039056C" w:rsidRDefault="005409C6">
            <w:pPr>
              <w:jc w:val="center"/>
            </w:pPr>
            <w:r>
              <w:rPr>
                <w:color w:val="000000"/>
                <w:sz w:val="24"/>
              </w:rPr>
              <w:t>2019-01-21</w:t>
            </w:r>
          </w:p>
        </w:tc>
      </w:tr>
      <w:tr w:rsidR="0039056C">
        <w:tc>
          <w:tcPr>
            <w:tcW w:w="720" w:type="dxa"/>
            <w:vAlign w:val="center"/>
          </w:tcPr>
          <w:p w:rsidR="0039056C" w:rsidRDefault="005409C6">
            <w:pPr>
              <w:jc w:val="center"/>
            </w:pPr>
            <w:r>
              <w:rPr>
                <w:color w:val="000000"/>
                <w:sz w:val="24"/>
              </w:rPr>
              <w:t>3</w:t>
            </w:r>
          </w:p>
        </w:tc>
        <w:tc>
          <w:tcPr>
            <w:tcW w:w="4319" w:type="dxa"/>
            <w:vAlign w:val="center"/>
          </w:tcPr>
          <w:p w:rsidR="0039056C" w:rsidRDefault="005409C6">
            <w:r>
              <w:rPr>
                <w:color w:val="000000"/>
                <w:sz w:val="24"/>
              </w:rPr>
              <w:t>交银施罗德基金管理有限公司关于开展网上直销交易平台交易费率优惠活动的公告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2019-01-28</w:t>
            </w:r>
          </w:p>
        </w:tc>
      </w:tr>
      <w:tr w:rsidR="0039056C">
        <w:tc>
          <w:tcPr>
            <w:tcW w:w="720" w:type="dxa"/>
            <w:vAlign w:val="center"/>
          </w:tcPr>
          <w:p w:rsidR="0039056C" w:rsidRDefault="005409C6">
            <w:pPr>
              <w:jc w:val="center"/>
            </w:pPr>
            <w:r>
              <w:rPr>
                <w:color w:val="000000"/>
                <w:sz w:val="24"/>
              </w:rPr>
              <w:t>4</w:t>
            </w:r>
          </w:p>
        </w:tc>
        <w:tc>
          <w:tcPr>
            <w:tcW w:w="4319" w:type="dxa"/>
            <w:vAlign w:val="center"/>
          </w:tcPr>
          <w:p w:rsidR="0039056C" w:rsidRDefault="005409C6">
            <w:r>
              <w:rPr>
                <w:color w:val="000000"/>
                <w:sz w:val="24"/>
              </w:rPr>
              <w:t>交银施罗德基金管理有限公司关于暂停大泰金石基金销售有限公司办理相关销售业务的公告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2019-01-29</w:t>
            </w:r>
          </w:p>
        </w:tc>
      </w:tr>
      <w:tr w:rsidR="0039056C">
        <w:tc>
          <w:tcPr>
            <w:tcW w:w="720" w:type="dxa"/>
            <w:vAlign w:val="center"/>
          </w:tcPr>
          <w:p w:rsidR="0039056C" w:rsidRDefault="005409C6">
            <w:pPr>
              <w:jc w:val="center"/>
            </w:pPr>
            <w:r>
              <w:rPr>
                <w:color w:val="000000"/>
                <w:sz w:val="24"/>
              </w:rPr>
              <w:t>5</w:t>
            </w:r>
          </w:p>
        </w:tc>
        <w:tc>
          <w:tcPr>
            <w:tcW w:w="4319" w:type="dxa"/>
            <w:vAlign w:val="center"/>
          </w:tcPr>
          <w:p w:rsidR="0039056C" w:rsidRDefault="005409C6">
            <w:r>
              <w:rPr>
                <w:color w:val="000000"/>
                <w:sz w:val="24"/>
              </w:rPr>
              <w:t>交银施罗德基金管理有限公司关于总经理变更的公告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2019-02-28</w:t>
            </w:r>
          </w:p>
        </w:tc>
      </w:tr>
      <w:tr w:rsidR="0039056C">
        <w:tc>
          <w:tcPr>
            <w:tcW w:w="720" w:type="dxa"/>
            <w:vAlign w:val="center"/>
          </w:tcPr>
          <w:p w:rsidR="0039056C" w:rsidRDefault="005409C6">
            <w:pPr>
              <w:jc w:val="center"/>
            </w:pPr>
            <w:r>
              <w:rPr>
                <w:color w:val="000000"/>
                <w:sz w:val="24"/>
              </w:rPr>
              <w:t>6</w:t>
            </w:r>
          </w:p>
        </w:tc>
        <w:tc>
          <w:tcPr>
            <w:tcW w:w="4319" w:type="dxa"/>
            <w:vAlign w:val="center"/>
          </w:tcPr>
          <w:p w:rsidR="0039056C" w:rsidRDefault="005409C6">
            <w:r>
              <w:rPr>
                <w:color w:val="000000"/>
                <w:sz w:val="24"/>
              </w:rPr>
              <w:t>交银施罗德丰享收益债券型证券投资基金（更新）招募说明书摘要（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39056C" w:rsidRDefault="005409C6">
            <w:r>
              <w:rPr>
                <w:color w:val="000000"/>
                <w:sz w:val="24"/>
              </w:rPr>
              <w:t>中国证券报</w:t>
            </w:r>
          </w:p>
        </w:tc>
        <w:tc>
          <w:tcPr>
            <w:tcW w:w="1440" w:type="dxa"/>
            <w:vAlign w:val="center"/>
          </w:tcPr>
          <w:p w:rsidR="0039056C" w:rsidRDefault="005409C6">
            <w:pPr>
              <w:jc w:val="center"/>
            </w:pPr>
            <w:r>
              <w:rPr>
                <w:color w:val="000000"/>
                <w:sz w:val="24"/>
              </w:rPr>
              <w:t>2019-03-05</w:t>
            </w:r>
          </w:p>
        </w:tc>
      </w:tr>
      <w:tr w:rsidR="0039056C">
        <w:tc>
          <w:tcPr>
            <w:tcW w:w="720" w:type="dxa"/>
            <w:vAlign w:val="center"/>
          </w:tcPr>
          <w:p w:rsidR="0039056C" w:rsidRDefault="005409C6">
            <w:pPr>
              <w:jc w:val="center"/>
            </w:pPr>
            <w:r>
              <w:rPr>
                <w:color w:val="000000"/>
                <w:sz w:val="24"/>
              </w:rPr>
              <w:t>7</w:t>
            </w:r>
          </w:p>
        </w:tc>
        <w:tc>
          <w:tcPr>
            <w:tcW w:w="4319" w:type="dxa"/>
            <w:vAlign w:val="center"/>
          </w:tcPr>
          <w:p w:rsidR="0039056C" w:rsidRDefault="005409C6">
            <w:r>
              <w:rPr>
                <w:color w:val="000000"/>
                <w:sz w:val="24"/>
              </w:rPr>
              <w:t>交银施罗德基金管理有限公司关于暂停</w:t>
            </w:r>
            <w:r>
              <w:rPr>
                <w:color w:val="000000"/>
                <w:sz w:val="24"/>
              </w:rPr>
              <w:lastRenderedPageBreak/>
              <w:t>苏州财路基金销售有限公司办理相关销售业务的公告</w:t>
            </w:r>
          </w:p>
        </w:tc>
        <w:tc>
          <w:tcPr>
            <w:tcW w:w="2519" w:type="dxa"/>
            <w:vAlign w:val="center"/>
          </w:tcPr>
          <w:p w:rsidR="0039056C" w:rsidRDefault="005409C6">
            <w:r>
              <w:rPr>
                <w:color w:val="000000"/>
                <w:sz w:val="24"/>
              </w:rPr>
              <w:lastRenderedPageBreak/>
              <w:t>中国证券报、上海证券</w:t>
            </w:r>
            <w:r>
              <w:rPr>
                <w:color w:val="000000"/>
                <w:sz w:val="24"/>
              </w:rPr>
              <w:lastRenderedPageBreak/>
              <w:t>报、证券时报</w:t>
            </w:r>
          </w:p>
        </w:tc>
        <w:tc>
          <w:tcPr>
            <w:tcW w:w="1440" w:type="dxa"/>
            <w:vAlign w:val="center"/>
          </w:tcPr>
          <w:p w:rsidR="0039056C" w:rsidRDefault="005409C6">
            <w:pPr>
              <w:jc w:val="center"/>
            </w:pPr>
            <w:r>
              <w:rPr>
                <w:color w:val="000000"/>
                <w:sz w:val="24"/>
              </w:rPr>
              <w:lastRenderedPageBreak/>
              <w:t>2019-03-07</w:t>
            </w:r>
          </w:p>
        </w:tc>
      </w:tr>
      <w:tr w:rsidR="0039056C">
        <w:tc>
          <w:tcPr>
            <w:tcW w:w="720" w:type="dxa"/>
            <w:vAlign w:val="center"/>
          </w:tcPr>
          <w:p w:rsidR="0039056C" w:rsidRDefault="005409C6">
            <w:pPr>
              <w:jc w:val="center"/>
            </w:pPr>
            <w:r>
              <w:rPr>
                <w:color w:val="000000"/>
                <w:sz w:val="24"/>
              </w:rPr>
              <w:t>8</w:t>
            </w:r>
          </w:p>
        </w:tc>
        <w:tc>
          <w:tcPr>
            <w:tcW w:w="4319" w:type="dxa"/>
            <w:vAlign w:val="center"/>
          </w:tcPr>
          <w:p w:rsidR="0039056C" w:rsidRDefault="005409C6">
            <w:r>
              <w:rPr>
                <w:color w:val="000000"/>
                <w:sz w:val="24"/>
              </w:rPr>
              <w:t>交银施罗德丰享收益债券型证券投资基金</w:t>
            </w:r>
            <w:r>
              <w:rPr>
                <w:color w:val="000000"/>
                <w:sz w:val="24"/>
              </w:rPr>
              <w:t>2018</w:t>
            </w:r>
            <w:r>
              <w:rPr>
                <w:color w:val="000000"/>
                <w:sz w:val="24"/>
              </w:rPr>
              <w:t>年年度报告摘要</w:t>
            </w:r>
          </w:p>
        </w:tc>
        <w:tc>
          <w:tcPr>
            <w:tcW w:w="2519" w:type="dxa"/>
            <w:vAlign w:val="center"/>
          </w:tcPr>
          <w:p w:rsidR="0039056C" w:rsidRDefault="005409C6">
            <w:r>
              <w:rPr>
                <w:color w:val="000000"/>
                <w:sz w:val="24"/>
              </w:rPr>
              <w:t>中国证券报</w:t>
            </w:r>
          </w:p>
        </w:tc>
        <w:tc>
          <w:tcPr>
            <w:tcW w:w="1440" w:type="dxa"/>
            <w:vAlign w:val="center"/>
          </w:tcPr>
          <w:p w:rsidR="0039056C" w:rsidRDefault="005409C6">
            <w:pPr>
              <w:jc w:val="center"/>
            </w:pPr>
            <w:r>
              <w:rPr>
                <w:color w:val="000000"/>
                <w:sz w:val="24"/>
              </w:rPr>
              <w:t>2019-03-27</w:t>
            </w:r>
          </w:p>
        </w:tc>
      </w:tr>
      <w:tr w:rsidR="0039056C">
        <w:tc>
          <w:tcPr>
            <w:tcW w:w="720" w:type="dxa"/>
            <w:vAlign w:val="center"/>
          </w:tcPr>
          <w:p w:rsidR="0039056C" w:rsidRDefault="005409C6">
            <w:pPr>
              <w:jc w:val="center"/>
            </w:pPr>
            <w:r>
              <w:rPr>
                <w:color w:val="000000"/>
                <w:sz w:val="24"/>
              </w:rPr>
              <w:t>9</w:t>
            </w:r>
          </w:p>
        </w:tc>
        <w:tc>
          <w:tcPr>
            <w:tcW w:w="4319" w:type="dxa"/>
            <w:vAlign w:val="center"/>
          </w:tcPr>
          <w:p w:rsidR="0039056C" w:rsidRDefault="005409C6">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2019-04-01</w:t>
            </w:r>
          </w:p>
        </w:tc>
      </w:tr>
      <w:tr w:rsidR="0039056C">
        <w:tc>
          <w:tcPr>
            <w:tcW w:w="720" w:type="dxa"/>
            <w:vAlign w:val="center"/>
          </w:tcPr>
          <w:p w:rsidR="0039056C" w:rsidRDefault="005409C6">
            <w:pPr>
              <w:jc w:val="center"/>
            </w:pPr>
            <w:r>
              <w:rPr>
                <w:color w:val="000000"/>
                <w:sz w:val="24"/>
              </w:rPr>
              <w:t>10</w:t>
            </w:r>
          </w:p>
        </w:tc>
        <w:tc>
          <w:tcPr>
            <w:tcW w:w="4319" w:type="dxa"/>
            <w:vAlign w:val="center"/>
          </w:tcPr>
          <w:p w:rsidR="0039056C" w:rsidRDefault="005409C6">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2019-04-12</w:t>
            </w:r>
          </w:p>
        </w:tc>
      </w:tr>
      <w:tr w:rsidR="0039056C">
        <w:tc>
          <w:tcPr>
            <w:tcW w:w="720" w:type="dxa"/>
            <w:vAlign w:val="center"/>
          </w:tcPr>
          <w:p w:rsidR="0039056C" w:rsidRDefault="005409C6">
            <w:pPr>
              <w:jc w:val="center"/>
            </w:pPr>
            <w:r>
              <w:rPr>
                <w:color w:val="000000"/>
                <w:sz w:val="24"/>
              </w:rPr>
              <w:t>11</w:t>
            </w:r>
          </w:p>
        </w:tc>
        <w:tc>
          <w:tcPr>
            <w:tcW w:w="4319" w:type="dxa"/>
            <w:vAlign w:val="center"/>
          </w:tcPr>
          <w:p w:rsidR="0039056C" w:rsidRDefault="005409C6">
            <w:r>
              <w:rPr>
                <w:color w:val="000000"/>
                <w:sz w:val="24"/>
              </w:rPr>
              <w:t>交银施罗德基金管理有限公司关于取消纸质对账单寄送的公告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2019-04-12</w:t>
            </w:r>
          </w:p>
        </w:tc>
      </w:tr>
      <w:tr w:rsidR="0039056C">
        <w:tc>
          <w:tcPr>
            <w:tcW w:w="720" w:type="dxa"/>
            <w:vAlign w:val="center"/>
          </w:tcPr>
          <w:p w:rsidR="0039056C" w:rsidRDefault="005409C6">
            <w:pPr>
              <w:jc w:val="center"/>
            </w:pPr>
            <w:r>
              <w:rPr>
                <w:color w:val="000000"/>
                <w:sz w:val="24"/>
              </w:rPr>
              <w:t>12</w:t>
            </w:r>
          </w:p>
        </w:tc>
        <w:tc>
          <w:tcPr>
            <w:tcW w:w="4319" w:type="dxa"/>
            <w:vAlign w:val="center"/>
          </w:tcPr>
          <w:p w:rsidR="0039056C" w:rsidRDefault="005409C6">
            <w:r>
              <w:rPr>
                <w:color w:val="000000"/>
                <w:sz w:val="24"/>
              </w:rPr>
              <w:t>交银施罗德丰享收益债券型证券投资基金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39056C" w:rsidRDefault="005409C6">
            <w:r>
              <w:rPr>
                <w:color w:val="000000"/>
                <w:sz w:val="24"/>
              </w:rPr>
              <w:t>中国证券报</w:t>
            </w:r>
          </w:p>
        </w:tc>
        <w:tc>
          <w:tcPr>
            <w:tcW w:w="1440" w:type="dxa"/>
            <w:vAlign w:val="center"/>
          </w:tcPr>
          <w:p w:rsidR="0039056C" w:rsidRDefault="005409C6">
            <w:pPr>
              <w:jc w:val="center"/>
            </w:pPr>
            <w:r>
              <w:rPr>
                <w:color w:val="000000"/>
                <w:sz w:val="24"/>
              </w:rPr>
              <w:t>2019-04-20</w:t>
            </w:r>
          </w:p>
        </w:tc>
      </w:tr>
      <w:tr w:rsidR="0039056C">
        <w:tc>
          <w:tcPr>
            <w:tcW w:w="720" w:type="dxa"/>
            <w:vAlign w:val="center"/>
          </w:tcPr>
          <w:p w:rsidR="0039056C" w:rsidRDefault="005409C6">
            <w:pPr>
              <w:jc w:val="center"/>
            </w:pPr>
            <w:r>
              <w:rPr>
                <w:color w:val="000000"/>
                <w:sz w:val="24"/>
              </w:rPr>
              <w:t>13</w:t>
            </w:r>
          </w:p>
        </w:tc>
        <w:tc>
          <w:tcPr>
            <w:tcW w:w="4319" w:type="dxa"/>
            <w:vAlign w:val="center"/>
          </w:tcPr>
          <w:p w:rsidR="0039056C" w:rsidRDefault="005409C6">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2019-04-23</w:t>
            </w:r>
          </w:p>
        </w:tc>
      </w:tr>
      <w:tr w:rsidR="0039056C">
        <w:tc>
          <w:tcPr>
            <w:tcW w:w="720" w:type="dxa"/>
            <w:vAlign w:val="center"/>
          </w:tcPr>
          <w:p w:rsidR="0039056C" w:rsidRDefault="005409C6">
            <w:pPr>
              <w:jc w:val="center"/>
            </w:pPr>
            <w:r>
              <w:rPr>
                <w:color w:val="000000"/>
                <w:sz w:val="24"/>
              </w:rPr>
              <w:t>14</w:t>
            </w:r>
          </w:p>
        </w:tc>
        <w:tc>
          <w:tcPr>
            <w:tcW w:w="4319" w:type="dxa"/>
            <w:vAlign w:val="center"/>
          </w:tcPr>
          <w:p w:rsidR="0039056C" w:rsidRDefault="005409C6">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2019-05-16</w:t>
            </w:r>
          </w:p>
        </w:tc>
      </w:tr>
      <w:tr w:rsidR="0039056C">
        <w:tc>
          <w:tcPr>
            <w:tcW w:w="720" w:type="dxa"/>
            <w:vAlign w:val="center"/>
          </w:tcPr>
          <w:p w:rsidR="0039056C" w:rsidRDefault="005409C6">
            <w:pPr>
              <w:jc w:val="center"/>
            </w:pPr>
            <w:r>
              <w:rPr>
                <w:color w:val="000000"/>
                <w:sz w:val="24"/>
              </w:rPr>
              <w:t>15</w:t>
            </w:r>
          </w:p>
        </w:tc>
        <w:tc>
          <w:tcPr>
            <w:tcW w:w="4319" w:type="dxa"/>
            <w:vAlign w:val="center"/>
          </w:tcPr>
          <w:p w:rsidR="0039056C" w:rsidRDefault="005409C6">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39056C" w:rsidRDefault="005409C6">
            <w:r>
              <w:rPr>
                <w:color w:val="000000"/>
                <w:sz w:val="24"/>
              </w:rPr>
              <w:t>中国证券报、上海证券报、证券时报</w:t>
            </w:r>
          </w:p>
        </w:tc>
        <w:tc>
          <w:tcPr>
            <w:tcW w:w="1440" w:type="dxa"/>
            <w:vAlign w:val="center"/>
          </w:tcPr>
          <w:p w:rsidR="0039056C" w:rsidRDefault="005409C6">
            <w:pPr>
              <w:jc w:val="center"/>
            </w:pPr>
            <w:r>
              <w:rPr>
                <w:color w:val="000000"/>
                <w:sz w:val="24"/>
              </w:rPr>
              <w:t>2019-05-23</w:t>
            </w:r>
          </w:p>
        </w:tc>
      </w:tr>
    </w:tbl>
    <w:p w:rsidR="00A94833" w:rsidRPr="001B7979" w:rsidRDefault="00A94833" w:rsidP="00571B8A">
      <w:pPr>
        <w:spacing w:before="29" w:line="288" w:lineRule="auto"/>
        <w:jc w:val="left"/>
        <w:rPr>
          <w:kern w:val="0"/>
          <w:sz w:val="24"/>
        </w:rPr>
      </w:pPr>
    </w:p>
    <w:p w:rsidR="00F26E25" w:rsidRPr="00ED598D" w:rsidRDefault="00ED598D" w:rsidP="003E4CDB">
      <w:pPr>
        <w:pStyle w:val="1"/>
        <w:keepNext/>
        <w:keepLines/>
        <w:widowControl w:val="0"/>
        <w:spacing w:beforeLines="100" w:before="312" w:afterLines="100" w:after="312" w:line="360" w:lineRule="auto"/>
        <w:jc w:val="center"/>
        <w:rPr>
          <w:rFonts w:eastAsiaTheme="minorEastAsia"/>
          <w:b/>
          <w:bCs/>
          <w:szCs w:val="21"/>
          <w:lang w:val="en-US"/>
        </w:rPr>
      </w:pPr>
      <w:bookmarkStart w:id="112" w:name="_Toc17796522"/>
      <w:r w:rsidRPr="001B7979">
        <w:rPr>
          <w:b/>
          <w:bCs/>
          <w:szCs w:val="24"/>
          <w:lang w:val="en-US"/>
        </w:rPr>
        <w:t>§</w:t>
      </w:r>
      <w:r w:rsidR="00F26E25" w:rsidRPr="00ED598D">
        <w:rPr>
          <w:rFonts w:eastAsiaTheme="minorEastAsia"/>
          <w:b/>
          <w:bCs/>
          <w:szCs w:val="21"/>
          <w:lang w:val="en-US"/>
        </w:rPr>
        <w:t xml:space="preserve">11  </w:t>
      </w:r>
      <w:r w:rsidR="00F26E25" w:rsidRPr="00ED598D">
        <w:rPr>
          <w:rFonts w:eastAsiaTheme="minorEastAsia"/>
          <w:b/>
          <w:bCs/>
          <w:szCs w:val="21"/>
          <w:lang w:val="en-US"/>
        </w:rPr>
        <w:t>影响投资者决策的其他重要信息</w:t>
      </w:r>
      <w:bookmarkEnd w:id="112"/>
    </w:p>
    <w:p w:rsidR="00F26E25" w:rsidRPr="00ED598D" w:rsidRDefault="00F26E25" w:rsidP="00F26E25">
      <w:pPr>
        <w:autoSpaceDE w:val="0"/>
        <w:autoSpaceDN w:val="0"/>
        <w:adjustRightInd w:val="0"/>
        <w:spacing w:line="360" w:lineRule="auto"/>
        <w:jc w:val="left"/>
        <w:rPr>
          <w:rFonts w:ascii="宋体" w:hAnsi="宋体"/>
          <w:b/>
          <w:bCs/>
          <w:color w:val="000000"/>
          <w:kern w:val="0"/>
          <w:sz w:val="24"/>
          <w:szCs w:val="21"/>
        </w:rPr>
      </w:pPr>
      <w:r w:rsidRPr="00ED598D">
        <w:rPr>
          <w:rFonts w:ascii="宋体" w:hAnsi="宋体"/>
          <w:b/>
          <w:bCs/>
          <w:color w:val="000000"/>
          <w:kern w:val="0"/>
          <w:sz w:val="24"/>
          <w:szCs w:val="21"/>
        </w:rPr>
        <w:t>11.</w:t>
      </w:r>
      <w:r w:rsidRPr="00ED598D">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ED598D" w:rsidTr="004B0ED5">
        <w:tc>
          <w:tcPr>
            <w:tcW w:w="993" w:type="dxa"/>
            <w:vMerge w:val="restart"/>
            <w:vAlign w:val="center"/>
          </w:tcPr>
          <w:p w:rsidR="00F26E25" w:rsidRPr="00ED598D" w:rsidRDefault="00F26E25" w:rsidP="004B0ED5">
            <w:pPr>
              <w:autoSpaceDE w:val="0"/>
              <w:autoSpaceDN w:val="0"/>
              <w:adjustRightInd w:val="0"/>
              <w:jc w:val="center"/>
              <w:rPr>
                <w:rFonts w:ascii="宋体" w:hAnsi="宋体"/>
                <w:b/>
                <w:bCs/>
                <w:color w:val="000000"/>
                <w:kern w:val="0"/>
                <w:sz w:val="24"/>
                <w:szCs w:val="21"/>
              </w:rPr>
            </w:pPr>
            <w:r w:rsidRPr="00ED598D">
              <w:rPr>
                <w:rFonts w:ascii="宋体" w:hAnsi="宋体" w:hint="eastAsia"/>
                <w:color w:val="000000"/>
                <w:kern w:val="0"/>
                <w:sz w:val="24"/>
                <w:szCs w:val="21"/>
              </w:rPr>
              <w:t>投资者类别</w:t>
            </w:r>
            <w:r w:rsidRPr="00ED598D">
              <w:rPr>
                <w:rFonts w:ascii="宋体" w:hAnsi="宋体"/>
                <w:color w:val="000000"/>
                <w:kern w:val="0"/>
                <w:sz w:val="24"/>
                <w:szCs w:val="21"/>
              </w:rPr>
              <w:t xml:space="preserve">  </w:t>
            </w:r>
          </w:p>
        </w:tc>
        <w:tc>
          <w:tcPr>
            <w:tcW w:w="5670" w:type="dxa"/>
            <w:gridSpan w:val="5"/>
            <w:vAlign w:val="center"/>
          </w:tcPr>
          <w:p w:rsidR="00F26E25" w:rsidRPr="00ED598D" w:rsidRDefault="00F26E25" w:rsidP="004B0ED5">
            <w:pPr>
              <w:autoSpaceDE w:val="0"/>
              <w:autoSpaceDN w:val="0"/>
              <w:adjustRightInd w:val="0"/>
              <w:jc w:val="center"/>
              <w:rPr>
                <w:rFonts w:ascii="宋体" w:hAnsi="宋体"/>
                <w:b/>
                <w:bCs/>
                <w:color w:val="000000"/>
                <w:kern w:val="0"/>
                <w:sz w:val="24"/>
                <w:szCs w:val="21"/>
              </w:rPr>
            </w:pPr>
            <w:r w:rsidRPr="00ED598D">
              <w:rPr>
                <w:rFonts w:ascii="宋体" w:hAnsi="宋体" w:hint="eastAsia"/>
                <w:color w:val="000000"/>
                <w:kern w:val="0"/>
                <w:sz w:val="24"/>
                <w:szCs w:val="21"/>
              </w:rPr>
              <w:t>报告期内持有基金份额变化情况</w:t>
            </w:r>
          </w:p>
        </w:tc>
        <w:tc>
          <w:tcPr>
            <w:tcW w:w="2549" w:type="dxa"/>
            <w:gridSpan w:val="2"/>
            <w:vAlign w:val="center"/>
          </w:tcPr>
          <w:p w:rsidR="00F26E25" w:rsidRPr="00ED598D" w:rsidRDefault="00F26E25" w:rsidP="004B0ED5">
            <w:pPr>
              <w:autoSpaceDE w:val="0"/>
              <w:autoSpaceDN w:val="0"/>
              <w:adjustRightInd w:val="0"/>
              <w:jc w:val="center"/>
              <w:rPr>
                <w:rFonts w:ascii="宋体" w:hAnsi="宋体"/>
                <w:b/>
                <w:bCs/>
                <w:color w:val="000000"/>
                <w:kern w:val="0"/>
                <w:sz w:val="24"/>
                <w:szCs w:val="21"/>
              </w:rPr>
            </w:pPr>
            <w:r w:rsidRPr="00ED598D">
              <w:rPr>
                <w:rFonts w:ascii="宋体" w:hAnsi="宋体" w:hint="eastAsia"/>
                <w:color w:val="000000"/>
                <w:kern w:val="0"/>
                <w:sz w:val="24"/>
                <w:szCs w:val="21"/>
              </w:rPr>
              <w:t>报告期末持有基金情况</w:t>
            </w:r>
          </w:p>
        </w:tc>
      </w:tr>
      <w:tr w:rsidR="00F26E25" w:rsidRPr="00ED598D" w:rsidTr="004B0ED5">
        <w:tc>
          <w:tcPr>
            <w:tcW w:w="993" w:type="dxa"/>
            <w:vMerge/>
            <w:vAlign w:val="center"/>
          </w:tcPr>
          <w:p w:rsidR="00F26E25" w:rsidRPr="00ED598D" w:rsidRDefault="00F26E25" w:rsidP="004B0ED5">
            <w:pPr>
              <w:autoSpaceDE w:val="0"/>
              <w:autoSpaceDN w:val="0"/>
              <w:adjustRightInd w:val="0"/>
              <w:jc w:val="center"/>
              <w:rPr>
                <w:rFonts w:ascii="宋体" w:hAnsi="宋体"/>
                <w:b/>
                <w:bCs/>
                <w:color w:val="000000"/>
                <w:kern w:val="0"/>
                <w:sz w:val="24"/>
                <w:szCs w:val="21"/>
              </w:rPr>
            </w:pPr>
          </w:p>
        </w:tc>
        <w:tc>
          <w:tcPr>
            <w:tcW w:w="992" w:type="dxa"/>
            <w:vAlign w:val="center"/>
          </w:tcPr>
          <w:p w:rsidR="00F26E25" w:rsidRPr="00ED598D" w:rsidRDefault="00F26E25" w:rsidP="004B0ED5">
            <w:pPr>
              <w:autoSpaceDE w:val="0"/>
              <w:autoSpaceDN w:val="0"/>
              <w:adjustRightInd w:val="0"/>
              <w:jc w:val="center"/>
              <w:rPr>
                <w:rFonts w:ascii="宋体" w:hAnsi="宋体"/>
                <w:b/>
                <w:bCs/>
                <w:color w:val="000000"/>
                <w:kern w:val="0"/>
                <w:sz w:val="24"/>
                <w:szCs w:val="21"/>
              </w:rPr>
            </w:pPr>
            <w:r w:rsidRPr="00ED598D">
              <w:rPr>
                <w:rFonts w:ascii="宋体" w:hAnsi="宋体" w:hint="eastAsia"/>
                <w:color w:val="000000"/>
                <w:kern w:val="0"/>
                <w:sz w:val="24"/>
                <w:szCs w:val="21"/>
              </w:rPr>
              <w:t>序号</w:t>
            </w:r>
          </w:p>
        </w:tc>
        <w:tc>
          <w:tcPr>
            <w:tcW w:w="1843" w:type="dxa"/>
            <w:vAlign w:val="center"/>
          </w:tcPr>
          <w:p w:rsidR="00F26E25" w:rsidRPr="00ED598D" w:rsidRDefault="00F26E25" w:rsidP="004B0ED5">
            <w:pPr>
              <w:autoSpaceDE w:val="0"/>
              <w:autoSpaceDN w:val="0"/>
              <w:adjustRightInd w:val="0"/>
              <w:jc w:val="center"/>
              <w:rPr>
                <w:rFonts w:ascii="宋体" w:hAnsi="宋体"/>
                <w:b/>
                <w:bCs/>
                <w:color w:val="000000"/>
                <w:kern w:val="0"/>
                <w:sz w:val="24"/>
                <w:szCs w:val="21"/>
              </w:rPr>
            </w:pPr>
            <w:r w:rsidRPr="00ED598D">
              <w:rPr>
                <w:rFonts w:ascii="宋体" w:hAnsi="宋体" w:hint="eastAsia"/>
                <w:color w:val="000000"/>
                <w:kern w:val="0"/>
                <w:sz w:val="24"/>
                <w:szCs w:val="21"/>
              </w:rPr>
              <w:t>持有基金份额比例达到或者超过20%的时间区间</w:t>
            </w:r>
          </w:p>
        </w:tc>
        <w:tc>
          <w:tcPr>
            <w:tcW w:w="851" w:type="dxa"/>
            <w:vAlign w:val="center"/>
          </w:tcPr>
          <w:p w:rsidR="00F26E25" w:rsidRPr="00ED598D" w:rsidRDefault="00F26E25" w:rsidP="004B0ED5">
            <w:pPr>
              <w:widowControl/>
              <w:jc w:val="center"/>
              <w:rPr>
                <w:rFonts w:ascii="宋体" w:hAnsi="宋体"/>
                <w:b/>
                <w:bCs/>
                <w:color w:val="000000"/>
                <w:kern w:val="0"/>
                <w:sz w:val="24"/>
                <w:szCs w:val="21"/>
              </w:rPr>
            </w:pPr>
            <w:r w:rsidRPr="00ED598D">
              <w:rPr>
                <w:rFonts w:ascii="宋体" w:hAnsi="宋体" w:hint="eastAsia"/>
                <w:color w:val="000000"/>
                <w:kern w:val="0"/>
                <w:sz w:val="24"/>
                <w:szCs w:val="21"/>
              </w:rPr>
              <w:t>期初份额</w:t>
            </w:r>
          </w:p>
        </w:tc>
        <w:tc>
          <w:tcPr>
            <w:tcW w:w="850" w:type="dxa"/>
            <w:vAlign w:val="center"/>
          </w:tcPr>
          <w:p w:rsidR="00F26E25" w:rsidRPr="00ED598D" w:rsidRDefault="00F26E25" w:rsidP="004B0ED5">
            <w:pPr>
              <w:widowControl/>
              <w:jc w:val="center"/>
              <w:rPr>
                <w:rFonts w:ascii="宋体" w:hAnsi="宋体"/>
                <w:b/>
                <w:bCs/>
                <w:color w:val="000000"/>
                <w:kern w:val="0"/>
                <w:sz w:val="24"/>
                <w:szCs w:val="21"/>
              </w:rPr>
            </w:pPr>
            <w:r w:rsidRPr="00ED598D">
              <w:rPr>
                <w:rFonts w:ascii="宋体" w:hAnsi="宋体" w:hint="eastAsia"/>
                <w:color w:val="000000"/>
                <w:kern w:val="0"/>
                <w:sz w:val="24"/>
                <w:szCs w:val="21"/>
              </w:rPr>
              <w:t>申购份额</w:t>
            </w:r>
          </w:p>
        </w:tc>
        <w:tc>
          <w:tcPr>
            <w:tcW w:w="1134" w:type="dxa"/>
            <w:vAlign w:val="center"/>
          </w:tcPr>
          <w:p w:rsidR="00F26E25" w:rsidRPr="00ED598D" w:rsidRDefault="00F26E25" w:rsidP="004B0ED5">
            <w:pPr>
              <w:widowControl/>
              <w:jc w:val="center"/>
              <w:rPr>
                <w:rFonts w:ascii="宋体" w:hAnsi="宋体"/>
                <w:b/>
                <w:bCs/>
                <w:color w:val="000000"/>
                <w:kern w:val="0"/>
                <w:sz w:val="24"/>
                <w:szCs w:val="21"/>
              </w:rPr>
            </w:pPr>
            <w:r w:rsidRPr="00ED598D">
              <w:rPr>
                <w:rFonts w:ascii="宋体" w:hAnsi="宋体" w:hint="eastAsia"/>
                <w:color w:val="000000"/>
                <w:kern w:val="0"/>
                <w:sz w:val="24"/>
                <w:szCs w:val="21"/>
              </w:rPr>
              <w:t>赎回份额</w:t>
            </w:r>
          </w:p>
        </w:tc>
        <w:tc>
          <w:tcPr>
            <w:tcW w:w="1419" w:type="dxa"/>
            <w:vAlign w:val="center"/>
          </w:tcPr>
          <w:p w:rsidR="00F26E25" w:rsidRPr="00ED598D" w:rsidRDefault="00F26E25" w:rsidP="004B0ED5">
            <w:pPr>
              <w:autoSpaceDE w:val="0"/>
              <w:autoSpaceDN w:val="0"/>
              <w:adjustRightInd w:val="0"/>
              <w:jc w:val="center"/>
              <w:rPr>
                <w:rFonts w:ascii="宋体" w:hAnsi="宋体"/>
                <w:b/>
                <w:bCs/>
                <w:color w:val="000000"/>
                <w:kern w:val="0"/>
                <w:sz w:val="24"/>
                <w:szCs w:val="21"/>
              </w:rPr>
            </w:pPr>
            <w:r w:rsidRPr="00ED598D">
              <w:rPr>
                <w:rFonts w:ascii="宋体" w:hAnsi="宋体" w:hint="eastAsia"/>
                <w:color w:val="000000"/>
                <w:kern w:val="0"/>
                <w:sz w:val="24"/>
                <w:szCs w:val="21"/>
              </w:rPr>
              <w:t>持有份额</w:t>
            </w:r>
          </w:p>
        </w:tc>
        <w:tc>
          <w:tcPr>
            <w:tcW w:w="1130" w:type="dxa"/>
            <w:vAlign w:val="center"/>
          </w:tcPr>
          <w:p w:rsidR="00F26E25" w:rsidRPr="00ED598D" w:rsidRDefault="00F26E25" w:rsidP="004B0ED5">
            <w:pPr>
              <w:autoSpaceDE w:val="0"/>
              <w:autoSpaceDN w:val="0"/>
              <w:adjustRightInd w:val="0"/>
              <w:jc w:val="center"/>
              <w:rPr>
                <w:rFonts w:ascii="宋体" w:hAnsi="宋体"/>
                <w:b/>
                <w:bCs/>
                <w:color w:val="000000"/>
                <w:kern w:val="0"/>
                <w:sz w:val="24"/>
                <w:szCs w:val="21"/>
              </w:rPr>
            </w:pPr>
            <w:r w:rsidRPr="00ED598D">
              <w:rPr>
                <w:rFonts w:ascii="宋体" w:hAnsi="宋体" w:hint="eastAsia"/>
                <w:color w:val="000000"/>
                <w:kern w:val="0"/>
                <w:sz w:val="24"/>
                <w:szCs w:val="21"/>
              </w:rPr>
              <w:t>份额占比</w:t>
            </w:r>
          </w:p>
        </w:tc>
      </w:tr>
      <w:tr w:rsidR="0039056C" w:rsidRPr="00ED598D">
        <w:tc>
          <w:tcPr>
            <w:tcW w:w="993" w:type="dxa"/>
            <w:vMerge w:val="restart"/>
          </w:tcPr>
          <w:p w:rsidR="0039056C" w:rsidRPr="00ED598D" w:rsidRDefault="0039056C">
            <w:pPr>
              <w:rPr>
                <w:sz w:val="24"/>
              </w:rPr>
            </w:pPr>
          </w:p>
          <w:p w:rsidR="0039056C" w:rsidRPr="00ED598D" w:rsidRDefault="005409C6">
            <w:pPr>
              <w:rPr>
                <w:sz w:val="24"/>
              </w:rPr>
            </w:pPr>
            <w:r w:rsidRPr="00ED598D">
              <w:rPr>
                <w:rFonts w:ascii="宋体" w:hAnsi="宋体" w:hint="eastAsia"/>
                <w:bCs/>
                <w:color w:val="000000"/>
                <w:kern w:val="0"/>
                <w:sz w:val="24"/>
                <w:szCs w:val="21"/>
              </w:rPr>
              <w:t>机构</w:t>
            </w:r>
          </w:p>
        </w:tc>
        <w:tc>
          <w:tcPr>
            <w:tcW w:w="992" w:type="dxa"/>
            <w:vAlign w:val="center"/>
          </w:tcPr>
          <w:p w:rsidR="0039056C" w:rsidRPr="00ED598D" w:rsidRDefault="005409C6">
            <w:pPr>
              <w:jc w:val="center"/>
              <w:rPr>
                <w:sz w:val="24"/>
              </w:rPr>
            </w:pPr>
            <w:r w:rsidRPr="00ED598D">
              <w:rPr>
                <w:rFonts w:ascii="宋体" w:hAnsi="宋体"/>
                <w:color w:val="000000"/>
                <w:kern w:val="0"/>
                <w:sz w:val="24"/>
                <w:szCs w:val="21"/>
              </w:rPr>
              <w:t>1</w:t>
            </w:r>
          </w:p>
        </w:tc>
        <w:tc>
          <w:tcPr>
            <w:tcW w:w="1843" w:type="dxa"/>
            <w:vAlign w:val="center"/>
          </w:tcPr>
          <w:p w:rsidR="0039056C" w:rsidRPr="00ED598D" w:rsidRDefault="005409C6">
            <w:pPr>
              <w:jc w:val="center"/>
              <w:rPr>
                <w:sz w:val="24"/>
              </w:rPr>
            </w:pPr>
            <w:r w:rsidRPr="00ED598D">
              <w:rPr>
                <w:rFonts w:ascii="宋体" w:hAnsi="宋体"/>
                <w:color w:val="000000"/>
                <w:kern w:val="0"/>
                <w:sz w:val="24"/>
                <w:szCs w:val="21"/>
              </w:rPr>
              <w:t>2019/1/1-2019/6/30</w:t>
            </w:r>
          </w:p>
        </w:tc>
        <w:tc>
          <w:tcPr>
            <w:tcW w:w="851" w:type="dxa"/>
            <w:vAlign w:val="center"/>
          </w:tcPr>
          <w:p w:rsidR="0039056C" w:rsidRPr="00ED598D" w:rsidRDefault="005409C6">
            <w:pPr>
              <w:jc w:val="center"/>
              <w:rPr>
                <w:sz w:val="24"/>
              </w:rPr>
            </w:pPr>
            <w:r w:rsidRPr="00ED598D">
              <w:rPr>
                <w:rFonts w:ascii="宋体" w:hAnsi="宋体"/>
                <w:color w:val="000000"/>
                <w:kern w:val="0"/>
                <w:sz w:val="24"/>
                <w:szCs w:val="21"/>
              </w:rPr>
              <w:t>-</w:t>
            </w:r>
          </w:p>
        </w:tc>
        <w:tc>
          <w:tcPr>
            <w:tcW w:w="850" w:type="dxa"/>
            <w:vAlign w:val="center"/>
          </w:tcPr>
          <w:p w:rsidR="0039056C" w:rsidRPr="00ED598D" w:rsidRDefault="005409C6">
            <w:pPr>
              <w:jc w:val="center"/>
              <w:rPr>
                <w:sz w:val="24"/>
              </w:rPr>
            </w:pPr>
            <w:r w:rsidRPr="00ED598D">
              <w:rPr>
                <w:rFonts w:ascii="宋体" w:hAnsi="宋体"/>
                <w:color w:val="000000"/>
                <w:kern w:val="0"/>
                <w:sz w:val="24"/>
                <w:szCs w:val="21"/>
              </w:rPr>
              <w:t>246,913,58</w:t>
            </w:r>
            <w:r w:rsidRPr="00ED598D">
              <w:rPr>
                <w:rFonts w:ascii="宋体" w:hAnsi="宋体"/>
                <w:color w:val="000000"/>
                <w:kern w:val="0"/>
                <w:sz w:val="24"/>
                <w:szCs w:val="21"/>
              </w:rPr>
              <w:lastRenderedPageBreak/>
              <w:t>0.25</w:t>
            </w:r>
          </w:p>
        </w:tc>
        <w:tc>
          <w:tcPr>
            <w:tcW w:w="1134" w:type="dxa"/>
            <w:vAlign w:val="center"/>
          </w:tcPr>
          <w:p w:rsidR="0039056C" w:rsidRPr="00ED598D" w:rsidRDefault="005409C6">
            <w:pPr>
              <w:jc w:val="center"/>
              <w:rPr>
                <w:sz w:val="24"/>
              </w:rPr>
            </w:pPr>
            <w:r w:rsidRPr="00ED598D">
              <w:rPr>
                <w:rFonts w:ascii="宋体" w:hAnsi="宋体"/>
                <w:color w:val="000000"/>
                <w:kern w:val="0"/>
                <w:sz w:val="24"/>
                <w:szCs w:val="21"/>
              </w:rPr>
              <w:lastRenderedPageBreak/>
              <w:t>-</w:t>
            </w:r>
          </w:p>
        </w:tc>
        <w:tc>
          <w:tcPr>
            <w:tcW w:w="1419" w:type="dxa"/>
            <w:vAlign w:val="center"/>
          </w:tcPr>
          <w:p w:rsidR="0039056C" w:rsidRPr="00ED598D" w:rsidRDefault="005409C6">
            <w:pPr>
              <w:jc w:val="center"/>
              <w:rPr>
                <w:sz w:val="24"/>
              </w:rPr>
            </w:pPr>
            <w:r w:rsidRPr="00ED598D">
              <w:rPr>
                <w:rFonts w:ascii="宋体" w:hAnsi="宋体"/>
                <w:color w:val="000000"/>
                <w:kern w:val="0"/>
                <w:sz w:val="24"/>
                <w:szCs w:val="21"/>
              </w:rPr>
              <w:t>246,913,580.25</w:t>
            </w:r>
          </w:p>
        </w:tc>
        <w:tc>
          <w:tcPr>
            <w:tcW w:w="1130" w:type="dxa"/>
            <w:vAlign w:val="center"/>
          </w:tcPr>
          <w:p w:rsidR="0039056C" w:rsidRPr="00ED598D" w:rsidRDefault="005409C6">
            <w:pPr>
              <w:jc w:val="center"/>
              <w:rPr>
                <w:sz w:val="24"/>
              </w:rPr>
            </w:pPr>
            <w:r w:rsidRPr="00ED598D">
              <w:rPr>
                <w:rFonts w:ascii="宋体" w:hAnsi="宋体"/>
                <w:color w:val="000000"/>
                <w:kern w:val="0"/>
                <w:sz w:val="24"/>
                <w:szCs w:val="21"/>
              </w:rPr>
              <w:t>47.98%</w:t>
            </w:r>
          </w:p>
        </w:tc>
      </w:tr>
      <w:tr w:rsidR="0039056C" w:rsidRPr="00ED598D">
        <w:tc>
          <w:tcPr>
            <w:tcW w:w="993" w:type="dxa"/>
            <w:vMerge/>
          </w:tcPr>
          <w:p w:rsidR="0039056C" w:rsidRPr="00ED598D" w:rsidRDefault="0039056C">
            <w:pPr>
              <w:rPr>
                <w:sz w:val="24"/>
              </w:rPr>
            </w:pPr>
          </w:p>
        </w:tc>
        <w:tc>
          <w:tcPr>
            <w:tcW w:w="992" w:type="dxa"/>
            <w:vAlign w:val="center"/>
          </w:tcPr>
          <w:p w:rsidR="0039056C" w:rsidRPr="00ED598D" w:rsidRDefault="005409C6">
            <w:pPr>
              <w:jc w:val="center"/>
              <w:rPr>
                <w:sz w:val="24"/>
              </w:rPr>
            </w:pPr>
            <w:r w:rsidRPr="00ED598D">
              <w:rPr>
                <w:rFonts w:ascii="宋体" w:hAnsi="宋体"/>
                <w:color w:val="000000"/>
                <w:kern w:val="0"/>
                <w:sz w:val="24"/>
                <w:szCs w:val="21"/>
              </w:rPr>
              <w:t>2</w:t>
            </w:r>
          </w:p>
        </w:tc>
        <w:tc>
          <w:tcPr>
            <w:tcW w:w="1843" w:type="dxa"/>
            <w:vAlign w:val="center"/>
          </w:tcPr>
          <w:p w:rsidR="0039056C" w:rsidRPr="00ED598D" w:rsidRDefault="005409C6">
            <w:pPr>
              <w:jc w:val="center"/>
              <w:rPr>
                <w:sz w:val="24"/>
              </w:rPr>
            </w:pPr>
            <w:r w:rsidRPr="00ED598D">
              <w:rPr>
                <w:rFonts w:ascii="宋体" w:hAnsi="宋体"/>
                <w:color w:val="000000"/>
                <w:kern w:val="0"/>
                <w:sz w:val="24"/>
                <w:szCs w:val="21"/>
              </w:rPr>
              <w:t>2019/1/1-2019/6/30</w:t>
            </w:r>
          </w:p>
        </w:tc>
        <w:tc>
          <w:tcPr>
            <w:tcW w:w="851" w:type="dxa"/>
            <w:vAlign w:val="center"/>
          </w:tcPr>
          <w:p w:rsidR="0039056C" w:rsidRPr="00ED598D" w:rsidRDefault="005409C6">
            <w:pPr>
              <w:jc w:val="center"/>
              <w:rPr>
                <w:sz w:val="24"/>
              </w:rPr>
            </w:pPr>
            <w:r w:rsidRPr="00ED598D">
              <w:rPr>
                <w:rFonts w:ascii="宋体" w:hAnsi="宋体"/>
                <w:color w:val="000000"/>
                <w:kern w:val="0"/>
                <w:sz w:val="24"/>
                <w:szCs w:val="21"/>
              </w:rPr>
              <w:t>-</w:t>
            </w:r>
          </w:p>
        </w:tc>
        <w:tc>
          <w:tcPr>
            <w:tcW w:w="850" w:type="dxa"/>
            <w:vAlign w:val="center"/>
          </w:tcPr>
          <w:p w:rsidR="0039056C" w:rsidRPr="00ED598D" w:rsidRDefault="005409C6">
            <w:pPr>
              <w:jc w:val="center"/>
              <w:rPr>
                <w:sz w:val="24"/>
              </w:rPr>
            </w:pPr>
            <w:r w:rsidRPr="00ED598D">
              <w:rPr>
                <w:rFonts w:ascii="宋体" w:hAnsi="宋体"/>
                <w:color w:val="000000"/>
                <w:kern w:val="0"/>
                <w:sz w:val="24"/>
                <w:szCs w:val="21"/>
              </w:rPr>
              <w:t>246,913,086.42</w:t>
            </w:r>
          </w:p>
        </w:tc>
        <w:tc>
          <w:tcPr>
            <w:tcW w:w="1134" w:type="dxa"/>
            <w:vAlign w:val="center"/>
          </w:tcPr>
          <w:p w:rsidR="0039056C" w:rsidRPr="00ED598D" w:rsidRDefault="005409C6">
            <w:pPr>
              <w:jc w:val="center"/>
              <w:rPr>
                <w:sz w:val="24"/>
              </w:rPr>
            </w:pPr>
            <w:r w:rsidRPr="00ED598D">
              <w:rPr>
                <w:rFonts w:ascii="宋体" w:hAnsi="宋体"/>
                <w:color w:val="000000"/>
                <w:kern w:val="0"/>
                <w:sz w:val="24"/>
                <w:szCs w:val="21"/>
              </w:rPr>
              <w:t>-</w:t>
            </w:r>
          </w:p>
        </w:tc>
        <w:tc>
          <w:tcPr>
            <w:tcW w:w="1419" w:type="dxa"/>
            <w:vAlign w:val="center"/>
          </w:tcPr>
          <w:p w:rsidR="0039056C" w:rsidRPr="00ED598D" w:rsidRDefault="005409C6">
            <w:pPr>
              <w:jc w:val="center"/>
              <w:rPr>
                <w:sz w:val="24"/>
              </w:rPr>
            </w:pPr>
            <w:r w:rsidRPr="00ED598D">
              <w:rPr>
                <w:rFonts w:ascii="宋体" w:hAnsi="宋体"/>
                <w:color w:val="000000"/>
                <w:kern w:val="0"/>
                <w:sz w:val="24"/>
                <w:szCs w:val="21"/>
              </w:rPr>
              <w:t>246,913,086.42</w:t>
            </w:r>
          </w:p>
        </w:tc>
        <w:tc>
          <w:tcPr>
            <w:tcW w:w="1130" w:type="dxa"/>
            <w:vAlign w:val="center"/>
          </w:tcPr>
          <w:p w:rsidR="0039056C" w:rsidRPr="00ED598D" w:rsidRDefault="005409C6">
            <w:pPr>
              <w:jc w:val="center"/>
              <w:rPr>
                <w:sz w:val="24"/>
              </w:rPr>
            </w:pPr>
            <w:r w:rsidRPr="00ED598D">
              <w:rPr>
                <w:rFonts w:ascii="宋体" w:hAnsi="宋体"/>
                <w:color w:val="000000"/>
                <w:kern w:val="0"/>
                <w:sz w:val="24"/>
                <w:szCs w:val="21"/>
              </w:rPr>
              <w:t>47.98%</w:t>
            </w:r>
          </w:p>
        </w:tc>
      </w:tr>
      <w:tr w:rsidR="00F26E25" w:rsidRPr="00ED598D" w:rsidTr="004B0ED5">
        <w:tc>
          <w:tcPr>
            <w:tcW w:w="9212" w:type="dxa"/>
            <w:gridSpan w:val="8"/>
            <w:vAlign w:val="center"/>
          </w:tcPr>
          <w:p w:rsidR="00F26E25" w:rsidRPr="00ED598D" w:rsidRDefault="00F26E25" w:rsidP="004B0ED5">
            <w:pPr>
              <w:autoSpaceDE w:val="0"/>
              <w:autoSpaceDN w:val="0"/>
              <w:adjustRightInd w:val="0"/>
              <w:jc w:val="center"/>
              <w:rPr>
                <w:rFonts w:ascii="宋体" w:hAnsi="宋体"/>
                <w:kern w:val="0"/>
                <w:sz w:val="24"/>
                <w:szCs w:val="21"/>
              </w:rPr>
            </w:pPr>
            <w:r w:rsidRPr="00ED598D">
              <w:rPr>
                <w:rFonts w:ascii="宋体" w:hAnsi="宋体"/>
                <w:color w:val="000000"/>
                <w:kern w:val="0"/>
                <w:sz w:val="24"/>
                <w:szCs w:val="21"/>
              </w:rPr>
              <w:t>产品特有风险</w:t>
            </w:r>
          </w:p>
        </w:tc>
      </w:tr>
      <w:tr w:rsidR="00F26E25" w:rsidRPr="00ED598D" w:rsidTr="004B0ED5">
        <w:tc>
          <w:tcPr>
            <w:tcW w:w="9212" w:type="dxa"/>
            <w:gridSpan w:val="8"/>
            <w:vAlign w:val="center"/>
          </w:tcPr>
          <w:p w:rsidR="00F26E25" w:rsidRPr="00ED598D" w:rsidRDefault="00F26E25" w:rsidP="004B0ED5">
            <w:pPr>
              <w:autoSpaceDE w:val="0"/>
              <w:autoSpaceDN w:val="0"/>
              <w:adjustRightInd w:val="0"/>
              <w:jc w:val="left"/>
              <w:rPr>
                <w:rFonts w:ascii="宋体" w:hAnsi="宋体"/>
                <w:kern w:val="0"/>
                <w:sz w:val="24"/>
                <w:szCs w:val="21"/>
              </w:rPr>
            </w:pPr>
            <w:r w:rsidRPr="00ED598D">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17796523"/>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17796524"/>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39056C" w:rsidRDefault="005409C6">
      <w:pPr>
        <w:spacing w:before="29" w:line="288" w:lineRule="auto"/>
        <w:ind w:firstLineChars="200" w:firstLine="480"/>
        <w:rPr>
          <w:kern w:val="0"/>
          <w:sz w:val="24"/>
        </w:rPr>
      </w:pPr>
      <w:r>
        <w:rPr>
          <w:kern w:val="0"/>
          <w:sz w:val="24"/>
        </w:rPr>
        <w:t>1</w:t>
      </w:r>
      <w:r>
        <w:rPr>
          <w:kern w:val="0"/>
          <w:sz w:val="24"/>
        </w:rPr>
        <w:t>、中国证监会准予交银施罗德丰享收益债券型证券投资基金募集注册的文件；</w:t>
      </w:r>
      <w:r>
        <w:rPr>
          <w:kern w:val="0"/>
          <w:sz w:val="24"/>
        </w:rPr>
        <w:t xml:space="preserve"> </w:t>
      </w:r>
    </w:p>
    <w:p w:rsidR="0039056C" w:rsidRDefault="005409C6">
      <w:pPr>
        <w:spacing w:before="29" w:line="288" w:lineRule="auto"/>
        <w:ind w:firstLineChars="200" w:firstLine="480"/>
        <w:rPr>
          <w:kern w:val="0"/>
          <w:sz w:val="24"/>
        </w:rPr>
      </w:pPr>
      <w:r>
        <w:rPr>
          <w:kern w:val="0"/>
          <w:sz w:val="24"/>
        </w:rPr>
        <w:t>2</w:t>
      </w:r>
      <w:r>
        <w:rPr>
          <w:kern w:val="0"/>
          <w:sz w:val="24"/>
        </w:rPr>
        <w:t>、《交银施罗德丰享收益债券型证券投资基金基金合同》；</w:t>
      </w:r>
    </w:p>
    <w:p w:rsidR="0039056C" w:rsidRDefault="005409C6">
      <w:pPr>
        <w:spacing w:before="29" w:line="288" w:lineRule="auto"/>
        <w:ind w:firstLineChars="200" w:firstLine="480"/>
        <w:rPr>
          <w:kern w:val="0"/>
          <w:sz w:val="24"/>
        </w:rPr>
      </w:pPr>
      <w:r>
        <w:rPr>
          <w:kern w:val="0"/>
          <w:sz w:val="24"/>
        </w:rPr>
        <w:t>3</w:t>
      </w:r>
      <w:r>
        <w:rPr>
          <w:kern w:val="0"/>
          <w:sz w:val="24"/>
        </w:rPr>
        <w:t>、《交银施罗德丰享收益债券型证券投资基金招募说明书》；</w:t>
      </w:r>
      <w:r>
        <w:rPr>
          <w:kern w:val="0"/>
          <w:sz w:val="24"/>
        </w:rPr>
        <w:t xml:space="preserve"> </w:t>
      </w:r>
    </w:p>
    <w:p w:rsidR="0039056C" w:rsidRDefault="005409C6">
      <w:pPr>
        <w:spacing w:before="29" w:line="288" w:lineRule="auto"/>
        <w:ind w:firstLineChars="200" w:firstLine="480"/>
        <w:rPr>
          <w:kern w:val="0"/>
          <w:sz w:val="24"/>
        </w:rPr>
      </w:pPr>
      <w:r>
        <w:rPr>
          <w:kern w:val="0"/>
          <w:sz w:val="24"/>
        </w:rPr>
        <w:t>4</w:t>
      </w:r>
      <w:r>
        <w:rPr>
          <w:kern w:val="0"/>
          <w:sz w:val="24"/>
        </w:rPr>
        <w:t>、《交银施罗德丰享收益债券型证券投资基金托管协议》；</w:t>
      </w:r>
      <w:r>
        <w:rPr>
          <w:kern w:val="0"/>
          <w:sz w:val="24"/>
        </w:rPr>
        <w:t xml:space="preserve"> </w:t>
      </w:r>
    </w:p>
    <w:p w:rsidR="0039056C" w:rsidRDefault="005409C6">
      <w:pPr>
        <w:spacing w:before="29" w:line="288" w:lineRule="auto"/>
        <w:ind w:firstLineChars="200" w:firstLine="480"/>
        <w:rPr>
          <w:kern w:val="0"/>
          <w:sz w:val="24"/>
        </w:rPr>
      </w:pPr>
      <w:r>
        <w:rPr>
          <w:kern w:val="0"/>
          <w:sz w:val="24"/>
        </w:rPr>
        <w:t>5</w:t>
      </w:r>
      <w:r>
        <w:rPr>
          <w:kern w:val="0"/>
          <w:sz w:val="24"/>
        </w:rPr>
        <w:t>、基金管理人业务资格批件、营业执照；</w:t>
      </w:r>
    </w:p>
    <w:p w:rsidR="0039056C" w:rsidRDefault="005409C6">
      <w:pPr>
        <w:spacing w:before="29" w:line="288" w:lineRule="auto"/>
        <w:ind w:firstLineChars="200" w:firstLine="480"/>
        <w:rPr>
          <w:kern w:val="0"/>
          <w:sz w:val="24"/>
        </w:rPr>
      </w:pPr>
      <w:r>
        <w:rPr>
          <w:kern w:val="0"/>
          <w:sz w:val="24"/>
        </w:rPr>
        <w:t>6</w:t>
      </w:r>
      <w:r>
        <w:rPr>
          <w:kern w:val="0"/>
          <w:sz w:val="24"/>
        </w:rPr>
        <w:t>、基金托管人业务资格批件、营业执照；</w:t>
      </w:r>
    </w:p>
    <w:p w:rsidR="0039056C" w:rsidRDefault="005409C6">
      <w:pPr>
        <w:spacing w:before="29" w:line="288" w:lineRule="auto"/>
        <w:ind w:firstLineChars="200" w:firstLine="480"/>
        <w:rPr>
          <w:kern w:val="0"/>
          <w:sz w:val="24"/>
        </w:rPr>
      </w:pPr>
      <w:r>
        <w:rPr>
          <w:kern w:val="0"/>
          <w:sz w:val="24"/>
        </w:rPr>
        <w:t>7</w:t>
      </w:r>
      <w:r>
        <w:rPr>
          <w:kern w:val="0"/>
          <w:sz w:val="24"/>
        </w:rPr>
        <w:t>、关于申请募集注册交银施罗德丰享收益债券型证券投资基金的法律意见书；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、报告期内交银施罗德丰享收益债券型证券投资基金在指定报刊上各项公告的原稿。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796525"/>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796526"/>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39056C" w:rsidRDefault="005409C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19" w:rsidRDefault="00090619">
      <w:r>
        <w:separator/>
      </w:r>
    </w:p>
  </w:endnote>
  <w:endnote w:type="continuationSeparator" w:id="0">
    <w:p w:rsidR="00090619" w:rsidRDefault="0009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19242D">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19242D">
      <w:rPr>
        <w:noProof/>
        <w:kern w:val="0"/>
        <w:szCs w:val="21"/>
      </w:rPr>
      <w:t>45</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19" w:rsidRDefault="00090619">
      <w:r>
        <w:separator/>
      </w:r>
    </w:p>
  </w:footnote>
  <w:footnote w:type="continuationSeparator" w:id="0">
    <w:p w:rsidR="00090619" w:rsidRDefault="00090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619"/>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8CB"/>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42D"/>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57F"/>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4789"/>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56C"/>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30A"/>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09C6"/>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177"/>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4B13"/>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2D43"/>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D6FE7"/>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3850"/>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598D"/>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5E4B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80A0B9-33B4-4F16-BCFB-41441E90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Pages>
  <Words>5587</Words>
  <Characters>31848</Characters>
  <Application>Microsoft Office Word</Application>
  <DocSecurity>0</DocSecurity>
  <Lines>265</Lines>
  <Paragraphs>74</Paragraphs>
  <ScaleCrop>false</ScaleCrop>
  <Company/>
  <LinksUpToDate>false</LinksUpToDate>
  <CharactersWithSpaces>37361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1589</cp:revision>
  <cp:lastPrinted>2007-07-19T00:46:00Z</cp:lastPrinted>
  <dcterms:created xsi:type="dcterms:W3CDTF">2013-08-19T07:43:00Z</dcterms:created>
  <dcterms:modified xsi:type="dcterms:W3CDTF">2019-08-27T03:07:00Z</dcterms:modified>
</cp:coreProperties>
</file>