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交银施罗德天益宝货币市场基金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基金托管人：中国工商银行股份有限公司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374607322"/>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374607323"/>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A65D54" w:rsidRDefault="00484537">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A65D54" w:rsidRDefault="00484537">
      <w:pPr>
        <w:spacing w:before="29" w:line="288" w:lineRule="auto"/>
        <w:ind w:firstLineChars="200" w:firstLine="480"/>
        <w:rPr>
          <w:sz w:val="24"/>
        </w:rPr>
      </w:pPr>
      <w:r>
        <w:rPr>
          <w:sz w:val="24"/>
        </w:rPr>
        <w:t>基金托管人中国工商银行股份有限公司根据本基金合同规定，于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A65D54" w:rsidRDefault="00484537">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A65D54" w:rsidRDefault="00484537">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A65D54" w:rsidRDefault="00484537">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7B6ABF" w:rsidRPr="00356FA6" w:rsidRDefault="00934E23" w:rsidP="006C67B5">
      <w:pPr>
        <w:pStyle w:val="11"/>
        <w:spacing w:before="29" w:line="288" w:lineRule="auto"/>
        <w:rPr>
          <w:noProof/>
          <w:sz w:val="24"/>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374607322" w:history="1">
        <w:r w:rsidR="007B6ABF" w:rsidRPr="00356FA6">
          <w:rPr>
            <w:rStyle w:val="a8"/>
            <w:b/>
            <w:bCs/>
            <w:noProof/>
            <w:sz w:val="24"/>
          </w:rPr>
          <w:t xml:space="preserve">§1  </w:t>
        </w:r>
        <w:r w:rsidR="007B6ABF" w:rsidRPr="00356FA6">
          <w:rPr>
            <w:rStyle w:val="a8"/>
            <w:b/>
            <w:bCs/>
            <w:noProof/>
            <w:sz w:val="24"/>
          </w:rPr>
          <w:t>重要提示及目录</w:t>
        </w:r>
        <w:r w:rsidR="007B6ABF" w:rsidRPr="00356FA6">
          <w:rPr>
            <w:noProof/>
            <w:webHidden/>
            <w:sz w:val="24"/>
          </w:rPr>
          <w:tab/>
        </w:r>
        <w:r w:rsidRPr="00356FA6">
          <w:rPr>
            <w:noProof/>
            <w:webHidden/>
            <w:sz w:val="24"/>
          </w:rPr>
          <w:fldChar w:fldCharType="begin"/>
        </w:r>
        <w:r w:rsidR="007B6ABF" w:rsidRPr="00356FA6">
          <w:rPr>
            <w:noProof/>
            <w:webHidden/>
            <w:sz w:val="24"/>
          </w:rPr>
          <w:instrText xml:space="preserve"> PAGEREF _Toc374607322 \h </w:instrText>
        </w:r>
        <w:r w:rsidRPr="00356FA6">
          <w:rPr>
            <w:noProof/>
            <w:webHidden/>
            <w:sz w:val="24"/>
          </w:rPr>
        </w:r>
        <w:r w:rsidRPr="00356FA6">
          <w:rPr>
            <w:noProof/>
            <w:webHidden/>
            <w:sz w:val="24"/>
          </w:rPr>
          <w:fldChar w:fldCharType="separate"/>
        </w:r>
        <w:r w:rsidR="007B6ABF" w:rsidRPr="00356FA6">
          <w:rPr>
            <w:noProof/>
            <w:webHidden/>
            <w:sz w:val="24"/>
          </w:rPr>
          <w:t>2</w:t>
        </w:r>
        <w:r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23" w:history="1">
        <w:r w:rsidR="007B6ABF" w:rsidRPr="00356FA6">
          <w:rPr>
            <w:rStyle w:val="a8"/>
            <w:noProof/>
            <w:sz w:val="24"/>
            <w:szCs w:val="24"/>
          </w:rPr>
          <w:t xml:space="preserve">1.1 </w:t>
        </w:r>
        <w:r w:rsidR="007B6ABF" w:rsidRPr="00356FA6">
          <w:rPr>
            <w:rStyle w:val="a8"/>
            <w:noProof/>
            <w:sz w:val="24"/>
            <w:szCs w:val="24"/>
          </w:rPr>
          <w:t>重要提示</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_Toc374607323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2</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24" w:history="1">
        <w:r w:rsidR="007B6ABF" w:rsidRPr="00356FA6">
          <w:rPr>
            <w:rStyle w:val="a8"/>
            <w:b/>
            <w:bCs/>
            <w:noProof/>
            <w:sz w:val="24"/>
          </w:rPr>
          <w:t xml:space="preserve">§2  </w:t>
        </w:r>
        <w:r w:rsidR="007B6ABF" w:rsidRPr="00356FA6">
          <w:rPr>
            <w:rStyle w:val="a8"/>
            <w:b/>
            <w:bCs/>
            <w:noProof/>
            <w:sz w:val="24"/>
          </w:rPr>
          <w:t>基金简介</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_Toc374607324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5</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25" w:history="1">
        <w:r w:rsidR="007B6ABF" w:rsidRPr="00356FA6">
          <w:rPr>
            <w:rStyle w:val="a8"/>
            <w:noProof/>
            <w:sz w:val="24"/>
            <w:szCs w:val="24"/>
          </w:rPr>
          <w:t xml:space="preserve">2.1 </w:t>
        </w:r>
        <w:r w:rsidR="007B6ABF" w:rsidRPr="00356FA6">
          <w:rPr>
            <w:rStyle w:val="a8"/>
            <w:noProof/>
            <w:sz w:val="24"/>
            <w:szCs w:val="24"/>
          </w:rPr>
          <w:t>基金基本情况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_Toc374607325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5</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26" w:history="1">
        <w:r w:rsidR="007B6ABF" w:rsidRPr="00356FA6">
          <w:rPr>
            <w:rStyle w:val="a8"/>
            <w:noProof/>
            <w:sz w:val="24"/>
            <w:szCs w:val="24"/>
          </w:rPr>
          <w:t xml:space="preserve">2.2 </w:t>
        </w:r>
        <w:r w:rsidR="007B6ABF" w:rsidRPr="00356FA6">
          <w:rPr>
            <w:rStyle w:val="a8"/>
            <w:noProof/>
            <w:sz w:val="24"/>
            <w:szCs w:val="24"/>
          </w:rPr>
          <w:t>基金产品说明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5</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27" w:history="1">
        <w:r w:rsidR="007B6ABF" w:rsidRPr="00356FA6">
          <w:rPr>
            <w:rStyle w:val="a8"/>
            <w:noProof/>
            <w:sz w:val="24"/>
            <w:szCs w:val="24"/>
          </w:rPr>
          <w:t xml:space="preserve">2.3 </w:t>
        </w:r>
        <w:r w:rsidR="007B6ABF" w:rsidRPr="00356FA6">
          <w:rPr>
            <w:rStyle w:val="a8"/>
            <w:noProof/>
            <w:sz w:val="24"/>
            <w:szCs w:val="24"/>
          </w:rPr>
          <w:t>基金管理人和基金托管人</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28" w:history="1">
        <w:r w:rsidR="007B6ABF" w:rsidRPr="00356FA6">
          <w:rPr>
            <w:rStyle w:val="a8"/>
            <w:noProof/>
            <w:sz w:val="24"/>
            <w:szCs w:val="24"/>
          </w:rPr>
          <w:t xml:space="preserve">2.4 </w:t>
        </w:r>
        <w:r w:rsidR="007B6ABF" w:rsidRPr="00356FA6">
          <w:rPr>
            <w:rStyle w:val="a8"/>
            <w:noProof/>
            <w:sz w:val="24"/>
            <w:szCs w:val="24"/>
          </w:rPr>
          <w:t>信息披露方式</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29" w:history="1">
        <w:r w:rsidR="007B6ABF" w:rsidRPr="00356FA6">
          <w:rPr>
            <w:rStyle w:val="a8"/>
            <w:noProof/>
            <w:sz w:val="24"/>
            <w:szCs w:val="24"/>
          </w:rPr>
          <w:t xml:space="preserve">2.5 </w:t>
        </w:r>
        <w:r w:rsidR="007B6ABF" w:rsidRPr="00356FA6">
          <w:rPr>
            <w:rStyle w:val="a8"/>
            <w:noProof/>
            <w:sz w:val="24"/>
            <w:szCs w:val="24"/>
          </w:rPr>
          <w:t>其他相关资料</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_Toc374607329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30" w:history="1">
        <w:r w:rsidR="007B6ABF" w:rsidRPr="00356FA6">
          <w:rPr>
            <w:rStyle w:val="a8"/>
            <w:b/>
            <w:bCs/>
            <w:noProof/>
            <w:sz w:val="24"/>
          </w:rPr>
          <w:t xml:space="preserve">§3 </w:t>
        </w:r>
        <w:r w:rsidR="007B6ABF" w:rsidRPr="00356FA6">
          <w:rPr>
            <w:rStyle w:val="a8"/>
            <w:b/>
            <w:bCs/>
            <w:noProof/>
            <w:sz w:val="24"/>
          </w:rPr>
          <w:t>主要财务指标和基金净值表现</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_Toc374607330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7</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31" w:history="1">
        <w:r w:rsidR="007B6ABF" w:rsidRPr="00356FA6">
          <w:rPr>
            <w:rStyle w:val="a8"/>
            <w:noProof/>
            <w:sz w:val="24"/>
            <w:szCs w:val="24"/>
          </w:rPr>
          <w:t xml:space="preserve">3.1 </w:t>
        </w:r>
        <w:r w:rsidR="007B6ABF" w:rsidRPr="00356FA6">
          <w:rPr>
            <w:rStyle w:val="a8"/>
            <w:noProof/>
            <w:sz w:val="24"/>
            <w:szCs w:val="24"/>
          </w:rPr>
          <w:t>主要会计数据和财务指标</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_Toc374607331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32" w:history="1">
        <w:r w:rsidR="007B6ABF" w:rsidRPr="00356FA6">
          <w:rPr>
            <w:rStyle w:val="a8"/>
            <w:noProof/>
            <w:sz w:val="24"/>
            <w:szCs w:val="24"/>
          </w:rPr>
          <w:t>3.2</w:t>
        </w:r>
        <w:r w:rsidR="007B6ABF" w:rsidRPr="00356FA6">
          <w:rPr>
            <w:rStyle w:val="a8"/>
            <w:noProof/>
            <w:sz w:val="24"/>
            <w:szCs w:val="24"/>
          </w:rPr>
          <w:t>基金净值表现</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33" w:history="1">
        <w:r w:rsidR="007B6ABF" w:rsidRPr="00356FA6">
          <w:rPr>
            <w:rStyle w:val="a8"/>
            <w:b/>
            <w:bCs/>
            <w:noProof/>
            <w:sz w:val="24"/>
          </w:rPr>
          <w:t xml:space="preserve">§4  </w:t>
        </w:r>
        <w:r w:rsidR="007B6ABF" w:rsidRPr="00356FA6">
          <w:rPr>
            <w:rStyle w:val="a8"/>
            <w:b/>
            <w:bCs/>
            <w:noProof/>
            <w:sz w:val="24"/>
          </w:rPr>
          <w:t>管理人报告</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_Toc374607333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10</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34" w:history="1">
        <w:r w:rsidR="007B6ABF" w:rsidRPr="00356FA6">
          <w:rPr>
            <w:rStyle w:val="a8"/>
            <w:noProof/>
            <w:sz w:val="24"/>
            <w:szCs w:val="24"/>
          </w:rPr>
          <w:t xml:space="preserve">4.1 </w:t>
        </w:r>
        <w:r w:rsidR="007B6ABF" w:rsidRPr="00356FA6">
          <w:rPr>
            <w:rStyle w:val="a8"/>
            <w:noProof/>
            <w:sz w:val="24"/>
            <w:szCs w:val="24"/>
          </w:rPr>
          <w:t>基金管理人及基金经理情况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_Toc374607334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10</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35" w:history="1">
        <w:r w:rsidR="007B6ABF" w:rsidRPr="00356FA6">
          <w:rPr>
            <w:rStyle w:val="a8"/>
            <w:noProof/>
            <w:sz w:val="24"/>
            <w:szCs w:val="24"/>
          </w:rPr>
          <w:t xml:space="preserve">4.2 </w:t>
        </w:r>
        <w:r w:rsidR="007B6ABF" w:rsidRPr="00356FA6">
          <w:rPr>
            <w:rStyle w:val="a8"/>
            <w:noProof/>
            <w:sz w:val="24"/>
            <w:szCs w:val="24"/>
          </w:rPr>
          <w:t>管理人对报告期内本基金运作遵规守信情况的说明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_Toc374607335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10</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36" w:history="1">
        <w:r w:rsidR="007B6ABF" w:rsidRPr="00356FA6">
          <w:rPr>
            <w:rStyle w:val="a8"/>
            <w:noProof/>
            <w:sz w:val="24"/>
            <w:szCs w:val="24"/>
          </w:rPr>
          <w:t xml:space="preserve">4.3 </w:t>
        </w:r>
        <w:r w:rsidR="007B6ABF" w:rsidRPr="00356FA6">
          <w:rPr>
            <w:rStyle w:val="a8"/>
            <w:noProof/>
            <w:sz w:val="24"/>
            <w:szCs w:val="24"/>
          </w:rPr>
          <w:t>管理人对报告期内公平交易情况的专项说明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10</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37" w:history="1">
        <w:r w:rsidR="007B6ABF" w:rsidRPr="00356FA6">
          <w:rPr>
            <w:rStyle w:val="a8"/>
            <w:noProof/>
            <w:sz w:val="24"/>
            <w:szCs w:val="24"/>
          </w:rPr>
          <w:t xml:space="preserve">4.4 </w:t>
        </w:r>
        <w:r w:rsidR="007B6ABF" w:rsidRPr="00356FA6">
          <w:rPr>
            <w:rStyle w:val="a8"/>
            <w:noProof/>
            <w:sz w:val="24"/>
            <w:szCs w:val="24"/>
          </w:rPr>
          <w:t>管理人对报告期内基金的投资策略和业绩表现的说明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38" w:history="1">
        <w:r w:rsidR="007B6ABF" w:rsidRPr="00356FA6">
          <w:rPr>
            <w:rStyle w:val="a8"/>
            <w:noProof/>
            <w:sz w:val="24"/>
            <w:szCs w:val="24"/>
          </w:rPr>
          <w:t xml:space="preserve">4.5 </w:t>
        </w:r>
        <w:r w:rsidR="007B6ABF" w:rsidRPr="00356FA6">
          <w:rPr>
            <w:rStyle w:val="a8"/>
            <w:noProof/>
            <w:sz w:val="24"/>
            <w:szCs w:val="24"/>
          </w:rPr>
          <w:t>管理人对宏观经济、证券市场及行业走势的简要展望</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39" w:history="1">
        <w:r w:rsidR="007B6ABF" w:rsidRPr="00356FA6">
          <w:rPr>
            <w:rStyle w:val="a8"/>
            <w:noProof/>
            <w:sz w:val="24"/>
            <w:szCs w:val="24"/>
          </w:rPr>
          <w:t xml:space="preserve">4.6 </w:t>
        </w:r>
        <w:r w:rsidR="007B6ABF" w:rsidRPr="00356FA6">
          <w:rPr>
            <w:rStyle w:val="a8"/>
            <w:noProof/>
            <w:sz w:val="24"/>
            <w:szCs w:val="24"/>
          </w:rPr>
          <w:t>管理人对报告期内基金估值程序等事项的说明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_Toc374607339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40" w:history="1">
        <w:r w:rsidR="007B6ABF" w:rsidRPr="00356FA6">
          <w:rPr>
            <w:rStyle w:val="a8"/>
            <w:noProof/>
            <w:sz w:val="24"/>
            <w:szCs w:val="24"/>
          </w:rPr>
          <w:t xml:space="preserve">4.7 </w:t>
        </w:r>
        <w:r w:rsidR="007B6ABF" w:rsidRPr="00356FA6">
          <w:rPr>
            <w:rStyle w:val="a8"/>
            <w:noProof/>
            <w:sz w:val="24"/>
            <w:szCs w:val="24"/>
          </w:rPr>
          <w:t>管理人对报告期内基金利润分配情况的说明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_Toc374607340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41" w:history="1">
        <w:r w:rsidR="007B6ABF" w:rsidRPr="00356FA6">
          <w:rPr>
            <w:rStyle w:val="a8"/>
            <w:b/>
            <w:bCs/>
            <w:noProof/>
            <w:sz w:val="24"/>
          </w:rPr>
          <w:t xml:space="preserve">§5  </w:t>
        </w:r>
        <w:r w:rsidR="007B6ABF" w:rsidRPr="00356FA6">
          <w:rPr>
            <w:rStyle w:val="a8"/>
            <w:b/>
            <w:bCs/>
            <w:noProof/>
            <w:sz w:val="24"/>
          </w:rPr>
          <w:t>托管人报告</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_Toc374607341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11</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42" w:history="1">
        <w:r w:rsidR="007B6ABF" w:rsidRPr="00356FA6">
          <w:rPr>
            <w:rStyle w:val="a8"/>
            <w:noProof/>
            <w:sz w:val="24"/>
            <w:szCs w:val="24"/>
          </w:rPr>
          <w:t xml:space="preserve">5.1 </w:t>
        </w:r>
        <w:r w:rsidR="007B6ABF" w:rsidRPr="00356FA6">
          <w:rPr>
            <w:rStyle w:val="a8"/>
            <w:noProof/>
            <w:sz w:val="24"/>
            <w:szCs w:val="24"/>
          </w:rPr>
          <w:t>报告期内本基金托管人遵规守信情况声明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43" w:history="1">
        <w:r w:rsidR="007B6ABF" w:rsidRPr="00356FA6">
          <w:rPr>
            <w:rStyle w:val="a8"/>
            <w:noProof/>
            <w:sz w:val="24"/>
            <w:szCs w:val="24"/>
          </w:rPr>
          <w:t xml:space="preserve">5.2 </w:t>
        </w:r>
        <w:r w:rsidR="007B6ABF" w:rsidRPr="00356FA6">
          <w:rPr>
            <w:rStyle w:val="a8"/>
            <w:noProof/>
            <w:sz w:val="24"/>
            <w:szCs w:val="24"/>
          </w:rPr>
          <w:t>托管人对报告期内本基金投资运作遵规守信、净值计算、利润分配等情况的说明</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_Toc374607343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44" w:history="1">
        <w:r w:rsidR="007B6ABF" w:rsidRPr="00356FA6">
          <w:rPr>
            <w:rStyle w:val="a8"/>
            <w:noProof/>
            <w:sz w:val="24"/>
            <w:szCs w:val="24"/>
          </w:rPr>
          <w:t xml:space="preserve">5.3 </w:t>
        </w:r>
        <w:r w:rsidR="007B6ABF" w:rsidRPr="00356FA6">
          <w:rPr>
            <w:rStyle w:val="a8"/>
            <w:noProof/>
            <w:sz w:val="24"/>
            <w:szCs w:val="24"/>
          </w:rPr>
          <w:t>托管人对本半年度报告中财务信息等内容的真实、准确和完整发表意见</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_Toc374607344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11</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45" w:history="1">
        <w:r w:rsidR="007B6ABF" w:rsidRPr="00356FA6">
          <w:rPr>
            <w:rStyle w:val="a8"/>
            <w:b/>
            <w:bCs/>
            <w:noProof/>
            <w:sz w:val="24"/>
          </w:rPr>
          <w:t>§6</w:t>
        </w:r>
        <w:r w:rsidR="007B6ABF" w:rsidRPr="00356FA6">
          <w:rPr>
            <w:rStyle w:val="a8"/>
            <w:b/>
            <w:bCs/>
            <w:noProof/>
            <w:sz w:val="24"/>
          </w:rPr>
          <w:t>半年度财务会计报告（未经审计）</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_Toc374607345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12</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46" w:history="1">
        <w:r w:rsidR="007B6ABF" w:rsidRPr="00356FA6">
          <w:rPr>
            <w:rStyle w:val="a8"/>
            <w:noProof/>
            <w:sz w:val="24"/>
            <w:szCs w:val="24"/>
          </w:rPr>
          <w:t xml:space="preserve">6.1 </w:t>
        </w:r>
        <w:r w:rsidR="007B6ABF" w:rsidRPr="00356FA6">
          <w:rPr>
            <w:rStyle w:val="a8"/>
            <w:noProof/>
            <w:sz w:val="24"/>
            <w:szCs w:val="24"/>
          </w:rPr>
          <w:t>资产负债表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12</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47" w:history="1">
        <w:r w:rsidR="007B6ABF" w:rsidRPr="00356FA6">
          <w:rPr>
            <w:rStyle w:val="a8"/>
            <w:noProof/>
            <w:sz w:val="24"/>
            <w:szCs w:val="24"/>
          </w:rPr>
          <w:t xml:space="preserve">6.2 </w:t>
        </w:r>
        <w:r w:rsidR="007B6ABF" w:rsidRPr="00356FA6">
          <w:rPr>
            <w:rStyle w:val="a8"/>
            <w:noProof/>
            <w:sz w:val="24"/>
            <w:szCs w:val="24"/>
          </w:rPr>
          <w:t>利润表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14</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48" w:history="1">
        <w:r w:rsidR="007B6ABF" w:rsidRPr="00356FA6">
          <w:rPr>
            <w:rStyle w:val="a8"/>
            <w:noProof/>
            <w:sz w:val="24"/>
            <w:szCs w:val="24"/>
          </w:rPr>
          <w:t xml:space="preserve">6.3 </w:t>
        </w:r>
        <w:r w:rsidR="007B6ABF" w:rsidRPr="00356FA6">
          <w:rPr>
            <w:rStyle w:val="a8"/>
            <w:noProof/>
            <w:sz w:val="24"/>
            <w:szCs w:val="24"/>
          </w:rPr>
          <w:t>所有者权益（基金净值）变动表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16</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49" w:history="1">
        <w:r w:rsidR="007B6ABF" w:rsidRPr="00356FA6">
          <w:rPr>
            <w:rStyle w:val="a8"/>
            <w:noProof/>
            <w:sz w:val="24"/>
            <w:szCs w:val="24"/>
          </w:rPr>
          <w:t xml:space="preserve">6.4 </w:t>
        </w:r>
        <w:r w:rsidR="007B6ABF" w:rsidRPr="00356FA6">
          <w:rPr>
            <w:rStyle w:val="a8"/>
            <w:noProof/>
            <w:sz w:val="24"/>
            <w:szCs w:val="24"/>
          </w:rPr>
          <w:t>报表附注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_Toc374607349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17</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50" w:history="1">
        <w:r w:rsidR="007B6ABF" w:rsidRPr="00356FA6">
          <w:rPr>
            <w:rStyle w:val="a8"/>
            <w:b/>
            <w:bCs/>
            <w:noProof/>
            <w:sz w:val="24"/>
          </w:rPr>
          <w:t>§7</w:t>
        </w:r>
        <w:r w:rsidR="007B6ABF" w:rsidRPr="00356FA6">
          <w:rPr>
            <w:rStyle w:val="a8"/>
            <w:b/>
            <w:bCs/>
            <w:noProof/>
            <w:sz w:val="24"/>
          </w:rPr>
          <w:t>投资组合报告</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_Toc374607350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56</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51" w:history="1">
        <w:r w:rsidR="007B6ABF" w:rsidRPr="00356FA6">
          <w:rPr>
            <w:rStyle w:val="a8"/>
            <w:noProof/>
            <w:sz w:val="24"/>
            <w:szCs w:val="24"/>
          </w:rPr>
          <w:t>7.1</w:t>
        </w:r>
        <w:r w:rsidR="007B6ABF" w:rsidRPr="00356FA6">
          <w:rPr>
            <w:rStyle w:val="a8"/>
            <w:noProof/>
            <w:sz w:val="24"/>
            <w:szCs w:val="24"/>
          </w:rPr>
          <w:t>期末基金资产组合情况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_Toc374607351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56</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52" w:history="1">
        <w:r w:rsidR="007B6ABF" w:rsidRPr="00356FA6">
          <w:rPr>
            <w:rStyle w:val="a8"/>
            <w:noProof/>
            <w:sz w:val="24"/>
            <w:szCs w:val="24"/>
          </w:rPr>
          <w:t>7.2</w:t>
        </w:r>
        <w:r w:rsidR="007B6ABF" w:rsidRPr="00356FA6">
          <w:rPr>
            <w:rStyle w:val="a8"/>
            <w:noProof/>
            <w:sz w:val="24"/>
            <w:szCs w:val="24"/>
          </w:rPr>
          <w:t>债券回购融资情况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58</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53" w:history="1">
        <w:r w:rsidR="007B6ABF" w:rsidRPr="00356FA6">
          <w:rPr>
            <w:rStyle w:val="a8"/>
            <w:noProof/>
            <w:sz w:val="24"/>
            <w:szCs w:val="24"/>
          </w:rPr>
          <w:t>7.3</w:t>
        </w:r>
        <w:r w:rsidR="007B6ABF" w:rsidRPr="00356FA6">
          <w:rPr>
            <w:rStyle w:val="a8"/>
            <w:noProof/>
            <w:sz w:val="24"/>
            <w:szCs w:val="24"/>
          </w:rPr>
          <w:t>期末按债券品种分类的债券投资组合</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_Toc374607353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60</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54" w:history="1">
        <w:r w:rsidR="007B6ABF" w:rsidRPr="00356FA6">
          <w:rPr>
            <w:rStyle w:val="a8"/>
            <w:noProof/>
            <w:sz w:val="24"/>
            <w:szCs w:val="24"/>
          </w:rPr>
          <w:t>7.4</w:t>
        </w:r>
        <w:r w:rsidR="007B6ABF" w:rsidRPr="00356FA6">
          <w:rPr>
            <w:rStyle w:val="a8"/>
            <w:noProof/>
            <w:sz w:val="24"/>
            <w:szCs w:val="24"/>
          </w:rPr>
          <w:t>期末按摊余成本占基金资产净值比例大小排名的前十名债券投资明细</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_Toc374607354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62</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55" w:history="1">
        <w:r w:rsidR="007B6ABF" w:rsidRPr="00356FA6">
          <w:rPr>
            <w:rStyle w:val="a8"/>
            <w:noProof/>
            <w:sz w:val="24"/>
            <w:szCs w:val="24"/>
          </w:rPr>
          <w:t>7.</w:t>
        </w:r>
        <w:r w:rsidR="008138FF" w:rsidRPr="00356FA6">
          <w:rPr>
            <w:rStyle w:val="a8"/>
            <w:noProof/>
            <w:sz w:val="24"/>
            <w:szCs w:val="24"/>
          </w:rPr>
          <w:t>5</w:t>
        </w:r>
        <w:r w:rsidR="007B6ABF" w:rsidRPr="00356FA6">
          <w:rPr>
            <w:rStyle w:val="a8"/>
            <w:noProof/>
            <w:sz w:val="24"/>
            <w:szCs w:val="24"/>
          </w:rPr>
          <w:t>“</w:t>
        </w:r>
        <w:r w:rsidR="007B6ABF" w:rsidRPr="00356FA6">
          <w:rPr>
            <w:rStyle w:val="a8"/>
            <w:noProof/>
            <w:sz w:val="24"/>
            <w:szCs w:val="24"/>
          </w:rPr>
          <w:t>影子定价</w:t>
        </w:r>
        <w:r w:rsidR="007B6ABF" w:rsidRPr="00356FA6">
          <w:rPr>
            <w:rStyle w:val="a8"/>
            <w:noProof/>
            <w:sz w:val="24"/>
            <w:szCs w:val="24"/>
          </w:rPr>
          <w:t>”</w:t>
        </w:r>
        <w:r w:rsidR="007B6ABF" w:rsidRPr="00356FA6">
          <w:rPr>
            <w:rStyle w:val="a8"/>
            <w:noProof/>
            <w:sz w:val="24"/>
            <w:szCs w:val="24"/>
          </w:rPr>
          <w:t>与</w:t>
        </w:r>
        <w:r w:rsidR="007B6ABF" w:rsidRPr="00356FA6">
          <w:rPr>
            <w:rStyle w:val="a8"/>
            <w:noProof/>
            <w:sz w:val="24"/>
            <w:szCs w:val="24"/>
          </w:rPr>
          <w:t>“</w:t>
        </w:r>
        <w:r w:rsidR="007B6ABF" w:rsidRPr="00356FA6">
          <w:rPr>
            <w:rStyle w:val="a8"/>
            <w:noProof/>
            <w:sz w:val="24"/>
            <w:szCs w:val="24"/>
          </w:rPr>
          <w:t>摊余成本法</w:t>
        </w:r>
        <w:r w:rsidR="007B6ABF" w:rsidRPr="00356FA6">
          <w:rPr>
            <w:rStyle w:val="a8"/>
            <w:noProof/>
            <w:sz w:val="24"/>
            <w:szCs w:val="24"/>
          </w:rPr>
          <w:t>”</w:t>
        </w:r>
        <w:r w:rsidR="007B6ABF" w:rsidRPr="00356FA6">
          <w:rPr>
            <w:rStyle w:val="a8"/>
            <w:noProof/>
            <w:sz w:val="24"/>
            <w:szCs w:val="24"/>
          </w:rPr>
          <w:t>确定的基金资产净值的偏离</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_Toc374607355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62</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56" w:history="1">
        <w:r w:rsidR="007B6ABF" w:rsidRPr="00356FA6">
          <w:rPr>
            <w:rStyle w:val="a8"/>
            <w:noProof/>
            <w:sz w:val="24"/>
            <w:szCs w:val="24"/>
          </w:rPr>
          <w:t>7.</w:t>
        </w:r>
        <w:r w:rsidR="008138FF" w:rsidRPr="00356FA6">
          <w:rPr>
            <w:rStyle w:val="a8"/>
            <w:noProof/>
            <w:sz w:val="24"/>
            <w:szCs w:val="24"/>
          </w:rPr>
          <w:t>6</w:t>
        </w:r>
        <w:r w:rsidR="007B6ABF" w:rsidRPr="00356FA6">
          <w:rPr>
            <w:rStyle w:val="a8"/>
            <w:noProof/>
            <w:sz w:val="24"/>
            <w:szCs w:val="24"/>
          </w:rPr>
          <w:t>期末按公允价值占基金资产净值比例大小排名的所有资产支持证券投资明细</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62</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57" w:history="1">
        <w:r w:rsidR="007B6ABF" w:rsidRPr="00356FA6">
          <w:rPr>
            <w:rStyle w:val="a8"/>
            <w:noProof/>
            <w:sz w:val="24"/>
            <w:szCs w:val="24"/>
          </w:rPr>
          <w:t>7.</w:t>
        </w:r>
        <w:r w:rsidR="008138FF" w:rsidRPr="00356FA6">
          <w:rPr>
            <w:rStyle w:val="a8"/>
            <w:noProof/>
            <w:sz w:val="24"/>
            <w:szCs w:val="24"/>
          </w:rPr>
          <w:t>7</w:t>
        </w:r>
        <w:r w:rsidR="007B6ABF" w:rsidRPr="00356FA6">
          <w:rPr>
            <w:rStyle w:val="a8"/>
            <w:noProof/>
            <w:sz w:val="24"/>
            <w:szCs w:val="24"/>
          </w:rPr>
          <w:t>投资组合报告附注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63</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58" w:history="1">
        <w:r w:rsidR="007B6ABF" w:rsidRPr="00356FA6">
          <w:rPr>
            <w:rStyle w:val="a8"/>
            <w:b/>
            <w:bCs/>
            <w:noProof/>
            <w:sz w:val="24"/>
          </w:rPr>
          <w:t>§8</w:t>
        </w:r>
        <w:r w:rsidR="007B6ABF" w:rsidRPr="00356FA6">
          <w:rPr>
            <w:rStyle w:val="a8"/>
            <w:b/>
            <w:bCs/>
            <w:noProof/>
            <w:sz w:val="24"/>
          </w:rPr>
          <w:t>基金份额持有人信息</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_Toc374607358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64</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59" w:history="1">
        <w:r w:rsidR="007B6ABF" w:rsidRPr="00356FA6">
          <w:rPr>
            <w:rStyle w:val="a8"/>
            <w:noProof/>
            <w:sz w:val="24"/>
            <w:szCs w:val="24"/>
          </w:rPr>
          <w:t xml:space="preserve">8.1 </w:t>
        </w:r>
        <w:r w:rsidR="007B6ABF" w:rsidRPr="00356FA6">
          <w:rPr>
            <w:rStyle w:val="a8"/>
            <w:noProof/>
            <w:sz w:val="24"/>
            <w:szCs w:val="24"/>
          </w:rPr>
          <w:t>期末基金份额持有人户数及持有人结构</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_Toc374607359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64</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60" w:history="1">
        <w:r w:rsidR="007B6ABF" w:rsidRPr="00356FA6">
          <w:rPr>
            <w:rStyle w:val="a8"/>
            <w:noProof/>
            <w:sz w:val="24"/>
            <w:szCs w:val="24"/>
          </w:rPr>
          <w:t>8.2</w:t>
        </w:r>
        <w:r w:rsidR="007B6ABF" w:rsidRPr="00356FA6">
          <w:rPr>
            <w:rStyle w:val="a8"/>
            <w:noProof/>
            <w:sz w:val="24"/>
            <w:szCs w:val="24"/>
          </w:rPr>
          <w:t>期末上市基金前十名持有人</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_Toc374607360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65</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61" w:history="1">
        <w:r w:rsidR="007B6ABF" w:rsidRPr="00356FA6">
          <w:rPr>
            <w:rStyle w:val="a8"/>
            <w:noProof/>
            <w:sz w:val="24"/>
            <w:szCs w:val="24"/>
          </w:rPr>
          <w:t>8.3</w:t>
        </w:r>
        <w:r w:rsidR="007B6ABF" w:rsidRPr="00356FA6">
          <w:rPr>
            <w:rStyle w:val="a8"/>
            <w:noProof/>
            <w:sz w:val="24"/>
            <w:szCs w:val="24"/>
          </w:rPr>
          <w:t>期末基金管理人的从业人员持有本基金的情况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_Toc374607361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66</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62" w:history="1">
        <w:r w:rsidR="007B6ABF" w:rsidRPr="00356FA6">
          <w:rPr>
            <w:rStyle w:val="a8"/>
            <w:noProof/>
            <w:sz w:val="24"/>
            <w:szCs w:val="24"/>
          </w:rPr>
          <w:t>8.4</w:t>
        </w:r>
        <w:r w:rsidR="007B6ABF" w:rsidRPr="00356FA6">
          <w:rPr>
            <w:rStyle w:val="a8"/>
            <w:noProof/>
            <w:sz w:val="24"/>
            <w:szCs w:val="24"/>
          </w:rPr>
          <w:t>发起式基金发起资金持有份额情况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66</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63" w:history="1">
        <w:r w:rsidR="007B6ABF" w:rsidRPr="00356FA6">
          <w:rPr>
            <w:rStyle w:val="a8"/>
            <w:b/>
            <w:bCs/>
            <w:noProof/>
            <w:sz w:val="24"/>
          </w:rPr>
          <w:t>§9</w:t>
        </w:r>
        <w:r w:rsidR="007B6ABF" w:rsidRPr="00356FA6">
          <w:rPr>
            <w:rStyle w:val="a8"/>
            <w:b/>
            <w:bCs/>
            <w:noProof/>
            <w:sz w:val="24"/>
          </w:rPr>
          <w:t>开放式基金份额变动</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_Toc374607363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68</w:t>
        </w:r>
        <w:r w:rsidR="00934E23" w:rsidRPr="00356FA6">
          <w:rPr>
            <w:noProof/>
            <w:webHidden/>
            <w:sz w:val="24"/>
          </w:rPr>
          <w:fldChar w:fldCharType="end"/>
        </w:r>
      </w:hyperlink>
    </w:p>
    <w:p w:rsidR="007B6ABF" w:rsidRPr="00356FA6" w:rsidRDefault="00784707" w:rsidP="006C67B5">
      <w:pPr>
        <w:pStyle w:val="11"/>
        <w:spacing w:before="29" w:line="288" w:lineRule="auto"/>
        <w:rPr>
          <w:noProof/>
          <w:sz w:val="24"/>
        </w:rPr>
      </w:pPr>
      <w:hyperlink w:anchor="_Toc374607364" w:history="1">
        <w:r w:rsidR="007B6ABF" w:rsidRPr="00356FA6">
          <w:rPr>
            <w:rStyle w:val="a8"/>
            <w:b/>
            <w:bCs/>
            <w:noProof/>
            <w:sz w:val="24"/>
          </w:rPr>
          <w:t>§10</w:t>
        </w:r>
        <w:r w:rsidR="007B6ABF" w:rsidRPr="00356FA6">
          <w:rPr>
            <w:rStyle w:val="a8"/>
            <w:b/>
            <w:bCs/>
            <w:noProof/>
            <w:sz w:val="24"/>
          </w:rPr>
          <w:t>重大事件揭示</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_Toc374607364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68</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65" w:history="1">
        <w:r w:rsidR="007B6ABF" w:rsidRPr="00356FA6">
          <w:rPr>
            <w:rStyle w:val="a8"/>
            <w:noProof/>
            <w:sz w:val="24"/>
            <w:szCs w:val="24"/>
          </w:rPr>
          <w:t>10.1</w:t>
        </w:r>
        <w:r w:rsidR="007B6ABF" w:rsidRPr="00356FA6">
          <w:rPr>
            <w:rStyle w:val="a8"/>
            <w:noProof/>
            <w:sz w:val="24"/>
            <w:szCs w:val="24"/>
          </w:rPr>
          <w:t>基金份额持有人大会决议</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_Toc374607365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68</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66" w:history="1">
        <w:r w:rsidR="007B6ABF" w:rsidRPr="00356FA6">
          <w:rPr>
            <w:rStyle w:val="a8"/>
            <w:noProof/>
            <w:sz w:val="24"/>
            <w:szCs w:val="24"/>
          </w:rPr>
          <w:t xml:space="preserve">10.2 </w:t>
        </w:r>
        <w:r w:rsidR="007B6ABF" w:rsidRPr="00356FA6">
          <w:rPr>
            <w:rStyle w:val="a8"/>
            <w:noProof/>
            <w:sz w:val="24"/>
            <w:szCs w:val="24"/>
          </w:rPr>
          <w:t>基金管理人、基金托管人的专门基金托管部门的重大人事变动</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68</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67" w:history="1">
        <w:r w:rsidR="007B6ABF" w:rsidRPr="00356FA6">
          <w:rPr>
            <w:rStyle w:val="a8"/>
            <w:noProof/>
            <w:sz w:val="24"/>
            <w:szCs w:val="24"/>
          </w:rPr>
          <w:t xml:space="preserve">10.3 </w:t>
        </w:r>
        <w:r w:rsidR="007B6ABF" w:rsidRPr="00356FA6">
          <w:rPr>
            <w:rStyle w:val="a8"/>
            <w:noProof/>
            <w:sz w:val="24"/>
            <w:szCs w:val="24"/>
          </w:rPr>
          <w:t>涉及基金管理人、基金财产、基金托管业务的诉讼</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68" w:history="1">
        <w:r w:rsidR="007B6ABF" w:rsidRPr="00356FA6">
          <w:rPr>
            <w:rStyle w:val="a8"/>
            <w:noProof/>
            <w:sz w:val="24"/>
            <w:szCs w:val="24"/>
          </w:rPr>
          <w:t xml:space="preserve">10.4 </w:t>
        </w:r>
        <w:r w:rsidR="007B6ABF" w:rsidRPr="00356FA6">
          <w:rPr>
            <w:rStyle w:val="a8"/>
            <w:noProof/>
            <w:sz w:val="24"/>
            <w:szCs w:val="24"/>
          </w:rPr>
          <w:t>基金投资策略的改变</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69" w:history="1">
        <w:r w:rsidR="007B6ABF" w:rsidRPr="00356FA6">
          <w:rPr>
            <w:rStyle w:val="a8"/>
            <w:noProof/>
            <w:sz w:val="24"/>
            <w:szCs w:val="24"/>
          </w:rPr>
          <w:t>10.5</w:t>
        </w:r>
        <w:r w:rsidR="007B6ABF" w:rsidRPr="00356FA6">
          <w:rPr>
            <w:rStyle w:val="a8"/>
            <w:noProof/>
            <w:sz w:val="24"/>
            <w:szCs w:val="24"/>
          </w:rPr>
          <w:t>报告期内改聘会计师事务所情况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_Toc374607369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70" w:history="1">
        <w:r w:rsidR="007B6ABF" w:rsidRPr="00356FA6">
          <w:rPr>
            <w:rStyle w:val="a8"/>
            <w:noProof/>
            <w:sz w:val="24"/>
            <w:szCs w:val="24"/>
          </w:rPr>
          <w:t xml:space="preserve">10.6 </w:t>
        </w:r>
        <w:r w:rsidR="007B6ABF" w:rsidRPr="00356FA6">
          <w:rPr>
            <w:rStyle w:val="a8"/>
            <w:noProof/>
            <w:sz w:val="24"/>
            <w:szCs w:val="24"/>
          </w:rPr>
          <w:t>管理人、托管人及其高级管理人员受稽查或处罚等情况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_Toc374607370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71" w:history="1">
        <w:r w:rsidR="007B6ABF" w:rsidRPr="00356FA6">
          <w:rPr>
            <w:rStyle w:val="a8"/>
            <w:noProof/>
            <w:sz w:val="24"/>
            <w:szCs w:val="24"/>
          </w:rPr>
          <w:t xml:space="preserve">10.7 </w:t>
        </w:r>
        <w:r w:rsidR="007B6ABF" w:rsidRPr="00356FA6">
          <w:rPr>
            <w:rStyle w:val="a8"/>
            <w:noProof/>
            <w:sz w:val="24"/>
            <w:szCs w:val="24"/>
          </w:rPr>
          <w:t>基金租用证券公司交易单元的有关情况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_Toc374607371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69</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72" w:history="1">
        <w:r w:rsidR="007B6ABF" w:rsidRPr="00356FA6">
          <w:rPr>
            <w:rStyle w:val="a8"/>
            <w:noProof/>
            <w:sz w:val="24"/>
            <w:szCs w:val="24"/>
          </w:rPr>
          <w:t>10.8</w:t>
        </w:r>
        <w:r w:rsidR="007B6ABF" w:rsidRPr="00356FA6">
          <w:rPr>
            <w:rStyle w:val="a8"/>
            <w:noProof/>
            <w:sz w:val="24"/>
            <w:szCs w:val="24"/>
          </w:rPr>
          <w:t>偏离度绝对值超过</w:t>
        </w:r>
        <w:r w:rsidR="007B6ABF" w:rsidRPr="00356FA6">
          <w:rPr>
            <w:rStyle w:val="a8"/>
            <w:noProof/>
            <w:sz w:val="24"/>
            <w:szCs w:val="24"/>
          </w:rPr>
          <w:t>0.5%</w:t>
        </w:r>
        <w:r w:rsidR="007B6ABF" w:rsidRPr="00356FA6">
          <w:rPr>
            <w:rStyle w:val="a8"/>
            <w:noProof/>
            <w:sz w:val="24"/>
            <w:szCs w:val="24"/>
          </w:rPr>
          <w:t>的情况</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_Toc374607372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70</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73" w:history="1">
        <w:r w:rsidR="007B6ABF" w:rsidRPr="00356FA6">
          <w:rPr>
            <w:rStyle w:val="a8"/>
            <w:noProof/>
            <w:sz w:val="24"/>
            <w:szCs w:val="24"/>
          </w:rPr>
          <w:t>10.9</w:t>
        </w:r>
        <w:r w:rsidR="007B6ABF" w:rsidRPr="00356FA6">
          <w:rPr>
            <w:rStyle w:val="a8"/>
            <w:noProof/>
            <w:sz w:val="24"/>
            <w:szCs w:val="24"/>
          </w:rPr>
          <w:t>其他重大事件</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_Toc374607373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70</w:t>
        </w:r>
        <w:r w:rsidR="00934E23" w:rsidRPr="00356FA6">
          <w:rPr>
            <w:noProof/>
            <w:webHidden/>
            <w:sz w:val="24"/>
            <w:szCs w:val="24"/>
          </w:rPr>
          <w:fldChar w:fldCharType="end"/>
        </w:r>
      </w:hyperlink>
    </w:p>
    <w:p w:rsidR="007B6ABF" w:rsidRPr="00356FA6" w:rsidRDefault="00784707" w:rsidP="006C67B5">
      <w:pPr>
        <w:pStyle w:val="11"/>
        <w:spacing w:before="29" w:line="288" w:lineRule="auto"/>
        <w:rPr>
          <w:noProof/>
          <w:sz w:val="24"/>
        </w:rPr>
      </w:pPr>
      <w:hyperlink w:anchor="_Toc374607374" w:history="1">
        <w:r w:rsidR="007B6ABF" w:rsidRPr="00356FA6">
          <w:rPr>
            <w:rStyle w:val="a8"/>
            <w:b/>
            <w:bCs/>
            <w:noProof/>
            <w:sz w:val="24"/>
          </w:rPr>
          <w:t>§11</w:t>
        </w:r>
        <w:r w:rsidR="007B6ABF" w:rsidRPr="00356FA6">
          <w:rPr>
            <w:rStyle w:val="a8"/>
            <w:b/>
            <w:bCs/>
            <w:noProof/>
            <w:sz w:val="24"/>
          </w:rPr>
          <w:t>影响投资者决策的其他重要信息</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_Toc374607374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70</w:t>
        </w:r>
        <w:r w:rsidR="00934E23" w:rsidRPr="00356FA6">
          <w:rPr>
            <w:noProof/>
            <w:webHidden/>
            <w:sz w:val="24"/>
          </w:rPr>
          <w:fldChar w:fldCharType="end"/>
        </w:r>
      </w:hyperlink>
    </w:p>
    <w:p w:rsidR="007B6ABF" w:rsidRPr="00356FA6" w:rsidRDefault="00784707" w:rsidP="006C67B5">
      <w:pPr>
        <w:pStyle w:val="11"/>
        <w:spacing w:before="29" w:line="288" w:lineRule="auto"/>
        <w:rPr>
          <w:noProof/>
          <w:sz w:val="24"/>
        </w:rPr>
      </w:pPr>
      <w:hyperlink w:anchor="_Toc374607375" w:history="1">
        <w:r w:rsidR="007B6ABF" w:rsidRPr="00356FA6">
          <w:rPr>
            <w:rStyle w:val="a8"/>
            <w:b/>
            <w:bCs/>
            <w:noProof/>
            <w:sz w:val="24"/>
          </w:rPr>
          <w:t>§12</w:t>
        </w:r>
        <w:r w:rsidR="007B6ABF" w:rsidRPr="00356FA6">
          <w:rPr>
            <w:rStyle w:val="a8"/>
            <w:b/>
            <w:bCs/>
            <w:noProof/>
            <w:sz w:val="24"/>
          </w:rPr>
          <w:t>备查文件目录</w:t>
        </w:r>
        <w:r w:rsidR="007B6ABF" w:rsidRPr="00356FA6">
          <w:rPr>
            <w:noProof/>
            <w:webHidden/>
            <w:sz w:val="24"/>
          </w:rPr>
          <w:tab/>
        </w:r>
        <w:r w:rsidR="00934E23" w:rsidRPr="00356FA6">
          <w:rPr>
            <w:noProof/>
            <w:webHidden/>
            <w:sz w:val="24"/>
          </w:rPr>
          <w:fldChar w:fldCharType="begin"/>
        </w:r>
        <w:r w:rsidR="007B6ABF" w:rsidRPr="00356FA6">
          <w:rPr>
            <w:noProof/>
            <w:webHidden/>
            <w:sz w:val="24"/>
          </w:rPr>
          <w:instrText xml:space="preserve"> PAGEREF _Toc374607375 \h </w:instrText>
        </w:r>
        <w:r w:rsidR="00934E23" w:rsidRPr="00356FA6">
          <w:rPr>
            <w:noProof/>
            <w:webHidden/>
            <w:sz w:val="24"/>
          </w:rPr>
        </w:r>
        <w:r w:rsidR="00934E23" w:rsidRPr="00356FA6">
          <w:rPr>
            <w:noProof/>
            <w:webHidden/>
            <w:sz w:val="24"/>
          </w:rPr>
          <w:fldChar w:fldCharType="separate"/>
        </w:r>
        <w:r w:rsidR="007B6ABF" w:rsidRPr="00356FA6">
          <w:rPr>
            <w:noProof/>
            <w:webHidden/>
            <w:sz w:val="24"/>
          </w:rPr>
          <w:t>71</w:t>
        </w:r>
        <w:r w:rsidR="00934E23" w:rsidRPr="00356FA6">
          <w:rPr>
            <w:noProof/>
            <w:webHidden/>
            <w:sz w:val="24"/>
          </w:rPr>
          <w:fldChar w:fldCharType="end"/>
        </w:r>
      </w:hyperlink>
    </w:p>
    <w:p w:rsidR="007B6ABF" w:rsidRPr="00356FA6" w:rsidRDefault="00784707" w:rsidP="006C67B5">
      <w:pPr>
        <w:pStyle w:val="22"/>
        <w:spacing w:before="29" w:line="288" w:lineRule="auto"/>
        <w:rPr>
          <w:noProof/>
          <w:kern w:val="2"/>
          <w:sz w:val="24"/>
          <w:szCs w:val="24"/>
        </w:rPr>
      </w:pPr>
      <w:hyperlink w:anchor="_Toc374607376" w:history="1">
        <w:r w:rsidR="007B6ABF" w:rsidRPr="00356FA6">
          <w:rPr>
            <w:rStyle w:val="a8"/>
            <w:noProof/>
            <w:sz w:val="24"/>
            <w:szCs w:val="24"/>
          </w:rPr>
          <w:t>12</w:t>
        </w:r>
        <w:r w:rsidR="00172F1B" w:rsidRPr="00356FA6">
          <w:rPr>
            <w:rStyle w:val="a8"/>
            <w:noProof/>
            <w:sz w:val="24"/>
            <w:szCs w:val="24"/>
          </w:rPr>
          <w:t>.1</w:t>
        </w:r>
        <w:r w:rsidR="007B6ABF" w:rsidRPr="00356FA6">
          <w:rPr>
            <w:rStyle w:val="a8"/>
            <w:noProof/>
            <w:sz w:val="24"/>
            <w:szCs w:val="24"/>
          </w:rPr>
          <w:t>备查文件目录</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_Toc374607376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71</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77" w:history="1">
        <w:r w:rsidR="007B6ABF" w:rsidRPr="00356FA6">
          <w:rPr>
            <w:rStyle w:val="a8"/>
            <w:noProof/>
            <w:sz w:val="24"/>
            <w:szCs w:val="24"/>
          </w:rPr>
          <w:t>12.2</w:t>
        </w:r>
        <w:r w:rsidR="007B6ABF" w:rsidRPr="00356FA6">
          <w:rPr>
            <w:rStyle w:val="a8"/>
            <w:noProof/>
            <w:sz w:val="24"/>
            <w:szCs w:val="24"/>
          </w:rPr>
          <w:t>存放地点</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_Toc374607377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71</w:t>
        </w:r>
        <w:r w:rsidR="00934E23" w:rsidRPr="00356FA6">
          <w:rPr>
            <w:noProof/>
            <w:webHidden/>
            <w:sz w:val="24"/>
            <w:szCs w:val="24"/>
          </w:rPr>
          <w:fldChar w:fldCharType="end"/>
        </w:r>
      </w:hyperlink>
    </w:p>
    <w:p w:rsidR="007B6ABF" w:rsidRPr="00356FA6" w:rsidRDefault="00784707" w:rsidP="006C67B5">
      <w:pPr>
        <w:pStyle w:val="22"/>
        <w:spacing w:before="29" w:line="288" w:lineRule="auto"/>
        <w:rPr>
          <w:noProof/>
          <w:kern w:val="2"/>
          <w:sz w:val="24"/>
          <w:szCs w:val="24"/>
        </w:rPr>
      </w:pPr>
      <w:hyperlink w:anchor="_Toc374607378" w:history="1">
        <w:r w:rsidR="007B6ABF" w:rsidRPr="00356FA6">
          <w:rPr>
            <w:rStyle w:val="a8"/>
            <w:noProof/>
            <w:sz w:val="24"/>
            <w:szCs w:val="24"/>
          </w:rPr>
          <w:t>12.3</w:t>
        </w:r>
        <w:r w:rsidR="007B6ABF" w:rsidRPr="00356FA6">
          <w:rPr>
            <w:rStyle w:val="a8"/>
            <w:noProof/>
            <w:sz w:val="24"/>
            <w:szCs w:val="24"/>
          </w:rPr>
          <w:t>查阅方式</w:t>
        </w:r>
        <w:r w:rsidR="007B6ABF" w:rsidRPr="00356FA6">
          <w:rPr>
            <w:noProof/>
            <w:webHidden/>
            <w:sz w:val="24"/>
            <w:szCs w:val="24"/>
          </w:rPr>
          <w:tab/>
        </w:r>
        <w:r w:rsidR="00934E23" w:rsidRPr="00356FA6">
          <w:rPr>
            <w:noProof/>
            <w:webHidden/>
            <w:sz w:val="24"/>
            <w:szCs w:val="24"/>
          </w:rPr>
          <w:fldChar w:fldCharType="begin"/>
        </w:r>
        <w:r w:rsidR="007B6ABF" w:rsidRPr="00356FA6">
          <w:rPr>
            <w:noProof/>
            <w:webHidden/>
            <w:sz w:val="24"/>
            <w:szCs w:val="24"/>
          </w:rPr>
          <w:instrText xml:space="preserve"> PAGEREF _Toc374607378 \h </w:instrText>
        </w:r>
        <w:r w:rsidR="00934E23" w:rsidRPr="00356FA6">
          <w:rPr>
            <w:noProof/>
            <w:webHidden/>
            <w:sz w:val="24"/>
            <w:szCs w:val="24"/>
          </w:rPr>
        </w:r>
        <w:r w:rsidR="00934E23" w:rsidRPr="00356FA6">
          <w:rPr>
            <w:noProof/>
            <w:webHidden/>
            <w:sz w:val="24"/>
            <w:szCs w:val="24"/>
          </w:rPr>
          <w:fldChar w:fldCharType="separate"/>
        </w:r>
        <w:r w:rsidR="007B6ABF" w:rsidRPr="00356FA6">
          <w:rPr>
            <w:noProof/>
            <w:webHidden/>
            <w:sz w:val="24"/>
            <w:szCs w:val="24"/>
          </w:rPr>
          <w:t>71</w:t>
        </w:r>
        <w:r w:rsidR="00934E23" w:rsidRPr="00356FA6">
          <w:rPr>
            <w:noProof/>
            <w:webHidden/>
            <w:sz w:val="24"/>
            <w:szCs w:val="24"/>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374607324"/>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374607325"/>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交银施罗德天益宝货币市场基金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交银天益宝货币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003968</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12</w:t>
            </w:r>
            <w:r w:rsidRPr="00356FA6">
              <w:rPr>
                <w:sz w:val="24"/>
              </w:rPr>
              <w:t>月</w:t>
            </w:r>
            <w:r w:rsidRPr="00356FA6">
              <w:rPr>
                <w:sz w:val="24"/>
              </w:rPr>
              <w:t>20</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中国工商银行股份有限公司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4,599,097,345.23</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交银天益宝货币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交银天益宝货币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003969</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23,625,460.67</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4,575,471,884.56</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374607326"/>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374607327"/>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中国工商银行股份有限公司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郭明</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010-66105799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custody@icbc.com.cn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95588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010-66105798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55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55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100140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陈四清</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374607328"/>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《上海证券报》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374607329"/>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374607330"/>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374607331"/>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469,409.71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75,980,901.35</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469,409.71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75,980,901.35</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1.37%</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23,625,460.67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4,575,471,884.56</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9.01%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9.67%</w:t>
            </w:r>
          </w:p>
        </w:tc>
      </w:tr>
    </w:tbl>
    <w:p w:rsidR="00A65D54" w:rsidRDefault="00484537">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65D54" w:rsidRDefault="00484537">
      <w:pPr>
        <w:tabs>
          <w:tab w:val="left" w:pos="426"/>
        </w:tabs>
        <w:spacing w:before="29" w:line="288" w:lineRule="auto"/>
        <w:jc w:val="left"/>
        <w:rPr>
          <w:kern w:val="0"/>
          <w:sz w:val="24"/>
        </w:rPr>
      </w:pPr>
      <w:r>
        <w:rPr>
          <w:kern w:val="0"/>
          <w:sz w:val="24"/>
        </w:rPr>
        <w:t>2</w:t>
      </w:r>
      <w:r>
        <w:rPr>
          <w:kern w:val="0"/>
          <w:sz w:val="24"/>
        </w:rPr>
        <w:t>、本基金收益分配按日结转份额。</w:t>
      </w:r>
    </w:p>
    <w:p w:rsidR="00A65D54" w:rsidRDefault="00484537">
      <w:pPr>
        <w:tabs>
          <w:tab w:val="left" w:pos="426"/>
        </w:tabs>
        <w:spacing w:before="29" w:line="288" w:lineRule="auto"/>
        <w:jc w:val="left"/>
        <w:rPr>
          <w:kern w:val="0"/>
          <w:sz w:val="24"/>
        </w:rPr>
      </w:pPr>
      <w:r>
        <w:rPr>
          <w:kern w:val="0"/>
          <w:sz w:val="24"/>
        </w:rPr>
        <w:t>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A65D54" w:rsidRDefault="00484537">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374607332"/>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．交银天益宝货币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A65D54">
        <w:tc>
          <w:tcPr>
            <w:tcW w:w="1600" w:type="dxa"/>
            <w:vAlign w:val="center"/>
          </w:tcPr>
          <w:p w:rsidR="00A65D54" w:rsidRDefault="00484537">
            <w:pPr>
              <w:jc w:val="left"/>
            </w:pPr>
            <w:r>
              <w:rPr>
                <w:sz w:val="24"/>
              </w:rPr>
              <w:t>过去一个月</w:t>
            </w:r>
          </w:p>
        </w:tc>
        <w:tc>
          <w:tcPr>
            <w:tcW w:w="1233" w:type="dxa"/>
            <w:vAlign w:val="center"/>
          </w:tcPr>
          <w:p w:rsidR="00A65D54" w:rsidRDefault="00484537">
            <w:pPr>
              <w:jc w:val="center"/>
            </w:pPr>
            <w:r>
              <w:rPr>
                <w:sz w:val="24"/>
              </w:rPr>
              <w:t>0.1967%</w:t>
            </w:r>
          </w:p>
        </w:tc>
        <w:tc>
          <w:tcPr>
            <w:tcW w:w="1233" w:type="dxa"/>
            <w:vAlign w:val="center"/>
          </w:tcPr>
          <w:p w:rsidR="00A65D54" w:rsidRDefault="00484537">
            <w:pPr>
              <w:jc w:val="center"/>
            </w:pPr>
            <w:r>
              <w:rPr>
                <w:sz w:val="24"/>
              </w:rPr>
              <w:t>0.0011%</w:t>
            </w:r>
          </w:p>
        </w:tc>
        <w:tc>
          <w:tcPr>
            <w:tcW w:w="1233" w:type="dxa"/>
            <w:vAlign w:val="center"/>
          </w:tcPr>
          <w:p w:rsidR="00A65D54" w:rsidRDefault="00484537">
            <w:pPr>
              <w:jc w:val="center"/>
            </w:pPr>
            <w:r>
              <w:rPr>
                <w:sz w:val="24"/>
              </w:rPr>
              <w:t>0.0288%</w:t>
            </w:r>
          </w:p>
        </w:tc>
        <w:tc>
          <w:tcPr>
            <w:tcW w:w="1233" w:type="dxa"/>
            <w:vAlign w:val="center"/>
          </w:tcPr>
          <w:p w:rsidR="00A65D54" w:rsidRDefault="00484537">
            <w:pPr>
              <w:jc w:val="center"/>
            </w:pPr>
            <w:r>
              <w:rPr>
                <w:sz w:val="24"/>
              </w:rPr>
              <w:t>0.0000%</w:t>
            </w:r>
          </w:p>
        </w:tc>
        <w:tc>
          <w:tcPr>
            <w:tcW w:w="1233" w:type="dxa"/>
            <w:vAlign w:val="center"/>
          </w:tcPr>
          <w:p w:rsidR="00A65D54" w:rsidRDefault="00484537">
            <w:pPr>
              <w:jc w:val="center"/>
            </w:pPr>
            <w:r>
              <w:rPr>
                <w:sz w:val="24"/>
              </w:rPr>
              <w:t>0.1679%</w:t>
            </w:r>
          </w:p>
        </w:tc>
        <w:tc>
          <w:tcPr>
            <w:tcW w:w="1233" w:type="dxa"/>
            <w:vAlign w:val="center"/>
          </w:tcPr>
          <w:p w:rsidR="00A65D54" w:rsidRDefault="00484537">
            <w:pPr>
              <w:jc w:val="center"/>
            </w:pPr>
            <w:r>
              <w:rPr>
                <w:sz w:val="24"/>
              </w:rPr>
              <w:t>0.0011%</w:t>
            </w:r>
          </w:p>
        </w:tc>
      </w:tr>
      <w:tr w:rsidR="00A65D54">
        <w:tc>
          <w:tcPr>
            <w:tcW w:w="1600" w:type="dxa"/>
            <w:vAlign w:val="center"/>
          </w:tcPr>
          <w:p w:rsidR="00A65D54" w:rsidRDefault="00484537">
            <w:pPr>
              <w:jc w:val="left"/>
            </w:pPr>
            <w:r>
              <w:rPr>
                <w:sz w:val="24"/>
              </w:rPr>
              <w:t>过去三个月</w:t>
            </w:r>
          </w:p>
        </w:tc>
        <w:tc>
          <w:tcPr>
            <w:tcW w:w="1233" w:type="dxa"/>
            <w:vAlign w:val="center"/>
          </w:tcPr>
          <w:p w:rsidR="00A65D54" w:rsidRDefault="00484537">
            <w:pPr>
              <w:jc w:val="center"/>
            </w:pPr>
            <w:r>
              <w:rPr>
                <w:sz w:val="24"/>
              </w:rPr>
              <w:t>0.5788%</w:t>
            </w:r>
          </w:p>
        </w:tc>
        <w:tc>
          <w:tcPr>
            <w:tcW w:w="1233" w:type="dxa"/>
            <w:vAlign w:val="center"/>
          </w:tcPr>
          <w:p w:rsidR="00A65D54" w:rsidRDefault="00484537">
            <w:pPr>
              <w:jc w:val="center"/>
            </w:pPr>
            <w:r>
              <w:rPr>
                <w:sz w:val="24"/>
              </w:rPr>
              <w:t>0.0007%</w:t>
            </w:r>
          </w:p>
        </w:tc>
        <w:tc>
          <w:tcPr>
            <w:tcW w:w="1233" w:type="dxa"/>
            <w:vAlign w:val="center"/>
          </w:tcPr>
          <w:p w:rsidR="00A65D54" w:rsidRDefault="00484537">
            <w:pPr>
              <w:jc w:val="center"/>
            </w:pPr>
            <w:r>
              <w:rPr>
                <w:sz w:val="24"/>
              </w:rPr>
              <w:t>0.0873%</w:t>
            </w:r>
          </w:p>
        </w:tc>
        <w:tc>
          <w:tcPr>
            <w:tcW w:w="1233" w:type="dxa"/>
            <w:vAlign w:val="center"/>
          </w:tcPr>
          <w:p w:rsidR="00A65D54" w:rsidRDefault="00484537">
            <w:pPr>
              <w:jc w:val="center"/>
            </w:pPr>
            <w:r>
              <w:rPr>
                <w:sz w:val="24"/>
              </w:rPr>
              <w:t>0.0000%</w:t>
            </w:r>
          </w:p>
        </w:tc>
        <w:tc>
          <w:tcPr>
            <w:tcW w:w="1233" w:type="dxa"/>
            <w:vAlign w:val="center"/>
          </w:tcPr>
          <w:p w:rsidR="00A65D54" w:rsidRDefault="00484537">
            <w:pPr>
              <w:jc w:val="center"/>
            </w:pPr>
            <w:r>
              <w:rPr>
                <w:sz w:val="24"/>
              </w:rPr>
              <w:t>0.4915%</w:t>
            </w:r>
          </w:p>
        </w:tc>
        <w:tc>
          <w:tcPr>
            <w:tcW w:w="1233" w:type="dxa"/>
            <w:vAlign w:val="center"/>
          </w:tcPr>
          <w:p w:rsidR="00A65D54" w:rsidRDefault="00484537">
            <w:pPr>
              <w:jc w:val="center"/>
            </w:pPr>
            <w:r>
              <w:rPr>
                <w:sz w:val="24"/>
              </w:rPr>
              <w:t>0.0007%</w:t>
            </w:r>
          </w:p>
        </w:tc>
      </w:tr>
      <w:tr w:rsidR="00A65D54">
        <w:tc>
          <w:tcPr>
            <w:tcW w:w="1600" w:type="dxa"/>
            <w:vAlign w:val="center"/>
          </w:tcPr>
          <w:p w:rsidR="00A65D54" w:rsidRDefault="00484537">
            <w:pPr>
              <w:jc w:val="left"/>
            </w:pPr>
            <w:r>
              <w:rPr>
                <w:sz w:val="24"/>
              </w:rPr>
              <w:t>过去六个月</w:t>
            </w:r>
          </w:p>
        </w:tc>
        <w:tc>
          <w:tcPr>
            <w:tcW w:w="1233" w:type="dxa"/>
            <w:vAlign w:val="center"/>
          </w:tcPr>
          <w:p w:rsidR="00A65D54" w:rsidRDefault="00484537">
            <w:pPr>
              <w:jc w:val="center"/>
            </w:pPr>
            <w:r>
              <w:rPr>
                <w:sz w:val="24"/>
              </w:rPr>
              <w:t>1.2511%</w:t>
            </w:r>
          </w:p>
        </w:tc>
        <w:tc>
          <w:tcPr>
            <w:tcW w:w="1233" w:type="dxa"/>
            <w:vAlign w:val="center"/>
          </w:tcPr>
          <w:p w:rsidR="00A65D54" w:rsidRDefault="00484537">
            <w:pPr>
              <w:jc w:val="center"/>
            </w:pPr>
            <w:r>
              <w:rPr>
                <w:sz w:val="24"/>
              </w:rPr>
              <w:t>0.0014%</w:t>
            </w:r>
          </w:p>
        </w:tc>
        <w:tc>
          <w:tcPr>
            <w:tcW w:w="1233" w:type="dxa"/>
            <w:vAlign w:val="center"/>
          </w:tcPr>
          <w:p w:rsidR="00A65D54" w:rsidRDefault="00484537">
            <w:pPr>
              <w:jc w:val="center"/>
            </w:pPr>
            <w:r>
              <w:rPr>
                <w:sz w:val="24"/>
              </w:rPr>
              <w:t>0.1736%</w:t>
            </w:r>
          </w:p>
        </w:tc>
        <w:tc>
          <w:tcPr>
            <w:tcW w:w="1233" w:type="dxa"/>
            <w:vAlign w:val="center"/>
          </w:tcPr>
          <w:p w:rsidR="00A65D54" w:rsidRDefault="00484537">
            <w:pPr>
              <w:jc w:val="center"/>
            </w:pPr>
            <w:r>
              <w:rPr>
                <w:sz w:val="24"/>
              </w:rPr>
              <w:t>0.0000%</w:t>
            </w:r>
          </w:p>
        </w:tc>
        <w:tc>
          <w:tcPr>
            <w:tcW w:w="1233" w:type="dxa"/>
            <w:vAlign w:val="center"/>
          </w:tcPr>
          <w:p w:rsidR="00A65D54" w:rsidRDefault="00484537">
            <w:pPr>
              <w:jc w:val="center"/>
            </w:pPr>
            <w:r>
              <w:rPr>
                <w:sz w:val="24"/>
              </w:rPr>
              <w:t>1.0775%</w:t>
            </w:r>
          </w:p>
        </w:tc>
        <w:tc>
          <w:tcPr>
            <w:tcW w:w="1233" w:type="dxa"/>
            <w:vAlign w:val="center"/>
          </w:tcPr>
          <w:p w:rsidR="00A65D54" w:rsidRDefault="00484537">
            <w:pPr>
              <w:jc w:val="center"/>
            </w:pPr>
            <w:r>
              <w:rPr>
                <w:sz w:val="24"/>
              </w:rPr>
              <w:t>0.0014%</w:t>
            </w:r>
          </w:p>
        </w:tc>
      </w:tr>
      <w:tr w:rsidR="00A65D54">
        <w:tc>
          <w:tcPr>
            <w:tcW w:w="1600" w:type="dxa"/>
            <w:vAlign w:val="center"/>
          </w:tcPr>
          <w:p w:rsidR="00A65D54" w:rsidRDefault="00484537">
            <w:pPr>
              <w:jc w:val="left"/>
            </w:pPr>
            <w:r>
              <w:rPr>
                <w:sz w:val="24"/>
              </w:rPr>
              <w:t>过去一年</w:t>
            </w:r>
          </w:p>
        </w:tc>
        <w:tc>
          <w:tcPr>
            <w:tcW w:w="1233" w:type="dxa"/>
            <w:vAlign w:val="center"/>
          </w:tcPr>
          <w:p w:rsidR="00A65D54" w:rsidRDefault="00484537">
            <w:pPr>
              <w:jc w:val="center"/>
            </w:pPr>
            <w:r>
              <w:rPr>
                <w:sz w:val="24"/>
              </w:rPr>
              <w:t>2.7671%</w:t>
            </w:r>
          </w:p>
        </w:tc>
        <w:tc>
          <w:tcPr>
            <w:tcW w:w="1233" w:type="dxa"/>
            <w:vAlign w:val="center"/>
          </w:tcPr>
          <w:p w:rsidR="00A65D54" w:rsidRDefault="00484537">
            <w:pPr>
              <w:jc w:val="center"/>
            </w:pPr>
            <w:r>
              <w:rPr>
                <w:sz w:val="24"/>
              </w:rPr>
              <w:t>0.0020%</w:t>
            </w:r>
          </w:p>
        </w:tc>
        <w:tc>
          <w:tcPr>
            <w:tcW w:w="1233" w:type="dxa"/>
            <w:vAlign w:val="center"/>
          </w:tcPr>
          <w:p w:rsidR="00A65D54" w:rsidRDefault="00484537">
            <w:pPr>
              <w:jc w:val="center"/>
            </w:pPr>
            <w:r>
              <w:rPr>
                <w:sz w:val="24"/>
              </w:rPr>
              <w:t>0.3500%</w:t>
            </w:r>
          </w:p>
        </w:tc>
        <w:tc>
          <w:tcPr>
            <w:tcW w:w="1233" w:type="dxa"/>
            <w:vAlign w:val="center"/>
          </w:tcPr>
          <w:p w:rsidR="00A65D54" w:rsidRDefault="00484537">
            <w:pPr>
              <w:jc w:val="center"/>
            </w:pPr>
            <w:r>
              <w:rPr>
                <w:sz w:val="24"/>
              </w:rPr>
              <w:t>0.0000%</w:t>
            </w:r>
          </w:p>
        </w:tc>
        <w:tc>
          <w:tcPr>
            <w:tcW w:w="1233" w:type="dxa"/>
            <w:vAlign w:val="center"/>
          </w:tcPr>
          <w:p w:rsidR="00A65D54" w:rsidRDefault="00484537">
            <w:pPr>
              <w:jc w:val="center"/>
            </w:pPr>
            <w:r>
              <w:rPr>
                <w:sz w:val="24"/>
              </w:rPr>
              <w:t>2.4171%</w:t>
            </w:r>
          </w:p>
        </w:tc>
        <w:tc>
          <w:tcPr>
            <w:tcW w:w="1233" w:type="dxa"/>
            <w:vAlign w:val="center"/>
          </w:tcPr>
          <w:p w:rsidR="00A65D54" w:rsidRDefault="00484537">
            <w:pPr>
              <w:jc w:val="center"/>
            </w:pPr>
            <w:r>
              <w:rPr>
                <w:sz w:val="24"/>
              </w:rPr>
              <w:t>0.0020%</w:t>
            </w:r>
          </w:p>
        </w:tc>
      </w:tr>
      <w:tr w:rsidR="00A65D54">
        <w:tc>
          <w:tcPr>
            <w:tcW w:w="1600" w:type="dxa"/>
            <w:vAlign w:val="center"/>
          </w:tcPr>
          <w:p w:rsidR="00A65D54" w:rsidRDefault="00484537">
            <w:pPr>
              <w:jc w:val="left"/>
            </w:pPr>
            <w:r>
              <w:rPr>
                <w:sz w:val="24"/>
              </w:rPr>
              <w:t>自基金合同生效起至今</w:t>
            </w:r>
          </w:p>
        </w:tc>
        <w:tc>
          <w:tcPr>
            <w:tcW w:w="1233" w:type="dxa"/>
            <w:vAlign w:val="center"/>
          </w:tcPr>
          <w:p w:rsidR="00A65D54" w:rsidRDefault="00484537">
            <w:pPr>
              <w:jc w:val="center"/>
            </w:pPr>
            <w:r>
              <w:rPr>
                <w:sz w:val="24"/>
              </w:rPr>
              <w:t>9.0128%</w:t>
            </w:r>
          </w:p>
        </w:tc>
        <w:tc>
          <w:tcPr>
            <w:tcW w:w="1233" w:type="dxa"/>
            <w:vAlign w:val="center"/>
          </w:tcPr>
          <w:p w:rsidR="00A65D54" w:rsidRDefault="00484537">
            <w:pPr>
              <w:jc w:val="center"/>
            </w:pPr>
            <w:r>
              <w:rPr>
                <w:sz w:val="24"/>
              </w:rPr>
              <w:t>0.0024%</w:t>
            </w:r>
          </w:p>
        </w:tc>
        <w:tc>
          <w:tcPr>
            <w:tcW w:w="1233" w:type="dxa"/>
            <w:vAlign w:val="center"/>
          </w:tcPr>
          <w:p w:rsidR="00A65D54" w:rsidRDefault="00484537">
            <w:pPr>
              <w:jc w:val="center"/>
            </w:pPr>
            <w:r>
              <w:rPr>
                <w:sz w:val="24"/>
              </w:rPr>
              <w:t>0.8851%</w:t>
            </w:r>
          </w:p>
        </w:tc>
        <w:tc>
          <w:tcPr>
            <w:tcW w:w="1233" w:type="dxa"/>
            <w:vAlign w:val="center"/>
          </w:tcPr>
          <w:p w:rsidR="00A65D54" w:rsidRDefault="00484537">
            <w:pPr>
              <w:jc w:val="center"/>
            </w:pPr>
            <w:r>
              <w:rPr>
                <w:sz w:val="24"/>
              </w:rPr>
              <w:t>0.0000%</w:t>
            </w:r>
          </w:p>
        </w:tc>
        <w:tc>
          <w:tcPr>
            <w:tcW w:w="1233" w:type="dxa"/>
            <w:vAlign w:val="center"/>
          </w:tcPr>
          <w:p w:rsidR="00A65D54" w:rsidRDefault="00484537">
            <w:pPr>
              <w:jc w:val="center"/>
            </w:pPr>
            <w:r>
              <w:rPr>
                <w:sz w:val="24"/>
              </w:rPr>
              <w:t>8.1277%</w:t>
            </w:r>
          </w:p>
        </w:tc>
        <w:tc>
          <w:tcPr>
            <w:tcW w:w="1233" w:type="dxa"/>
            <w:vAlign w:val="center"/>
          </w:tcPr>
          <w:p w:rsidR="00A65D54" w:rsidRDefault="00484537">
            <w:pPr>
              <w:jc w:val="center"/>
            </w:pPr>
            <w:r>
              <w:rPr>
                <w:sz w:val="24"/>
              </w:rPr>
              <w:t>0.0024%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．交银天益宝货币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A65D54">
        <w:tc>
          <w:tcPr>
            <w:tcW w:w="1600" w:type="dxa"/>
            <w:vAlign w:val="center"/>
          </w:tcPr>
          <w:p w:rsidR="00A65D54" w:rsidRDefault="00484537">
            <w:pPr>
              <w:jc w:val="left"/>
            </w:pPr>
            <w:r>
              <w:rPr>
                <w:sz w:val="24"/>
              </w:rPr>
              <w:t>过去一个月</w:t>
            </w:r>
          </w:p>
        </w:tc>
        <w:tc>
          <w:tcPr>
            <w:tcW w:w="1233" w:type="dxa"/>
            <w:vAlign w:val="center"/>
          </w:tcPr>
          <w:p w:rsidR="00A65D54" w:rsidRDefault="00484537">
            <w:pPr>
              <w:jc w:val="center"/>
            </w:pPr>
            <w:r>
              <w:rPr>
                <w:sz w:val="24"/>
              </w:rPr>
              <w:t>0.2165%</w:t>
            </w:r>
          </w:p>
        </w:tc>
        <w:tc>
          <w:tcPr>
            <w:tcW w:w="1233" w:type="dxa"/>
            <w:vAlign w:val="center"/>
          </w:tcPr>
          <w:p w:rsidR="00A65D54" w:rsidRDefault="00484537">
            <w:pPr>
              <w:jc w:val="center"/>
            </w:pPr>
            <w:r>
              <w:rPr>
                <w:sz w:val="24"/>
              </w:rPr>
              <w:t>0.0011%</w:t>
            </w:r>
          </w:p>
        </w:tc>
        <w:tc>
          <w:tcPr>
            <w:tcW w:w="1233" w:type="dxa"/>
            <w:vAlign w:val="center"/>
          </w:tcPr>
          <w:p w:rsidR="00A65D54" w:rsidRDefault="00484537">
            <w:pPr>
              <w:jc w:val="center"/>
            </w:pPr>
            <w:r>
              <w:rPr>
                <w:sz w:val="24"/>
              </w:rPr>
              <w:t>0.0288%</w:t>
            </w:r>
          </w:p>
        </w:tc>
        <w:tc>
          <w:tcPr>
            <w:tcW w:w="1233" w:type="dxa"/>
            <w:vAlign w:val="center"/>
          </w:tcPr>
          <w:p w:rsidR="00A65D54" w:rsidRDefault="00484537">
            <w:pPr>
              <w:jc w:val="center"/>
            </w:pPr>
            <w:r>
              <w:rPr>
                <w:sz w:val="24"/>
              </w:rPr>
              <w:t>0.0000%</w:t>
            </w:r>
          </w:p>
        </w:tc>
        <w:tc>
          <w:tcPr>
            <w:tcW w:w="1265" w:type="dxa"/>
            <w:vAlign w:val="center"/>
          </w:tcPr>
          <w:p w:rsidR="00A65D54" w:rsidRDefault="00484537">
            <w:pPr>
              <w:jc w:val="center"/>
            </w:pPr>
            <w:r>
              <w:rPr>
                <w:sz w:val="24"/>
              </w:rPr>
              <w:t>0.1877%</w:t>
            </w:r>
          </w:p>
        </w:tc>
        <w:tc>
          <w:tcPr>
            <w:tcW w:w="1201" w:type="dxa"/>
            <w:vAlign w:val="center"/>
          </w:tcPr>
          <w:p w:rsidR="00A65D54" w:rsidRDefault="00484537">
            <w:pPr>
              <w:jc w:val="center"/>
            </w:pPr>
            <w:r>
              <w:rPr>
                <w:sz w:val="24"/>
              </w:rPr>
              <w:t>0.0011%</w:t>
            </w:r>
          </w:p>
        </w:tc>
      </w:tr>
      <w:tr w:rsidR="00A65D54">
        <w:tc>
          <w:tcPr>
            <w:tcW w:w="1600" w:type="dxa"/>
            <w:vAlign w:val="center"/>
          </w:tcPr>
          <w:p w:rsidR="00A65D54" w:rsidRDefault="00484537">
            <w:pPr>
              <w:jc w:val="left"/>
            </w:pPr>
            <w:r>
              <w:rPr>
                <w:sz w:val="24"/>
              </w:rPr>
              <w:t>过去三个月</w:t>
            </w:r>
          </w:p>
        </w:tc>
        <w:tc>
          <w:tcPr>
            <w:tcW w:w="1233" w:type="dxa"/>
            <w:vAlign w:val="center"/>
          </w:tcPr>
          <w:p w:rsidR="00A65D54" w:rsidRDefault="00484537">
            <w:pPr>
              <w:jc w:val="center"/>
            </w:pPr>
            <w:r>
              <w:rPr>
                <w:sz w:val="24"/>
              </w:rPr>
              <w:t>0.6391%</w:t>
            </w:r>
          </w:p>
        </w:tc>
        <w:tc>
          <w:tcPr>
            <w:tcW w:w="1233" w:type="dxa"/>
            <w:vAlign w:val="center"/>
          </w:tcPr>
          <w:p w:rsidR="00A65D54" w:rsidRDefault="00484537">
            <w:pPr>
              <w:jc w:val="center"/>
            </w:pPr>
            <w:r>
              <w:rPr>
                <w:sz w:val="24"/>
              </w:rPr>
              <w:t>0.0007%</w:t>
            </w:r>
          </w:p>
        </w:tc>
        <w:tc>
          <w:tcPr>
            <w:tcW w:w="1233" w:type="dxa"/>
            <w:vAlign w:val="center"/>
          </w:tcPr>
          <w:p w:rsidR="00A65D54" w:rsidRDefault="00484537">
            <w:pPr>
              <w:jc w:val="center"/>
            </w:pPr>
            <w:r>
              <w:rPr>
                <w:sz w:val="24"/>
              </w:rPr>
              <w:t>0.0873%</w:t>
            </w:r>
          </w:p>
        </w:tc>
        <w:tc>
          <w:tcPr>
            <w:tcW w:w="1233" w:type="dxa"/>
            <w:vAlign w:val="center"/>
          </w:tcPr>
          <w:p w:rsidR="00A65D54" w:rsidRDefault="00484537">
            <w:pPr>
              <w:jc w:val="center"/>
            </w:pPr>
            <w:r>
              <w:rPr>
                <w:sz w:val="24"/>
              </w:rPr>
              <w:t>0.0000%</w:t>
            </w:r>
          </w:p>
        </w:tc>
        <w:tc>
          <w:tcPr>
            <w:tcW w:w="1265" w:type="dxa"/>
            <w:vAlign w:val="center"/>
          </w:tcPr>
          <w:p w:rsidR="00A65D54" w:rsidRDefault="00484537">
            <w:pPr>
              <w:jc w:val="center"/>
            </w:pPr>
            <w:r>
              <w:rPr>
                <w:sz w:val="24"/>
              </w:rPr>
              <w:t>0.5518%</w:t>
            </w:r>
          </w:p>
        </w:tc>
        <w:tc>
          <w:tcPr>
            <w:tcW w:w="1201" w:type="dxa"/>
            <w:vAlign w:val="center"/>
          </w:tcPr>
          <w:p w:rsidR="00A65D54" w:rsidRDefault="00484537">
            <w:pPr>
              <w:jc w:val="center"/>
            </w:pPr>
            <w:r>
              <w:rPr>
                <w:sz w:val="24"/>
              </w:rPr>
              <w:t>0.0007%</w:t>
            </w:r>
          </w:p>
        </w:tc>
      </w:tr>
      <w:tr w:rsidR="00A65D54">
        <w:tc>
          <w:tcPr>
            <w:tcW w:w="1600" w:type="dxa"/>
            <w:vAlign w:val="center"/>
          </w:tcPr>
          <w:p w:rsidR="00A65D54" w:rsidRDefault="00484537">
            <w:pPr>
              <w:jc w:val="left"/>
            </w:pPr>
            <w:r>
              <w:rPr>
                <w:sz w:val="24"/>
              </w:rPr>
              <w:t>过去六个月</w:t>
            </w:r>
          </w:p>
        </w:tc>
        <w:tc>
          <w:tcPr>
            <w:tcW w:w="1233" w:type="dxa"/>
            <w:vAlign w:val="center"/>
          </w:tcPr>
          <w:p w:rsidR="00A65D54" w:rsidRDefault="00484537">
            <w:pPr>
              <w:jc w:val="center"/>
            </w:pPr>
            <w:r>
              <w:rPr>
                <w:sz w:val="24"/>
              </w:rPr>
              <w:t>1.3725%</w:t>
            </w:r>
          </w:p>
        </w:tc>
        <w:tc>
          <w:tcPr>
            <w:tcW w:w="1233" w:type="dxa"/>
            <w:vAlign w:val="center"/>
          </w:tcPr>
          <w:p w:rsidR="00A65D54" w:rsidRDefault="00484537">
            <w:pPr>
              <w:jc w:val="center"/>
            </w:pPr>
            <w:r>
              <w:rPr>
                <w:sz w:val="24"/>
              </w:rPr>
              <w:t>0.0014%</w:t>
            </w:r>
          </w:p>
        </w:tc>
        <w:tc>
          <w:tcPr>
            <w:tcW w:w="1233" w:type="dxa"/>
            <w:vAlign w:val="center"/>
          </w:tcPr>
          <w:p w:rsidR="00A65D54" w:rsidRDefault="00484537">
            <w:pPr>
              <w:jc w:val="center"/>
            </w:pPr>
            <w:r>
              <w:rPr>
                <w:sz w:val="24"/>
              </w:rPr>
              <w:t>0.1736%</w:t>
            </w:r>
          </w:p>
        </w:tc>
        <w:tc>
          <w:tcPr>
            <w:tcW w:w="1233" w:type="dxa"/>
            <w:vAlign w:val="center"/>
          </w:tcPr>
          <w:p w:rsidR="00A65D54" w:rsidRDefault="00484537">
            <w:pPr>
              <w:jc w:val="center"/>
            </w:pPr>
            <w:r>
              <w:rPr>
                <w:sz w:val="24"/>
              </w:rPr>
              <w:t>0.0000%</w:t>
            </w:r>
          </w:p>
        </w:tc>
        <w:tc>
          <w:tcPr>
            <w:tcW w:w="1265" w:type="dxa"/>
            <w:vAlign w:val="center"/>
          </w:tcPr>
          <w:p w:rsidR="00A65D54" w:rsidRDefault="00484537">
            <w:pPr>
              <w:jc w:val="center"/>
            </w:pPr>
            <w:r>
              <w:rPr>
                <w:sz w:val="24"/>
              </w:rPr>
              <w:t>1.1989%</w:t>
            </w:r>
          </w:p>
        </w:tc>
        <w:tc>
          <w:tcPr>
            <w:tcW w:w="1201" w:type="dxa"/>
            <w:vAlign w:val="center"/>
          </w:tcPr>
          <w:p w:rsidR="00A65D54" w:rsidRDefault="00484537">
            <w:pPr>
              <w:jc w:val="center"/>
            </w:pPr>
            <w:r>
              <w:rPr>
                <w:sz w:val="24"/>
              </w:rPr>
              <w:t>0.0014%</w:t>
            </w:r>
          </w:p>
        </w:tc>
      </w:tr>
      <w:tr w:rsidR="00A65D54">
        <w:tc>
          <w:tcPr>
            <w:tcW w:w="1600" w:type="dxa"/>
            <w:vAlign w:val="center"/>
          </w:tcPr>
          <w:p w:rsidR="00A65D54" w:rsidRDefault="00484537">
            <w:pPr>
              <w:jc w:val="left"/>
            </w:pPr>
            <w:r>
              <w:rPr>
                <w:sz w:val="24"/>
              </w:rPr>
              <w:t>过去一年</w:t>
            </w:r>
          </w:p>
        </w:tc>
        <w:tc>
          <w:tcPr>
            <w:tcW w:w="1233" w:type="dxa"/>
            <w:vAlign w:val="center"/>
          </w:tcPr>
          <w:p w:rsidR="00A65D54" w:rsidRDefault="00484537">
            <w:pPr>
              <w:jc w:val="center"/>
            </w:pPr>
            <w:r>
              <w:rPr>
                <w:sz w:val="24"/>
              </w:rPr>
              <w:t>3.0150%</w:t>
            </w:r>
          </w:p>
        </w:tc>
        <w:tc>
          <w:tcPr>
            <w:tcW w:w="1233" w:type="dxa"/>
            <w:vAlign w:val="center"/>
          </w:tcPr>
          <w:p w:rsidR="00A65D54" w:rsidRDefault="00484537">
            <w:pPr>
              <w:jc w:val="center"/>
            </w:pPr>
            <w:r>
              <w:rPr>
                <w:sz w:val="24"/>
              </w:rPr>
              <w:t>0.0020%</w:t>
            </w:r>
          </w:p>
        </w:tc>
        <w:tc>
          <w:tcPr>
            <w:tcW w:w="1233" w:type="dxa"/>
            <w:vAlign w:val="center"/>
          </w:tcPr>
          <w:p w:rsidR="00A65D54" w:rsidRDefault="00484537">
            <w:pPr>
              <w:jc w:val="center"/>
            </w:pPr>
            <w:r>
              <w:rPr>
                <w:sz w:val="24"/>
              </w:rPr>
              <w:t>0.3500%</w:t>
            </w:r>
          </w:p>
        </w:tc>
        <w:tc>
          <w:tcPr>
            <w:tcW w:w="1233" w:type="dxa"/>
            <w:vAlign w:val="center"/>
          </w:tcPr>
          <w:p w:rsidR="00A65D54" w:rsidRDefault="00484537">
            <w:pPr>
              <w:jc w:val="center"/>
            </w:pPr>
            <w:r>
              <w:rPr>
                <w:sz w:val="24"/>
              </w:rPr>
              <w:t>0.0000%</w:t>
            </w:r>
          </w:p>
        </w:tc>
        <w:tc>
          <w:tcPr>
            <w:tcW w:w="1265" w:type="dxa"/>
            <w:vAlign w:val="center"/>
          </w:tcPr>
          <w:p w:rsidR="00A65D54" w:rsidRDefault="00484537">
            <w:pPr>
              <w:jc w:val="center"/>
            </w:pPr>
            <w:r>
              <w:rPr>
                <w:sz w:val="24"/>
              </w:rPr>
              <w:t>2.6650%</w:t>
            </w:r>
          </w:p>
        </w:tc>
        <w:tc>
          <w:tcPr>
            <w:tcW w:w="1201" w:type="dxa"/>
            <w:vAlign w:val="center"/>
          </w:tcPr>
          <w:p w:rsidR="00A65D54" w:rsidRDefault="00484537">
            <w:pPr>
              <w:jc w:val="center"/>
            </w:pPr>
            <w:r>
              <w:rPr>
                <w:sz w:val="24"/>
              </w:rPr>
              <w:t>0.0020%</w:t>
            </w:r>
          </w:p>
        </w:tc>
      </w:tr>
      <w:tr w:rsidR="00A65D54">
        <w:tc>
          <w:tcPr>
            <w:tcW w:w="1600" w:type="dxa"/>
            <w:vAlign w:val="center"/>
          </w:tcPr>
          <w:p w:rsidR="00A65D54" w:rsidRDefault="00484537">
            <w:pPr>
              <w:jc w:val="left"/>
            </w:pPr>
            <w:r>
              <w:rPr>
                <w:sz w:val="24"/>
              </w:rPr>
              <w:t>自基金合同生效起至今</w:t>
            </w:r>
          </w:p>
        </w:tc>
        <w:tc>
          <w:tcPr>
            <w:tcW w:w="1233" w:type="dxa"/>
            <w:vAlign w:val="center"/>
          </w:tcPr>
          <w:p w:rsidR="00A65D54" w:rsidRDefault="00484537">
            <w:pPr>
              <w:jc w:val="center"/>
            </w:pPr>
            <w:r>
              <w:rPr>
                <w:sz w:val="24"/>
              </w:rPr>
              <w:t>9.6739%</w:t>
            </w:r>
          </w:p>
        </w:tc>
        <w:tc>
          <w:tcPr>
            <w:tcW w:w="1233" w:type="dxa"/>
            <w:vAlign w:val="center"/>
          </w:tcPr>
          <w:p w:rsidR="00A65D54" w:rsidRDefault="00484537">
            <w:pPr>
              <w:jc w:val="center"/>
            </w:pPr>
            <w:r>
              <w:rPr>
                <w:sz w:val="24"/>
              </w:rPr>
              <w:t>0.0024%</w:t>
            </w:r>
          </w:p>
        </w:tc>
        <w:tc>
          <w:tcPr>
            <w:tcW w:w="1233" w:type="dxa"/>
            <w:vAlign w:val="center"/>
          </w:tcPr>
          <w:p w:rsidR="00A65D54" w:rsidRDefault="00484537">
            <w:pPr>
              <w:jc w:val="center"/>
            </w:pPr>
            <w:r>
              <w:rPr>
                <w:sz w:val="24"/>
              </w:rPr>
              <w:t>0.8851%</w:t>
            </w:r>
          </w:p>
        </w:tc>
        <w:tc>
          <w:tcPr>
            <w:tcW w:w="1233" w:type="dxa"/>
            <w:vAlign w:val="center"/>
          </w:tcPr>
          <w:p w:rsidR="00A65D54" w:rsidRDefault="00484537">
            <w:pPr>
              <w:jc w:val="center"/>
            </w:pPr>
            <w:r>
              <w:rPr>
                <w:sz w:val="24"/>
              </w:rPr>
              <w:t>0.0000%</w:t>
            </w:r>
          </w:p>
        </w:tc>
        <w:tc>
          <w:tcPr>
            <w:tcW w:w="1265" w:type="dxa"/>
            <w:vAlign w:val="center"/>
          </w:tcPr>
          <w:p w:rsidR="00A65D54" w:rsidRDefault="00484537">
            <w:pPr>
              <w:jc w:val="center"/>
            </w:pPr>
            <w:r>
              <w:rPr>
                <w:sz w:val="24"/>
              </w:rPr>
              <w:t>8.7888%</w:t>
            </w:r>
          </w:p>
        </w:tc>
        <w:tc>
          <w:tcPr>
            <w:tcW w:w="1201" w:type="dxa"/>
            <w:vAlign w:val="center"/>
          </w:tcPr>
          <w:p w:rsidR="00A65D54" w:rsidRDefault="00484537">
            <w:pPr>
              <w:jc w:val="center"/>
            </w:pPr>
            <w:r>
              <w:rPr>
                <w:sz w:val="24"/>
              </w:rPr>
              <w:t>0.0024%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交银施罗德天益宝货币市场基金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12</w:t>
      </w:r>
      <w:r w:rsidR="00223DFB" w:rsidRPr="00356FA6">
        <w:rPr>
          <w:sz w:val="24"/>
        </w:rPr>
        <w:t>月</w:t>
      </w:r>
      <w:r w:rsidR="00223DFB" w:rsidRPr="00356FA6">
        <w:rPr>
          <w:sz w:val="24"/>
        </w:rPr>
        <w:t>20</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交银天益宝货币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交银天益宝货币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374607333"/>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374607334"/>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A65D54" w:rsidRDefault="00484537">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80</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A65D54">
        <w:tc>
          <w:tcPr>
            <w:tcW w:w="993" w:type="dxa"/>
            <w:vAlign w:val="center"/>
          </w:tcPr>
          <w:p w:rsidR="00A65D54" w:rsidRDefault="00484537">
            <w:pPr>
              <w:jc w:val="center"/>
            </w:pPr>
            <w:r>
              <w:rPr>
                <w:sz w:val="24"/>
              </w:rPr>
              <w:t>黄莹洁</w:t>
            </w:r>
          </w:p>
        </w:tc>
        <w:tc>
          <w:tcPr>
            <w:tcW w:w="1134" w:type="dxa"/>
            <w:vAlign w:val="center"/>
          </w:tcPr>
          <w:p w:rsidR="00A65D54" w:rsidRDefault="00484537">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59" w:type="dxa"/>
            <w:vAlign w:val="center"/>
          </w:tcPr>
          <w:p w:rsidR="00A65D54" w:rsidRDefault="00484537">
            <w:pPr>
              <w:jc w:val="center"/>
            </w:pPr>
            <w:r>
              <w:rPr>
                <w:sz w:val="24"/>
              </w:rPr>
              <w:t>2016-12-20</w:t>
            </w:r>
          </w:p>
        </w:tc>
        <w:tc>
          <w:tcPr>
            <w:tcW w:w="1276" w:type="dxa"/>
            <w:vAlign w:val="center"/>
          </w:tcPr>
          <w:p w:rsidR="00A65D54" w:rsidRDefault="00484537">
            <w:pPr>
              <w:jc w:val="center"/>
            </w:pPr>
            <w:r>
              <w:rPr>
                <w:sz w:val="24"/>
              </w:rPr>
              <w:t>-</w:t>
            </w:r>
          </w:p>
        </w:tc>
        <w:tc>
          <w:tcPr>
            <w:tcW w:w="1275" w:type="dxa"/>
            <w:vAlign w:val="center"/>
          </w:tcPr>
          <w:p w:rsidR="00A65D54" w:rsidRDefault="00484537">
            <w:pPr>
              <w:jc w:val="center"/>
            </w:pPr>
            <w:r>
              <w:rPr>
                <w:sz w:val="24"/>
              </w:rPr>
              <w:t>11</w:t>
            </w:r>
            <w:r>
              <w:rPr>
                <w:sz w:val="24"/>
              </w:rPr>
              <w:t>年</w:t>
            </w:r>
          </w:p>
        </w:tc>
        <w:tc>
          <w:tcPr>
            <w:tcW w:w="2761" w:type="dxa"/>
            <w:vAlign w:val="center"/>
          </w:tcPr>
          <w:p w:rsidR="00A65D54" w:rsidRDefault="00484537">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A65D54">
        <w:tc>
          <w:tcPr>
            <w:tcW w:w="993" w:type="dxa"/>
            <w:vAlign w:val="center"/>
          </w:tcPr>
          <w:p w:rsidR="00A65D54" w:rsidRDefault="00484537">
            <w:pPr>
              <w:jc w:val="center"/>
            </w:pPr>
            <w:r>
              <w:rPr>
                <w:sz w:val="24"/>
              </w:rPr>
              <w:t>连端清</w:t>
            </w:r>
          </w:p>
        </w:tc>
        <w:tc>
          <w:tcPr>
            <w:tcW w:w="1134" w:type="dxa"/>
            <w:vAlign w:val="center"/>
          </w:tcPr>
          <w:p w:rsidR="00A65D54" w:rsidRDefault="00484537">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59" w:type="dxa"/>
            <w:vAlign w:val="center"/>
          </w:tcPr>
          <w:p w:rsidR="00A65D54" w:rsidRDefault="00484537">
            <w:pPr>
              <w:jc w:val="center"/>
            </w:pPr>
            <w:r>
              <w:rPr>
                <w:sz w:val="24"/>
              </w:rPr>
              <w:t>2016-12-20</w:t>
            </w:r>
          </w:p>
        </w:tc>
        <w:tc>
          <w:tcPr>
            <w:tcW w:w="1276" w:type="dxa"/>
            <w:vAlign w:val="center"/>
          </w:tcPr>
          <w:p w:rsidR="00A65D54" w:rsidRDefault="00484537">
            <w:pPr>
              <w:jc w:val="center"/>
            </w:pPr>
            <w:r>
              <w:rPr>
                <w:sz w:val="24"/>
              </w:rPr>
              <w:t>-</w:t>
            </w:r>
          </w:p>
        </w:tc>
        <w:tc>
          <w:tcPr>
            <w:tcW w:w="1275" w:type="dxa"/>
            <w:vAlign w:val="center"/>
          </w:tcPr>
          <w:p w:rsidR="00A65D54" w:rsidRDefault="00484537">
            <w:pPr>
              <w:jc w:val="center"/>
            </w:pPr>
            <w:r>
              <w:rPr>
                <w:sz w:val="24"/>
              </w:rPr>
              <w:t>6</w:t>
            </w:r>
            <w:r>
              <w:rPr>
                <w:sz w:val="24"/>
              </w:rPr>
              <w:t>年</w:t>
            </w:r>
          </w:p>
        </w:tc>
        <w:tc>
          <w:tcPr>
            <w:tcW w:w="2761" w:type="dxa"/>
            <w:vAlign w:val="center"/>
          </w:tcPr>
          <w:p w:rsidR="00A65D54" w:rsidRDefault="00484537">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A65D54">
        <w:tc>
          <w:tcPr>
            <w:tcW w:w="993" w:type="dxa"/>
            <w:vAlign w:val="center"/>
          </w:tcPr>
          <w:p w:rsidR="00A65D54" w:rsidRDefault="00484537">
            <w:pPr>
              <w:jc w:val="center"/>
            </w:pPr>
            <w:r>
              <w:rPr>
                <w:sz w:val="24"/>
              </w:rPr>
              <w:t>季参平</w:t>
            </w:r>
          </w:p>
        </w:tc>
        <w:tc>
          <w:tcPr>
            <w:tcW w:w="1134" w:type="dxa"/>
            <w:vAlign w:val="center"/>
          </w:tcPr>
          <w:p w:rsidR="00A65D54" w:rsidRDefault="00484537">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59" w:type="dxa"/>
            <w:vAlign w:val="center"/>
          </w:tcPr>
          <w:p w:rsidR="00A65D54" w:rsidRDefault="00484537">
            <w:pPr>
              <w:jc w:val="center"/>
            </w:pPr>
            <w:r>
              <w:rPr>
                <w:sz w:val="24"/>
              </w:rPr>
              <w:t>2018-01-10</w:t>
            </w:r>
          </w:p>
        </w:tc>
        <w:tc>
          <w:tcPr>
            <w:tcW w:w="1276" w:type="dxa"/>
            <w:vAlign w:val="center"/>
          </w:tcPr>
          <w:p w:rsidR="00A65D54" w:rsidRDefault="00484537">
            <w:pPr>
              <w:jc w:val="center"/>
            </w:pPr>
            <w:r>
              <w:rPr>
                <w:sz w:val="24"/>
              </w:rPr>
              <w:t>-</w:t>
            </w:r>
          </w:p>
        </w:tc>
        <w:tc>
          <w:tcPr>
            <w:tcW w:w="1275" w:type="dxa"/>
            <w:vAlign w:val="center"/>
          </w:tcPr>
          <w:p w:rsidR="00A65D54" w:rsidRDefault="00F20FD2">
            <w:pPr>
              <w:jc w:val="center"/>
            </w:pPr>
            <w:r>
              <w:rPr>
                <w:sz w:val="24"/>
              </w:rPr>
              <w:t>7</w:t>
            </w:r>
            <w:r w:rsidR="00484537">
              <w:rPr>
                <w:sz w:val="24"/>
              </w:rPr>
              <w:t>年</w:t>
            </w:r>
          </w:p>
        </w:tc>
        <w:tc>
          <w:tcPr>
            <w:tcW w:w="2761" w:type="dxa"/>
            <w:vAlign w:val="center"/>
          </w:tcPr>
          <w:p w:rsidR="00A65D54" w:rsidRDefault="00484537">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A65D54" w:rsidRDefault="0048453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65D54" w:rsidRDefault="0048453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A65D54" w:rsidRDefault="00484537">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374607335"/>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374607336"/>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A65D54" w:rsidRDefault="00484537">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5D54" w:rsidRDefault="00484537">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65D54" w:rsidRDefault="00484537">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次，是投资组合因投资策略需要而发生同日反向交易，未发现不公平交易和利益输送的情况。本基金与本公司管理的其他投资组合在不同时间窗下（如日内、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374607337"/>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A65D54" w:rsidRDefault="00484537">
      <w:pPr>
        <w:tabs>
          <w:tab w:val="left" w:pos="426"/>
        </w:tabs>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年上半年，三个月上海银行间拆借利率下行</w:t>
      </w:r>
      <w:r>
        <w:rPr>
          <w:kern w:val="0"/>
          <w:sz w:val="24"/>
        </w:rPr>
        <w:t>64bps</w:t>
      </w:r>
      <w:r>
        <w:rPr>
          <w:kern w:val="0"/>
          <w:sz w:val="24"/>
        </w:rPr>
        <w:t>到</w:t>
      </w:r>
      <w:r>
        <w:rPr>
          <w:kern w:val="0"/>
          <w:sz w:val="24"/>
        </w:rPr>
        <w:t>2.71%</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374607338"/>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A65D54" w:rsidRDefault="00484537">
      <w:pPr>
        <w:tabs>
          <w:tab w:val="left" w:pos="426"/>
        </w:tabs>
        <w:spacing w:before="29" w:line="288" w:lineRule="auto"/>
        <w:ind w:firstLineChars="200" w:firstLine="480"/>
        <w:rPr>
          <w:kern w:val="0"/>
          <w:sz w:val="24"/>
        </w:rPr>
      </w:pPr>
      <w:r>
        <w:rPr>
          <w:kern w:val="0"/>
          <w:sz w:val="24"/>
        </w:rPr>
        <w:t>展望</w:t>
      </w:r>
      <w:r>
        <w:rPr>
          <w:kern w:val="0"/>
          <w:sz w:val="24"/>
        </w:rPr>
        <w:t>2019</w:t>
      </w:r>
      <w:r>
        <w:rPr>
          <w:kern w:val="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更加积极。</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374607339"/>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A65D54" w:rsidRDefault="00484537">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65D54" w:rsidRDefault="00484537">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374607340"/>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8" w:name="_Toc374607341"/>
      <w:r w:rsidRPr="00356FA6">
        <w:rPr>
          <w:b/>
          <w:bCs/>
          <w:szCs w:val="24"/>
          <w:lang w:val="en-US"/>
        </w:rPr>
        <w:t xml:space="preserve">§5   </w:t>
      </w:r>
      <w:r w:rsidR="00223DFB" w:rsidRPr="00356FA6">
        <w:rPr>
          <w:b/>
          <w:bCs/>
          <w:szCs w:val="24"/>
          <w:lang w:val="en-US"/>
        </w:rPr>
        <w:t>托管人报告</w:t>
      </w:r>
      <w:bookmarkEnd w:id="28"/>
    </w:p>
    <w:p w:rsidR="00223DFB" w:rsidRPr="00356FA6" w:rsidRDefault="00223DFB" w:rsidP="006C67B5">
      <w:pPr>
        <w:pStyle w:val="20"/>
        <w:spacing w:before="29" w:after="0" w:line="288" w:lineRule="auto"/>
        <w:rPr>
          <w:rFonts w:ascii="Times New Roman" w:hAnsi="Times New Roman" w:cs="Times New Roman"/>
          <w:kern w:val="0"/>
          <w:szCs w:val="24"/>
        </w:rPr>
      </w:pPr>
      <w:bookmarkStart w:id="29" w:name="_Toc374607342"/>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2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374607343"/>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本报告期内，交银施罗德天益宝货币市场基金的管理人</w:t>
      </w:r>
      <w:r w:rsidRPr="00356FA6">
        <w:rPr>
          <w:kern w:val="0"/>
          <w:sz w:val="24"/>
        </w:rPr>
        <w:t>——</w:t>
      </w:r>
      <w:r w:rsidRPr="00356FA6">
        <w:rPr>
          <w:kern w:val="0"/>
          <w:sz w:val="24"/>
        </w:rPr>
        <w:t>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374607344"/>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1"/>
    </w:p>
    <w:p w:rsidR="00A65D54" w:rsidRDefault="00484537">
      <w:pPr>
        <w:tabs>
          <w:tab w:val="left" w:pos="426"/>
        </w:tabs>
        <w:spacing w:before="29" w:line="288" w:lineRule="auto"/>
        <w:ind w:firstLineChars="200" w:firstLine="480"/>
        <w:rPr>
          <w:kern w:val="0"/>
          <w:sz w:val="24"/>
        </w:rPr>
      </w:pPr>
      <w:r>
        <w:rPr>
          <w:kern w:val="0"/>
          <w:sz w:val="24"/>
        </w:rPr>
        <w:t>本托管人依法对交银施罗德基金管理有限公司编制和披露的交银施罗德天益宝货币市场基金</w:t>
      </w:r>
      <w:r w:rsidR="00E1522D">
        <w:rPr>
          <w:kern w:val="0"/>
          <w:sz w:val="24"/>
        </w:rPr>
        <w:t>2019</w:t>
      </w:r>
      <w:r>
        <w:rPr>
          <w:kern w:val="0"/>
          <w:sz w:val="24"/>
        </w:rPr>
        <w:t>年半年度报告中财务指标、净值表现、利润分配情况、财务会计报告、投资组合报告等内容进行了核查，以上内容真实、准确和完整。</w:t>
      </w:r>
    </w:p>
    <w:p w:rsidR="00223DFB" w:rsidRPr="00356FA6" w:rsidRDefault="00223DFB" w:rsidP="008373A8">
      <w:pPr>
        <w:tabs>
          <w:tab w:val="left" w:pos="426"/>
        </w:tabs>
        <w:spacing w:before="29" w:line="288" w:lineRule="auto"/>
        <w:ind w:firstLineChars="200" w:firstLine="480"/>
        <w:rPr>
          <w:kern w:val="0"/>
          <w:sz w:val="24"/>
        </w:rPr>
      </w:pP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2" w:name="_Toc374607345"/>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2"/>
    </w:p>
    <w:p w:rsidR="00223DFB" w:rsidRPr="00356FA6" w:rsidRDefault="005A5417" w:rsidP="006C67B5">
      <w:pPr>
        <w:pStyle w:val="20"/>
        <w:spacing w:before="29" w:after="0" w:line="288" w:lineRule="auto"/>
        <w:rPr>
          <w:rFonts w:ascii="Times New Roman" w:hAnsi="Times New Roman" w:cs="Times New Roman"/>
          <w:kern w:val="0"/>
          <w:szCs w:val="24"/>
        </w:rPr>
      </w:pPr>
      <w:bookmarkStart w:id="33" w:name="_Toc37460734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3"/>
    </w:p>
    <w:p w:rsidR="00223DFB" w:rsidRPr="00356FA6" w:rsidRDefault="00223DFB" w:rsidP="006C67B5">
      <w:pPr>
        <w:spacing w:before="29" w:line="288" w:lineRule="auto"/>
        <w:rPr>
          <w:sz w:val="24"/>
        </w:rPr>
      </w:pPr>
      <w:r w:rsidRPr="00356FA6">
        <w:rPr>
          <w:sz w:val="24"/>
        </w:rPr>
        <w:t>会计主体：交银施罗德天益宝货币市场基金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560,233,104.61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1,610,594,845.83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90,909.09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2,516,448,515.56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2,727,095,272.25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2,486,448,515.56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2,677,095,272.25</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1,812,835,119.24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1,098,532,647.80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10,181,196.78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12,086,965.74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125.00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4,899,698,061.19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5,448,400,640.71</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299,069,650.46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611,135,323.30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573,493.64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828,657.58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191,164.55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276,219.19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42,895.89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65,206.23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96,302.08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89,520.43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123,316.10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267,032.35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35,992.13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393,996.99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337,458.59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505,853.11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130,442.52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300,600,715.96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613,791,109.18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4,599,097,345.23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4,834,609,531.53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4,599,097,345.23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4,834,609,531.53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4,899,698,061.19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5,448,400,640.71</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w:t>
      </w:r>
      <w:r w:rsidRPr="00356FA6">
        <w:rPr>
          <w:kern w:val="0"/>
          <w:sz w:val="24"/>
        </w:rPr>
        <w:t>元，基金份额总额</w:t>
      </w:r>
      <w:r w:rsidRPr="00356FA6">
        <w:rPr>
          <w:kern w:val="0"/>
          <w:sz w:val="24"/>
        </w:rPr>
        <w:t>4,599,097,345.23</w:t>
      </w:r>
      <w:r w:rsidRPr="00356FA6">
        <w:rPr>
          <w:kern w:val="0"/>
          <w:sz w:val="24"/>
        </w:rPr>
        <w:t>份。其中</w:t>
      </w:r>
      <w:r w:rsidRPr="00356FA6">
        <w:rPr>
          <w:kern w:val="0"/>
          <w:sz w:val="24"/>
        </w:rPr>
        <w:t>A</w:t>
      </w:r>
      <w:r w:rsidRPr="00356FA6">
        <w:rPr>
          <w:kern w:val="0"/>
          <w:sz w:val="24"/>
        </w:rPr>
        <w:t>类基金份额总额</w:t>
      </w:r>
      <w:r w:rsidRPr="00356FA6">
        <w:rPr>
          <w:kern w:val="0"/>
          <w:sz w:val="24"/>
        </w:rPr>
        <w:t>23,625,460.67</w:t>
      </w:r>
      <w:r w:rsidRPr="00356FA6">
        <w:rPr>
          <w:kern w:val="0"/>
          <w:sz w:val="24"/>
        </w:rPr>
        <w:t>份，</w:t>
      </w:r>
      <w:r w:rsidRPr="00356FA6">
        <w:rPr>
          <w:kern w:val="0"/>
          <w:sz w:val="24"/>
        </w:rPr>
        <w:t>E</w:t>
      </w:r>
      <w:r w:rsidRPr="00356FA6">
        <w:rPr>
          <w:kern w:val="0"/>
          <w:sz w:val="24"/>
        </w:rPr>
        <w:t>类基金份额总额</w:t>
      </w:r>
      <w:r w:rsidRPr="00356FA6">
        <w:rPr>
          <w:kern w:val="0"/>
          <w:sz w:val="24"/>
        </w:rPr>
        <w:t>4,575,471,884.56</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374607347"/>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4"/>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交银施罗德天益宝货币市场基金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88,437,296.80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121,061,337.97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87,807,703.99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121,118,275.22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33,325,727.36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29,732,667.86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34,340,807.49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63,217,763.28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470,401.94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19,670,767.20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28,167,844.08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629,592.81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-56,937.25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629,592.81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-56,937.25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11,986,985.74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8,858,083.60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4,181,697.31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4,177,164.18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1,393,899.09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1,392,388.06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322,659.29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281,995.62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5,815,553.70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2,673,132.65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5,815,553.70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2,673,132.65</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88,798.28</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106,090.26</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184,378.07</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227,312.83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76,450,311.06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112,203,254.37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76,450,311.06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112,203,254.37</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5" w:name="_Toc37460734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交银施罗德天益宝货币市场基金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4,834,609,531.53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4,834,609,531.53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76,450,311.06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76,450,311.06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-235,512,186.30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-235,512,186.30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7,650,942,969.81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7,650,942,969.81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-7,886,455,156.11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-7,886,455,156.11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-76,450,311.06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-76,450,311.06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4,599,097,345.23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4,599,097,345.23</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4,853,251,507.92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4,853,251,507.92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112,203,254.37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112,203,254.37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1,967,151,349.88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1,967,151,349.88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18,233,873,001.33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18,233,873,001.33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-16,266,721,651.45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-16,266,721,651.45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-112,203,254.37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-112,203,254.37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6,820,402,857.80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6,820,402,857.80</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6" w:name="_Toc331410100"/>
      <w:bookmarkStart w:id="37" w:name="_Toc225498271"/>
      <w:bookmarkStart w:id="38" w:name="_Toc374607349"/>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6"/>
      <w:bookmarkEnd w:id="37"/>
      <w:bookmarkEnd w:id="38"/>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A65D54" w:rsidRDefault="00484537">
      <w:pPr>
        <w:spacing w:before="29" w:line="288" w:lineRule="auto"/>
        <w:ind w:firstLineChars="200" w:firstLine="480"/>
        <w:rPr>
          <w:kern w:val="0"/>
          <w:sz w:val="24"/>
        </w:rPr>
      </w:pPr>
      <w:r>
        <w:rPr>
          <w:kern w:val="0"/>
          <w:sz w:val="24"/>
        </w:rPr>
        <w:t>交银施罗德天益宝货币市场基金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[2016]2776</w:t>
      </w:r>
      <w:r>
        <w:rPr>
          <w:kern w:val="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kern w:val="0"/>
          <w:sz w:val="24"/>
        </w:rPr>
        <w:t>200,005,301.35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1648</w:t>
      </w:r>
      <w:r>
        <w:rPr>
          <w:kern w:val="0"/>
          <w:sz w:val="24"/>
        </w:rPr>
        <w:t>号验资报告予以验证。经向中国证监会备案，《交银施罗德天益宝货币市场基金基金合同》于</w:t>
      </w:r>
      <w:r>
        <w:rPr>
          <w:kern w:val="0"/>
          <w:sz w:val="24"/>
        </w:rPr>
        <w:t>2016</w:t>
      </w:r>
      <w:r>
        <w:rPr>
          <w:kern w:val="0"/>
          <w:sz w:val="24"/>
        </w:rPr>
        <w:t>年</w:t>
      </w:r>
      <w:r>
        <w:rPr>
          <w:kern w:val="0"/>
          <w:sz w:val="24"/>
        </w:rPr>
        <w:t>12</w:t>
      </w:r>
      <w:r>
        <w:rPr>
          <w:kern w:val="0"/>
          <w:sz w:val="24"/>
        </w:rPr>
        <w:t>月</w:t>
      </w:r>
      <w:r>
        <w:rPr>
          <w:kern w:val="0"/>
          <w:sz w:val="24"/>
        </w:rPr>
        <w:t>20</w:t>
      </w:r>
      <w:r>
        <w:rPr>
          <w:kern w:val="0"/>
          <w:sz w:val="24"/>
        </w:rPr>
        <w:t>日正式生效，基金合同生效日的基金份额总额为</w:t>
      </w:r>
      <w:r>
        <w:rPr>
          <w:kern w:val="0"/>
          <w:sz w:val="24"/>
        </w:rPr>
        <w:t>200,005,301.35</w:t>
      </w:r>
      <w:r>
        <w:rPr>
          <w:kern w:val="0"/>
          <w:sz w:val="24"/>
        </w:rPr>
        <w:t>份基金份额。本基金的基金管理人为交银施罗德基金管理有限公司，基金托管人为中国工商银行股份有限公司。</w:t>
      </w:r>
    </w:p>
    <w:p w:rsidR="00A65D54" w:rsidRDefault="00484537">
      <w:pPr>
        <w:spacing w:before="29" w:line="288" w:lineRule="auto"/>
        <w:ind w:firstLineChars="200" w:firstLine="480"/>
        <w:rPr>
          <w:kern w:val="0"/>
          <w:sz w:val="24"/>
        </w:rPr>
      </w:pPr>
      <w:r>
        <w:rPr>
          <w:kern w:val="0"/>
          <w:sz w:val="24"/>
        </w:rPr>
        <w:t>根据《交银施罗德天益宝货币市场基金基金合同》和《交银施罗德天益宝货币市场基金招募说明书》的相关规定，本基金根据销售服务费收取方式的不同，将基金份额分为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七日年化收益率。投资者可自行选择申购的基金份额类别，除非基金管理人在未来另行公告开通相关业务，本基金不同基金份额类别之间不得互相转换。</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根据《中华人民共和国证券投资基金法》和《交银施罗德天益宝货币市场基金基金合同》的有关规定，本基金的投资范围为具有良好流动性的金融工具，包括现金，期限在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的银行存款、债券回购、中央银行票据、同业存单，剩余期限在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A65D54" w:rsidRDefault="00484537">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颁布的《证券投资基金会计核算业务指引》、《交银施罗德天益宝货币市场基金基金合同》和在财务报表附注</w:t>
      </w:r>
      <w:r>
        <w:rPr>
          <w:kern w:val="0"/>
          <w:sz w:val="24"/>
        </w:rPr>
        <w:t>6.4.4</w:t>
      </w:r>
      <w:r>
        <w:rPr>
          <w:kern w:val="0"/>
          <w:sz w:val="24"/>
        </w:rPr>
        <w:t>所列示的中国证监会、中国基金业协会发布的有关规定及允许的基金行业实务操作编制。</w:t>
      </w:r>
    </w:p>
    <w:p w:rsidR="00A65D54" w:rsidRDefault="00A65D54">
      <w:pPr>
        <w:tabs>
          <w:tab w:val="left" w:pos="426"/>
        </w:tabs>
        <w:spacing w:before="29" w:line="288" w:lineRule="auto"/>
        <w:ind w:firstLineChars="200" w:firstLine="480"/>
        <w:rPr>
          <w:kern w:val="0"/>
          <w:sz w:val="24"/>
        </w:rPr>
      </w:pP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本财务报表以持续经营为基础编制。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A65D54" w:rsidRDefault="00484537">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65D54" w:rsidRDefault="00484537">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A65D54" w:rsidRDefault="00484537">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A65D54" w:rsidRDefault="00484537">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A65D54" w:rsidRDefault="00484537">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233,104.61</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A65D54">
        <w:trPr>
          <w:jc w:val="center"/>
        </w:trPr>
        <w:tc>
          <w:tcPr>
            <w:tcW w:w="3876" w:type="dxa"/>
            <w:vAlign w:val="center"/>
          </w:tcPr>
          <w:p w:rsidR="00A65D54" w:rsidRDefault="00484537">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A65D54" w:rsidRDefault="00484537">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560,000,000.00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560,233,104.61</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2,486,448,515.56</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2,488,358,000.00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1,909,484.44</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0.0415</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2,486,448,515.56</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2,488,358,000.00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1,909,484.44</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0.0415</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30,000,000.00</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30,000,000.00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2,516,448,515.56</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2,518,358,000.00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1,909,484.44</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0.0415</w:t>
            </w:r>
          </w:p>
        </w:tc>
      </w:tr>
    </w:tbl>
    <w:p w:rsidR="00A65D54" w:rsidRDefault="00484537">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A65D54" w:rsidRDefault="00484537">
      <w:pPr>
        <w:tabs>
          <w:tab w:val="left" w:pos="426"/>
        </w:tabs>
        <w:spacing w:before="29" w:line="288" w:lineRule="auto"/>
        <w:jc w:val="left"/>
        <w:rPr>
          <w:kern w:val="0"/>
          <w:sz w:val="24"/>
        </w:rPr>
      </w:pPr>
      <w:r>
        <w:rPr>
          <w:kern w:val="0"/>
          <w:sz w:val="24"/>
        </w:rPr>
        <w:t>2</w:t>
      </w:r>
      <w:r>
        <w:rPr>
          <w:kern w:val="0"/>
          <w:sz w:val="24"/>
        </w:rPr>
        <w:t>、偏离度＝偏离金额</w:t>
      </w:r>
      <w:r>
        <w:rPr>
          <w:kern w:val="0"/>
          <w:sz w:val="24"/>
        </w:rPr>
        <w:t>/</w:t>
      </w:r>
      <w:r>
        <w:rPr>
          <w:kern w:val="0"/>
          <w:sz w:val="24"/>
        </w:rPr>
        <w:t>摊余成本法确定的基金资产净值。</w:t>
      </w:r>
    </w:p>
    <w:p w:rsidR="00223DFB"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1,812,835,119.24</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1,812,835,119.24</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826.03</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1,107,722.23</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8,173,936.99</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42,739.73</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855,971.80</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10,181,196.78</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125.00</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125.00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96,302.08</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96,302.08</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A65D54">
        <w:tc>
          <w:tcPr>
            <w:tcW w:w="3610" w:type="dxa"/>
            <w:vAlign w:val="center"/>
          </w:tcPr>
          <w:p w:rsidR="00A65D54" w:rsidRDefault="00484537">
            <w:pPr>
              <w:jc w:val="left"/>
            </w:pPr>
            <w:r>
              <w:rPr>
                <w:sz w:val="24"/>
              </w:rPr>
              <w:t>预提审计费</w:t>
            </w:r>
          </w:p>
        </w:tc>
        <w:tc>
          <w:tcPr>
            <w:tcW w:w="5388" w:type="dxa"/>
            <w:vAlign w:val="center"/>
          </w:tcPr>
          <w:p w:rsidR="00A65D54" w:rsidRDefault="00484537">
            <w:pPr>
              <w:jc w:val="right"/>
            </w:pPr>
            <w:r>
              <w:rPr>
                <w:sz w:val="24"/>
              </w:rPr>
              <w:t>63,375.34</w:t>
            </w:r>
          </w:p>
        </w:tc>
      </w:tr>
      <w:tr w:rsidR="00A65D54">
        <w:tc>
          <w:tcPr>
            <w:tcW w:w="3610" w:type="dxa"/>
            <w:vAlign w:val="center"/>
          </w:tcPr>
          <w:p w:rsidR="00A65D54" w:rsidRDefault="00484537">
            <w:pPr>
              <w:jc w:val="left"/>
            </w:pPr>
            <w:r>
              <w:rPr>
                <w:sz w:val="24"/>
              </w:rPr>
              <w:t>预提信息披露费</w:t>
            </w:r>
          </w:p>
        </w:tc>
        <w:tc>
          <w:tcPr>
            <w:tcW w:w="5388" w:type="dxa"/>
            <w:vAlign w:val="center"/>
          </w:tcPr>
          <w:p w:rsidR="00A65D54" w:rsidRDefault="00484537">
            <w:pPr>
              <w:jc w:val="right"/>
            </w:pPr>
            <w:r>
              <w:rPr>
                <w:sz w:val="24"/>
              </w:rPr>
              <w:t>57,767.18</w:t>
            </w:r>
          </w:p>
        </w:tc>
      </w:tr>
      <w:tr w:rsidR="00A65D54">
        <w:tc>
          <w:tcPr>
            <w:tcW w:w="3610" w:type="dxa"/>
            <w:vAlign w:val="center"/>
          </w:tcPr>
          <w:p w:rsidR="00A65D54" w:rsidRDefault="00484537">
            <w:pPr>
              <w:jc w:val="left"/>
            </w:pPr>
            <w:r>
              <w:rPr>
                <w:sz w:val="24"/>
              </w:rPr>
              <w:t>预提账户维护费</w:t>
            </w:r>
          </w:p>
        </w:tc>
        <w:tc>
          <w:tcPr>
            <w:tcW w:w="5388" w:type="dxa"/>
            <w:vAlign w:val="center"/>
          </w:tcPr>
          <w:p w:rsidR="00A65D54" w:rsidRDefault="00484537">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130,442.52</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交银天益宝货币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54,341,188.25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54,341,188.25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4,013,793.78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4,013,793.78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-34,729,521.36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-34,729,521.36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23,625,460.67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23,625,460.67</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交银天益宝货币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4,780,268,343.28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4,780,268,343.28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7,646,929,176.03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7,646,929,176.03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-7,851,725,634.75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-7,851,725,634.75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4,575,471,884.56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4,575,471,884.56</w:t>
            </w:r>
          </w:p>
        </w:tc>
      </w:tr>
    </w:tbl>
    <w:p w:rsidR="009C053F" w:rsidRPr="009C053F" w:rsidRDefault="009C053F" w:rsidP="009C053F">
      <w:pPr>
        <w:spacing w:before="29" w:line="288" w:lineRule="auto"/>
        <w:jc w:val="left"/>
        <w:rPr>
          <w:kern w:val="0"/>
          <w:sz w:val="24"/>
        </w:rPr>
      </w:pPr>
      <w:r w:rsidRPr="009C053F">
        <w:rPr>
          <w:rFonts w:hint="eastAsia"/>
          <w:kern w:val="0"/>
          <w:sz w:val="24"/>
        </w:rPr>
        <w:t>注：</w:t>
      </w:r>
      <w:r w:rsidRPr="009C053F">
        <w:rPr>
          <w:rFonts w:hint="eastAsia"/>
          <w:kern w:val="0"/>
          <w:sz w:val="24"/>
        </w:rPr>
        <w:t>1</w:t>
      </w:r>
      <w:r w:rsidRPr="009C053F">
        <w:rPr>
          <w:rFonts w:hint="eastAsia"/>
          <w:kern w:val="0"/>
          <w:sz w:val="24"/>
        </w:rPr>
        <w:t>、如果本报告期间发生红利再投，则总申购份额中包含该业务。</w:t>
      </w:r>
    </w:p>
    <w:p w:rsidR="006D141C" w:rsidRPr="00356FA6" w:rsidRDefault="009C053F" w:rsidP="009C053F">
      <w:pPr>
        <w:spacing w:before="29" w:line="288" w:lineRule="auto"/>
        <w:jc w:val="left"/>
        <w:rPr>
          <w:bCs/>
          <w:sz w:val="24"/>
        </w:rPr>
      </w:pPr>
      <w:r w:rsidRPr="009C053F">
        <w:rPr>
          <w:rFonts w:hint="eastAsia"/>
          <w:kern w:val="0"/>
          <w:sz w:val="24"/>
        </w:rPr>
        <w:t xml:space="preserve">    2</w:t>
      </w:r>
      <w:r w:rsidRPr="009C053F">
        <w:rPr>
          <w:rFonts w:hint="eastAsia"/>
          <w:kern w:val="0"/>
          <w:sz w:val="24"/>
        </w:rPr>
        <w:t>、如果本报告期间发生转换出，则总赎回份额中包含该业务。</w:t>
      </w: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交银天益宝货币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469,409.71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469,409.71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-469,409.71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-469,409.71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交银天益宝货币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75,980,901.35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75,980,901.35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-75,980,901.35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-75,980,901.35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24,516.57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33,294,437.13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6,773.66</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33,325,727.36</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6,050,679,073.87</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6,008,891,446.01</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41,158,035.05</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629,592.81</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50,474,630.14</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50,000,000.00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474,630.14</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321196" w:rsidRPr="00356FA6" w:rsidRDefault="00321196" w:rsidP="006C67B5">
      <w:pPr>
        <w:tabs>
          <w:tab w:val="left" w:pos="426"/>
        </w:tabs>
        <w:spacing w:before="29" w:line="288" w:lineRule="auto"/>
        <w:jc w:val="left"/>
        <w:rPr>
          <w:kern w:val="0"/>
          <w:sz w:val="24"/>
        </w:rPr>
      </w:pPr>
      <w:r w:rsidRPr="00356FA6">
        <w:rPr>
          <w:kern w:val="0"/>
          <w:sz w:val="24"/>
        </w:rPr>
        <w:t>注：本基金本报告期内无资产支持证券投资收益。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63,375.34</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57,767.18</w:t>
            </w:r>
          </w:p>
        </w:tc>
      </w:tr>
      <w:tr w:rsidR="00A65D54">
        <w:tc>
          <w:tcPr>
            <w:tcW w:w="3815" w:type="dxa"/>
            <w:vAlign w:val="center"/>
          </w:tcPr>
          <w:p w:rsidR="00A65D54" w:rsidRDefault="00484537">
            <w:pPr>
              <w:jc w:val="left"/>
            </w:pPr>
            <w:r>
              <w:rPr>
                <w:sz w:val="24"/>
              </w:rPr>
              <w:t>银行费用</w:t>
            </w:r>
          </w:p>
        </w:tc>
        <w:tc>
          <w:tcPr>
            <w:tcW w:w="5116" w:type="dxa"/>
            <w:vAlign w:val="center"/>
          </w:tcPr>
          <w:p w:rsidR="00A65D54" w:rsidRDefault="00484537">
            <w:pPr>
              <w:jc w:val="right"/>
            </w:pPr>
            <w:r>
              <w:rPr>
                <w:sz w:val="24"/>
              </w:rPr>
              <w:t>44,635.55</w:t>
            </w:r>
          </w:p>
        </w:tc>
      </w:tr>
      <w:tr w:rsidR="00A65D54">
        <w:tc>
          <w:tcPr>
            <w:tcW w:w="3815" w:type="dxa"/>
            <w:vAlign w:val="center"/>
          </w:tcPr>
          <w:p w:rsidR="00A65D54" w:rsidRDefault="00484537">
            <w:pPr>
              <w:jc w:val="left"/>
            </w:pPr>
            <w:r>
              <w:rPr>
                <w:sz w:val="24"/>
              </w:rPr>
              <w:t>债券账户费用</w:t>
            </w:r>
          </w:p>
        </w:tc>
        <w:tc>
          <w:tcPr>
            <w:tcW w:w="5116" w:type="dxa"/>
            <w:vAlign w:val="center"/>
          </w:tcPr>
          <w:p w:rsidR="00A65D54" w:rsidRDefault="00484537">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184,378.07</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A65D54">
        <w:tc>
          <w:tcPr>
            <w:tcW w:w="5219" w:type="dxa"/>
            <w:vAlign w:val="center"/>
          </w:tcPr>
          <w:p w:rsidR="00A65D54" w:rsidRDefault="00484537">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A65D54" w:rsidRDefault="00484537">
            <w:pPr>
              <w:jc w:val="left"/>
            </w:pPr>
            <w:r>
              <w:rPr>
                <w:sz w:val="24"/>
              </w:rPr>
              <w:t>基金管理人、基金销售机构</w:t>
            </w:r>
          </w:p>
        </w:tc>
      </w:tr>
      <w:tr w:rsidR="00A65D54">
        <w:tc>
          <w:tcPr>
            <w:tcW w:w="5219" w:type="dxa"/>
            <w:vAlign w:val="center"/>
          </w:tcPr>
          <w:p w:rsidR="00A65D54" w:rsidRDefault="00484537">
            <w:pPr>
              <w:jc w:val="left"/>
            </w:pPr>
            <w:r>
              <w:rPr>
                <w:sz w:val="24"/>
              </w:rPr>
              <w:t>中国工商银行股份有限公司（</w:t>
            </w:r>
            <w:r>
              <w:rPr>
                <w:sz w:val="24"/>
              </w:rPr>
              <w:t>“</w:t>
            </w:r>
            <w:r>
              <w:rPr>
                <w:sz w:val="24"/>
              </w:rPr>
              <w:t>中国工商银行</w:t>
            </w:r>
            <w:r>
              <w:rPr>
                <w:sz w:val="24"/>
              </w:rPr>
              <w:t>”</w:t>
            </w:r>
            <w:r>
              <w:rPr>
                <w:sz w:val="24"/>
              </w:rPr>
              <w:t>）</w:t>
            </w:r>
          </w:p>
        </w:tc>
        <w:tc>
          <w:tcPr>
            <w:tcW w:w="3779" w:type="dxa"/>
            <w:vAlign w:val="center"/>
          </w:tcPr>
          <w:p w:rsidR="00A65D54" w:rsidRDefault="00484537">
            <w:pPr>
              <w:jc w:val="left"/>
            </w:pPr>
            <w:r>
              <w:rPr>
                <w:sz w:val="24"/>
              </w:rPr>
              <w:t>基金托管人</w:t>
            </w:r>
          </w:p>
        </w:tc>
      </w:tr>
      <w:tr w:rsidR="00A65D54">
        <w:tc>
          <w:tcPr>
            <w:tcW w:w="5219" w:type="dxa"/>
            <w:vAlign w:val="center"/>
          </w:tcPr>
          <w:p w:rsidR="00A65D54" w:rsidRDefault="00484537">
            <w:pPr>
              <w:jc w:val="left"/>
            </w:pPr>
            <w:r>
              <w:rPr>
                <w:sz w:val="24"/>
              </w:rPr>
              <w:t>交通银行股份有限公司</w:t>
            </w:r>
            <w:r>
              <w:rPr>
                <w:sz w:val="24"/>
              </w:rPr>
              <w:t>("</w:t>
            </w:r>
            <w:r>
              <w:rPr>
                <w:sz w:val="24"/>
              </w:rPr>
              <w:t>交通银行</w:t>
            </w:r>
            <w:r>
              <w:rPr>
                <w:sz w:val="24"/>
              </w:rPr>
              <w:t>")</w:t>
            </w:r>
          </w:p>
        </w:tc>
        <w:tc>
          <w:tcPr>
            <w:tcW w:w="3779" w:type="dxa"/>
            <w:vAlign w:val="center"/>
          </w:tcPr>
          <w:p w:rsidR="00A65D54" w:rsidRDefault="00484537">
            <w:pPr>
              <w:jc w:val="left"/>
            </w:pPr>
            <w:r>
              <w:rPr>
                <w:sz w:val="24"/>
              </w:rPr>
              <w:t>基金管理人的股东</w:t>
            </w:r>
          </w:p>
        </w:tc>
      </w:tr>
      <w:tr w:rsidR="00082AA9">
        <w:tc>
          <w:tcPr>
            <w:tcW w:w="5219" w:type="dxa"/>
            <w:vAlign w:val="center"/>
          </w:tcPr>
          <w:p w:rsidR="00082AA9" w:rsidRDefault="00082AA9">
            <w:pPr>
              <w:jc w:val="left"/>
              <w:rPr>
                <w:sz w:val="24"/>
              </w:rPr>
            </w:pPr>
            <w:r>
              <w:rPr>
                <w:rFonts w:hint="eastAsia"/>
                <w:sz w:val="24"/>
              </w:rPr>
              <w:t>交银施罗德资产管理</w:t>
            </w:r>
            <w:r>
              <w:rPr>
                <w:sz w:val="24"/>
              </w:rPr>
              <w:t>有限公司（</w:t>
            </w:r>
            <w:r>
              <w:rPr>
                <w:rFonts w:hint="eastAsia"/>
                <w:sz w:val="24"/>
              </w:rPr>
              <w:t>交银施罗德</w:t>
            </w:r>
            <w:r>
              <w:rPr>
                <w:sz w:val="24"/>
              </w:rPr>
              <w:t>资管）</w:t>
            </w:r>
          </w:p>
        </w:tc>
        <w:tc>
          <w:tcPr>
            <w:tcW w:w="3779" w:type="dxa"/>
            <w:vAlign w:val="center"/>
          </w:tcPr>
          <w:p w:rsidR="00082AA9" w:rsidRPr="00082AA9" w:rsidRDefault="00082AA9">
            <w:pPr>
              <w:jc w:val="left"/>
              <w:rPr>
                <w:sz w:val="24"/>
              </w:rPr>
            </w:pPr>
            <w:r>
              <w:rPr>
                <w:rFonts w:hint="eastAsia"/>
                <w:sz w:val="24"/>
              </w:rPr>
              <w:t>基金</w:t>
            </w:r>
            <w:r>
              <w:rPr>
                <w:sz w:val="24"/>
              </w:rPr>
              <w:t>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4,181,697.31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4,177,164.18</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C0742" w:rsidP="006C67B5">
            <w:pPr>
              <w:spacing w:before="29" w:line="288" w:lineRule="auto"/>
              <w:jc w:val="right"/>
              <w:rPr>
                <w:sz w:val="24"/>
              </w:rPr>
            </w:pPr>
            <w:r>
              <w:rPr>
                <w:sz w:val="24"/>
              </w:rPr>
              <w:t>8,175.85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C0742" w:rsidP="006C67B5">
            <w:pPr>
              <w:spacing w:before="29" w:line="288" w:lineRule="auto"/>
              <w:jc w:val="right"/>
              <w:rPr>
                <w:sz w:val="24"/>
              </w:rPr>
            </w:pPr>
            <w:r>
              <w:rPr>
                <w:sz w:val="24"/>
              </w:rPr>
              <w:t>77.06</w:t>
            </w:r>
          </w:p>
        </w:tc>
      </w:tr>
    </w:tbl>
    <w:p w:rsidR="00A65D54" w:rsidRDefault="0048453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A65D54" w:rsidRDefault="00484537">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1,393,899.09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1,392,388.06</w:t>
            </w:r>
          </w:p>
        </w:tc>
      </w:tr>
    </w:tbl>
    <w:p w:rsidR="00A65D54" w:rsidRDefault="0048453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A65D54" w:rsidRDefault="00484537">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78470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784707" w:rsidTr="00784707">
        <w:tc>
          <w:tcPr>
            <w:tcW w:w="2108" w:type="dxa"/>
            <w:vAlign w:val="center"/>
          </w:tcPr>
          <w:p w:rsidR="00784707" w:rsidRDefault="00784707" w:rsidP="00784707">
            <w:pPr>
              <w:jc w:val="left"/>
            </w:pPr>
            <w:r>
              <w:rPr>
                <w:sz w:val="24"/>
              </w:rPr>
              <w:t>交银施罗德基金公司</w:t>
            </w:r>
          </w:p>
        </w:tc>
        <w:tc>
          <w:tcPr>
            <w:tcW w:w="1861" w:type="dxa"/>
            <w:tcBorders>
              <w:top w:val="single" w:sz="4" w:space="0" w:color="000000"/>
              <w:right w:val="single" w:sz="2" w:space="0" w:color="000000"/>
            </w:tcBorders>
            <w:vAlign w:val="center"/>
          </w:tcPr>
          <w:p w:rsidR="00784707" w:rsidRDefault="00784707" w:rsidP="00784707">
            <w:pPr>
              <w:jc w:val="center"/>
            </w:pPr>
            <w:r>
              <w:rPr>
                <w:sz w:val="24"/>
              </w:rPr>
              <w:t>45,707.78</w:t>
            </w:r>
          </w:p>
        </w:tc>
        <w:tc>
          <w:tcPr>
            <w:tcW w:w="2281" w:type="dxa"/>
            <w:tcBorders>
              <w:top w:val="single" w:sz="4" w:space="0" w:color="000000"/>
              <w:left w:val="single" w:sz="2" w:space="0" w:color="000000"/>
              <w:right w:val="single" w:sz="2" w:space="0" w:color="000000"/>
            </w:tcBorders>
            <w:vAlign w:val="center"/>
          </w:tcPr>
          <w:p w:rsidR="00784707" w:rsidRDefault="00784707" w:rsidP="00784707">
            <w:pPr>
              <w:jc w:val="center"/>
            </w:pPr>
            <w:r>
              <w:rPr>
                <w:sz w:val="24"/>
              </w:rPr>
              <w:t>276,208.99</w:t>
            </w:r>
          </w:p>
        </w:tc>
        <w:tc>
          <w:tcPr>
            <w:tcW w:w="2822" w:type="dxa"/>
            <w:tcBorders>
              <w:top w:val="single" w:sz="4" w:space="0" w:color="000000"/>
              <w:left w:val="single" w:sz="2" w:space="0" w:color="000000"/>
              <w:bottom w:val="single" w:sz="8" w:space="0" w:color="000000"/>
              <w:right w:val="single" w:sz="2" w:space="0" w:color="000000"/>
            </w:tcBorders>
            <w:vAlign w:val="center"/>
          </w:tcPr>
          <w:p w:rsidR="00784707" w:rsidRPr="00784707" w:rsidRDefault="00784707" w:rsidP="00784707">
            <w:pPr>
              <w:jc w:val="center"/>
              <w:rPr>
                <w:sz w:val="24"/>
              </w:rPr>
            </w:pPr>
            <w:r w:rsidRPr="00784707">
              <w:rPr>
                <w:sz w:val="24"/>
              </w:rPr>
              <w:t>32</w:t>
            </w:r>
            <w:bookmarkStart w:id="39" w:name="_GoBack"/>
            <w:bookmarkEnd w:id="39"/>
            <w:r w:rsidRPr="00784707">
              <w:rPr>
                <w:sz w:val="24"/>
              </w:rPr>
              <w:t>1,916.77</w:t>
            </w:r>
          </w:p>
        </w:tc>
      </w:tr>
      <w:tr w:rsidR="00784707" w:rsidRPr="00356FA6" w:rsidTr="00784707">
        <w:tc>
          <w:tcPr>
            <w:tcW w:w="2108" w:type="dxa"/>
            <w:tcBorders>
              <w:top w:val="single" w:sz="4" w:space="0" w:color="000000"/>
              <w:left w:val="single" w:sz="4" w:space="0" w:color="000000"/>
              <w:bottom w:val="single" w:sz="4" w:space="0" w:color="000000"/>
              <w:right w:val="single" w:sz="4" w:space="0" w:color="000000"/>
            </w:tcBorders>
            <w:vAlign w:val="center"/>
            <w:hideMark/>
          </w:tcPr>
          <w:p w:rsidR="00784707" w:rsidRPr="00356FA6" w:rsidRDefault="00784707" w:rsidP="00784707">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2" w:space="0" w:color="000000"/>
            </w:tcBorders>
            <w:vAlign w:val="center"/>
            <w:hideMark/>
          </w:tcPr>
          <w:p w:rsidR="00784707" w:rsidRPr="00356FA6" w:rsidRDefault="00784707" w:rsidP="00784707">
            <w:pPr>
              <w:spacing w:before="29" w:line="288" w:lineRule="auto"/>
              <w:jc w:val="center"/>
              <w:rPr>
                <w:sz w:val="24"/>
              </w:rPr>
            </w:pPr>
            <w:r>
              <w:rPr>
                <w:sz w:val="24"/>
              </w:rPr>
              <w:t>45,707.78</w:t>
            </w:r>
          </w:p>
        </w:tc>
        <w:tc>
          <w:tcPr>
            <w:tcW w:w="2281" w:type="dxa"/>
            <w:tcBorders>
              <w:top w:val="single" w:sz="4" w:space="0" w:color="000000"/>
              <w:left w:val="single" w:sz="2" w:space="0" w:color="000000"/>
              <w:bottom w:val="single" w:sz="4" w:space="0" w:color="000000"/>
              <w:right w:val="single" w:sz="2" w:space="0" w:color="000000"/>
            </w:tcBorders>
            <w:vAlign w:val="center"/>
            <w:hideMark/>
          </w:tcPr>
          <w:p w:rsidR="00784707" w:rsidRPr="00356FA6" w:rsidRDefault="00784707" w:rsidP="00784707">
            <w:pPr>
              <w:spacing w:before="29" w:line="288" w:lineRule="auto"/>
              <w:jc w:val="center"/>
              <w:rPr>
                <w:sz w:val="24"/>
              </w:rPr>
            </w:pPr>
            <w:r w:rsidRPr="00356FA6">
              <w:rPr>
                <w:sz w:val="24"/>
              </w:rPr>
              <w:t>276,208.99</w:t>
            </w:r>
          </w:p>
        </w:tc>
        <w:tc>
          <w:tcPr>
            <w:tcW w:w="2822" w:type="dxa"/>
            <w:tcBorders>
              <w:top w:val="nil"/>
              <w:left w:val="single" w:sz="2" w:space="0" w:color="000000"/>
              <w:bottom w:val="single" w:sz="8" w:space="0" w:color="000000"/>
              <w:right w:val="single" w:sz="2" w:space="0" w:color="000000"/>
            </w:tcBorders>
            <w:vAlign w:val="center"/>
            <w:hideMark/>
          </w:tcPr>
          <w:p w:rsidR="00784707" w:rsidRPr="00784707" w:rsidRDefault="00784707" w:rsidP="00784707">
            <w:pPr>
              <w:jc w:val="center"/>
              <w:rPr>
                <w:sz w:val="24"/>
              </w:rPr>
            </w:pPr>
            <w:r w:rsidRPr="00784707">
              <w:rPr>
                <w:sz w:val="24"/>
              </w:rPr>
              <w:t>321,916.77</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A65D54">
        <w:tc>
          <w:tcPr>
            <w:tcW w:w="2108" w:type="dxa"/>
            <w:vAlign w:val="center"/>
          </w:tcPr>
          <w:p w:rsidR="00A65D54" w:rsidRDefault="00484537">
            <w:pPr>
              <w:jc w:val="left"/>
            </w:pPr>
            <w:r>
              <w:rPr>
                <w:sz w:val="24"/>
              </w:rPr>
              <w:t>交银施罗德基金公司</w:t>
            </w:r>
          </w:p>
        </w:tc>
        <w:tc>
          <w:tcPr>
            <w:tcW w:w="1861" w:type="dxa"/>
            <w:vAlign w:val="center"/>
          </w:tcPr>
          <w:p w:rsidR="00A65D54" w:rsidRDefault="00484537">
            <w:pPr>
              <w:jc w:val="right"/>
            </w:pPr>
            <w:r>
              <w:rPr>
                <w:sz w:val="24"/>
              </w:rPr>
              <w:t>3,664.25</w:t>
            </w:r>
          </w:p>
        </w:tc>
        <w:tc>
          <w:tcPr>
            <w:tcW w:w="2281" w:type="dxa"/>
            <w:vAlign w:val="center"/>
          </w:tcPr>
          <w:p w:rsidR="00A65D54" w:rsidRDefault="00484537">
            <w:pPr>
              <w:jc w:val="right"/>
            </w:pPr>
            <w:r>
              <w:rPr>
                <w:sz w:val="24"/>
              </w:rPr>
              <w:t>278,306.01</w:t>
            </w:r>
          </w:p>
        </w:tc>
        <w:tc>
          <w:tcPr>
            <w:tcW w:w="2822" w:type="dxa"/>
            <w:vAlign w:val="center"/>
          </w:tcPr>
          <w:p w:rsidR="00A65D54" w:rsidRDefault="00484537">
            <w:pPr>
              <w:jc w:val="right"/>
            </w:pPr>
            <w:r>
              <w:rPr>
                <w:sz w:val="24"/>
              </w:rPr>
              <w:t>281,970.26</w:t>
            </w:r>
          </w:p>
        </w:tc>
      </w:tr>
      <w:tr w:rsidR="00A65D54">
        <w:tc>
          <w:tcPr>
            <w:tcW w:w="2108" w:type="dxa"/>
            <w:vAlign w:val="center"/>
          </w:tcPr>
          <w:p w:rsidR="00A65D54" w:rsidRDefault="00484537">
            <w:pPr>
              <w:jc w:val="left"/>
            </w:pPr>
            <w:r>
              <w:rPr>
                <w:sz w:val="24"/>
              </w:rPr>
              <w:t>交通银行</w:t>
            </w:r>
          </w:p>
        </w:tc>
        <w:tc>
          <w:tcPr>
            <w:tcW w:w="1861" w:type="dxa"/>
            <w:vAlign w:val="center"/>
          </w:tcPr>
          <w:p w:rsidR="00A65D54" w:rsidRDefault="00484537">
            <w:pPr>
              <w:jc w:val="right"/>
            </w:pPr>
            <w:r>
              <w:rPr>
                <w:sz w:val="24"/>
              </w:rPr>
              <w:t>-</w:t>
            </w:r>
          </w:p>
        </w:tc>
        <w:tc>
          <w:tcPr>
            <w:tcW w:w="2281" w:type="dxa"/>
            <w:vAlign w:val="center"/>
          </w:tcPr>
          <w:p w:rsidR="00A65D54" w:rsidRDefault="00484537">
            <w:pPr>
              <w:jc w:val="right"/>
            </w:pPr>
            <w:r>
              <w:rPr>
                <w:sz w:val="24"/>
              </w:rPr>
              <w:t>-</w:t>
            </w:r>
          </w:p>
        </w:tc>
        <w:tc>
          <w:tcPr>
            <w:tcW w:w="2822" w:type="dxa"/>
            <w:vAlign w:val="center"/>
          </w:tcPr>
          <w:p w:rsidR="00A65D54" w:rsidRDefault="00484537">
            <w:pPr>
              <w:jc w:val="right"/>
            </w:pPr>
            <w:r>
              <w:rPr>
                <w:sz w:val="24"/>
              </w:rPr>
              <w:t>-</w:t>
            </w:r>
          </w:p>
        </w:tc>
      </w:tr>
      <w:tr w:rsidR="00A65D54">
        <w:tc>
          <w:tcPr>
            <w:tcW w:w="2108" w:type="dxa"/>
            <w:vAlign w:val="center"/>
          </w:tcPr>
          <w:p w:rsidR="00A65D54" w:rsidRDefault="00484537">
            <w:pPr>
              <w:jc w:val="left"/>
            </w:pPr>
            <w:r>
              <w:rPr>
                <w:sz w:val="24"/>
              </w:rPr>
              <w:t>中国工商银行</w:t>
            </w:r>
          </w:p>
        </w:tc>
        <w:tc>
          <w:tcPr>
            <w:tcW w:w="1861" w:type="dxa"/>
            <w:vAlign w:val="center"/>
          </w:tcPr>
          <w:p w:rsidR="00A65D54" w:rsidRDefault="00484537">
            <w:pPr>
              <w:jc w:val="right"/>
            </w:pPr>
            <w:r>
              <w:rPr>
                <w:sz w:val="24"/>
              </w:rPr>
              <w:t>-</w:t>
            </w:r>
          </w:p>
        </w:tc>
        <w:tc>
          <w:tcPr>
            <w:tcW w:w="2281" w:type="dxa"/>
            <w:vAlign w:val="center"/>
          </w:tcPr>
          <w:p w:rsidR="00A65D54" w:rsidRDefault="00484537">
            <w:pPr>
              <w:jc w:val="right"/>
            </w:pPr>
            <w:r>
              <w:rPr>
                <w:sz w:val="24"/>
              </w:rPr>
              <w:t>-</w:t>
            </w:r>
          </w:p>
        </w:tc>
        <w:tc>
          <w:tcPr>
            <w:tcW w:w="2822" w:type="dxa"/>
            <w:vAlign w:val="center"/>
          </w:tcPr>
          <w:p w:rsidR="00A65D54" w:rsidRDefault="00484537">
            <w:pPr>
              <w:jc w:val="right"/>
            </w:pPr>
            <w:r>
              <w:rPr>
                <w:sz w:val="24"/>
              </w:rPr>
              <w:t>-</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3,664.25</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278,306.01</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281,970.26</w:t>
            </w:r>
          </w:p>
        </w:tc>
      </w:tr>
    </w:tbl>
    <w:p w:rsidR="00A65D54" w:rsidRDefault="00484537">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A65D54" w:rsidRDefault="00484537">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A65D54" w:rsidRDefault="00A65D54">
      <w:pPr>
        <w:tabs>
          <w:tab w:val="left" w:pos="426"/>
        </w:tabs>
        <w:spacing w:before="29" w:line="288" w:lineRule="auto"/>
        <w:jc w:val="left"/>
        <w:rPr>
          <w:kern w:val="0"/>
          <w:sz w:val="24"/>
        </w:rPr>
      </w:pPr>
    </w:p>
    <w:p w:rsidR="00A65D54" w:rsidRDefault="00A65D54">
      <w:pPr>
        <w:tabs>
          <w:tab w:val="left" w:pos="426"/>
        </w:tabs>
        <w:spacing w:before="29" w:line="288" w:lineRule="auto"/>
        <w:jc w:val="left"/>
        <w:rPr>
          <w:kern w:val="0"/>
          <w:sz w:val="24"/>
        </w:rPr>
      </w:pPr>
    </w:p>
    <w:p w:rsidR="00C838EC" w:rsidRPr="00356FA6" w:rsidRDefault="00C838EC" w:rsidP="00704411">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484537" w:rsidRPr="00356FA6" w:rsidTr="00484537">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484537" w:rsidRPr="00356FA6" w:rsidTr="00484537">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p>
        </w:tc>
      </w:tr>
      <w:tr w:rsidR="00484537" w:rsidRPr="00356FA6" w:rsidTr="0048453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2016</w:t>
            </w:r>
            <w:r w:rsidRPr="00356FA6">
              <w:rPr>
                <w:szCs w:val="24"/>
              </w:rPr>
              <w:t>年</w:t>
            </w:r>
            <w:r w:rsidRPr="00356FA6">
              <w:rPr>
                <w:szCs w:val="24"/>
              </w:rPr>
              <w:t>12</w:t>
            </w:r>
            <w:r w:rsidRPr="00356FA6">
              <w:rPr>
                <w:szCs w:val="24"/>
              </w:rPr>
              <w:t>月</w:t>
            </w:r>
            <w:r w:rsidRPr="00356FA6">
              <w:rPr>
                <w:szCs w:val="24"/>
              </w:rPr>
              <w:t>20</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84537" w:rsidRPr="00356FA6" w:rsidTr="0048453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84537" w:rsidRPr="00356FA6" w:rsidTr="0048453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50,138,608.83</w:t>
            </w:r>
          </w:p>
        </w:tc>
      </w:tr>
      <w:tr w:rsidR="00484537" w:rsidRPr="00356FA6" w:rsidTr="0048453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84537" w:rsidRPr="00356FA6" w:rsidTr="0048453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84537" w:rsidRPr="00356FA6" w:rsidTr="0048453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50,138,608.83</w:t>
            </w:r>
          </w:p>
        </w:tc>
      </w:tr>
      <w:tr w:rsidR="00484537" w:rsidRPr="00356FA6" w:rsidTr="0048453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1.10%</w:t>
            </w:r>
          </w:p>
        </w:tc>
      </w:tr>
    </w:tbl>
    <w:p w:rsidR="00A65D54" w:rsidRDefault="00484537">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A65D54" w:rsidRDefault="0048453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交银天益宝货币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交银天益宝货币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A65D54">
        <w:tc>
          <w:tcPr>
            <w:tcW w:w="1946" w:type="dxa"/>
            <w:vAlign w:val="center"/>
          </w:tcPr>
          <w:p w:rsidR="00A65D54" w:rsidRDefault="00484537">
            <w:pPr>
              <w:jc w:val="center"/>
            </w:pPr>
            <w:r>
              <w:rPr>
                <w:sz w:val="24"/>
              </w:rPr>
              <w:t>交银施罗德资产管理有限公司</w:t>
            </w:r>
          </w:p>
        </w:tc>
        <w:tc>
          <w:tcPr>
            <w:tcW w:w="2013" w:type="dxa"/>
            <w:vAlign w:val="center"/>
          </w:tcPr>
          <w:p w:rsidR="00A65D54" w:rsidRDefault="00484537">
            <w:pPr>
              <w:jc w:val="center"/>
            </w:pPr>
            <w:r>
              <w:rPr>
                <w:sz w:val="24"/>
              </w:rPr>
              <w:t>102,550,572.43</w:t>
            </w:r>
          </w:p>
        </w:tc>
        <w:tc>
          <w:tcPr>
            <w:tcW w:w="1565" w:type="dxa"/>
            <w:vAlign w:val="center"/>
          </w:tcPr>
          <w:p w:rsidR="00A65D54" w:rsidRDefault="00484537">
            <w:pPr>
              <w:jc w:val="center"/>
            </w:pPr>
            <w:r>
              <w:rPr>
                <w:sz w:val="24"/>
              </w:rPr>
              <w:t>2.24%</w:t>
            </w:r>
          </w:p>
        </w:tc>
        <w:tc>
          <w:tcPr>
            <w:tcW w:w="1846" w:type="dxa"/>
            <w:vAlign w:val="center"/>
          </w:tcPr>
          <w:p w:rsidR="00A65D54" w:rsidRDefault="00484537">
            <w:pPr>
              <w:jc w:val="center"/>
            </w:pPr>
            <w:r>
              <w:rPr>
                <w:sz w:val="24"/>
              </w:rPr>
              <w:t>-</w:t>
            </w:r>
          </w:p>
        </w:tc>
        <w:tc>
          <w:tcPr>
            <w:tcW w:w="1628" w:type="dxa"/>
            <w:vAlign w:val="center"/>
          </w:tcPr>
          <w:p w:rsidR="00A65D54" w:rsidRDefault="00484537">
            <w:pPr>
              <w:jc w:val="center"/>
            </w:pPr>
            <w:r>
              <w:rPr>
                <w:sz w:val="24"/>
              </w:rPr>
              <w:t>-</w:t>
            </w:r>
          </w:p>
        </w:tc>
      </w:tr>
      <w:tr w:rsidR="00A65D54">
        <w:tc>
          <w:tcPr>
            <w:tcW w:w="1946" w:type="dxa"/>
            <w:vAlign w:val="center"/>
          </w:tcPr>
          <w:p w:rsidR="00A65D54" w:rsidRDefault="00484537">
            <w:pPr>
              <w:jc w:val="center"/>
            </w:pPr>
            <w:r>
              <w:rPr>
                <w:sz w:val="24"/>
              </w:rPr>
              <w:t>交通银行股份有限公司</w:t>
            </w:r>
          </w:p>
        </w:tc>
        <w:tc>
          <w:tcPr>
            <w:tcW w:w="2013" w:type="dxa"/>
            <w:vAlign w:val="center"/>
          </w:tcPr>
          <w:p w:rsidR="00A65D54" w:rsidRDefault="00484537">
            <w:pPr>
              <w:jc w:val="center"/>
            </w:pPr>
            <w:r>
              <w:rPr>
                <w:sz w:val="24"/>
              </w:rPr>
              <w:t>739,589,229.20</w:t>
            </w:r>
          </w:p>
        </w:tc>
        <w:tc>
          <w:tcPr>
            <w:tcW w:w="1565" w:type="dxa"/>
            <w:vAlign w:val="center"/>
          </w:tcPr>
          <w:p w:rsidR="00A65D54" w:rsidRDefault="00484537">
            <w:pPr>
              <w:jc w:val="center"/>
            </w:pPr>
            <w:r>
              <w:rPr>
                <w:sz w:val="24"/>
              </w:rPr>
              <w:t>16.16%</w:t>
            </w:r>
          </w:p>
        </w:tc>
        <w:tc>
          <w:tcPr>
            <w:tcW w:w="1846" w:type="dxa"/>
            <w:vAlign w:val="center"/>
          </w:tcPr>
          <w:p w:rsidR="00A65D54" w:rsidRDefault="00484537">
            <w:pPr>
              <w:jc w:val="center"/>
            </w:pPr>
            <w:r>
              <w:rPr>
                <w:sz w:val="24"/>
              </w:rPr>
              <w:t>1,373,362,626.27</w:t>
            </w:r>
          </w:p>
        </w:tc>
        <w:tc>
          <w:tcPr>
            <w:tcW w:w="1628" w:type="dxa"/>
            <w:vAlign w:val="center"/>
          </w:tcPr>
          <w:p w:rsidR="00A65D54" w:rsidRDefault="00484537">
            <w:pPr>
              <w:jc w:val="center"/>
            </w:pPr>
            <w:r>
              <w:rPr>
                <w:sz w:val="24"/>
              </w:rPr>
              <w:t>28.73%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A65D54">
        <w:tc>
          <w:tcPr>
            <w:tcW w:w="1799" w:type="dxa"/>
            <w:vAlign w:val="center"/>
          </w:tcPr>
          <w:p w:rsidR="00A65D54" w:rsidRDefault="00484537">
            <w:pPr>
              <w:jc w:val="center"/>
            </w:pPr>
            <w:r>
              <w:rPr>
                <w:sz w:val="24"/>
              </w:rPr>
              <w:t>中国工商银行股份有限公司</w:t>
            </w:r>
          </w:p>
        </w:tc>
        <w:tc>
          <w:tcPr>
            <w:tcW w:w="1799" w:type="dxa"/>
            <w:vAlign w:val="center"/>
          </w:tcPr>
          <w:p w:rsidR="00A65D54" w:rsidRDefault="00484537">
            <w:pPr>
              <w:jc w:val="center"/>
            </w:pPr>
            <w:r>
              <w:rPr>
                <w:sz w:val="24"/>
              </w:rPr>
              <w:t>233,104.61</w:t>
            </w:r>
          </w:p>
        </w:tc>
        <w:tc>
          <w:tcPr>
            <w:tcW w:w="1800" w:type="dxa"/>
            <w:vAlign w:val="center"/>
          </w:tcPr>
          <w:p w:rsidR="00A65D54" w:rsidRDefault="00484537">
            <w:pPr>
              <w:jc w:val="center"/>
            </w:pPr>
            <w:r>
              <w:rPr>
                <w:sz w:val="24"/>
              </w:rPr>
              <w:t>24,516.57</w:t>
            </w:r>
          </w:p>
        </w:tc>
        <w:tc>
          <w:tcPr>
            <w:tcW w:w="1800" w:type="dxa"/>
            <w:vAlign w:val="center"/>
          </w:tcPr>
          <w:p w:rsidR="00A65D54" w:rsidRDefault="00484537">
            <w:pPr>
              <w:jc w:val="center"/>
            </w:pPr>
            <w:r>
              <w:rPr>
                <w:sz w:val="24"/>
              </w:rPr>
              <w:t>1,874,483.16</w:t>
            </w:r>
          </w:p>
        </w:tc>
        <w:tc>
          <w:tcPr>
            <w:tcW w:w="1800" w:type="dxa"/>
            <w:vAlign w:val="center"/>
          </w:tcPr>
          <w:p w:rsidR="00A65D54" w:rsidRDefault="00484537">
            <w:pPr>
              <w:jc w:val="center"/>
            </w:pPr>
            <w:r>
              <w:rPr>
                <w:sz w:val="24"/>
              </w:rPr>
              <w:t>388,022.51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、交银天益宝货币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473,163.28</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-3,753.57</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469,409.71</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、交银天益宝货币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76,145,542.30</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-164,640.95</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75,980,901.35</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r w:rsidRPr="00356FA6">
        <w:rPr>
          <w:kern w:val="0"/>
          <w:sz w:val="24"/>
        </w:rPr>
        <w:t xml:space="preserve"> </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299,069,650.46</w:t>
      </w:r>
      <w:r w:rsidRPr="00356FA6">
        <w:rPr>
          <w:kern w:val="0"/>
          <w:sz w:val="24"/>
        </w:rPr>
        <w:t>元，是以如下债券作为质押：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A65D54">
        <w:tc>
          <w:tcPr>
            <w:tcW w:w="1493" w:type="dxa"/>
            <w:vAlign w:val="center"/>
          </w:tcPr>
          <w:p w:rsidR="00A65D54" w:rsidRDefault="00484537">
            <w:pPr>
              <w:jc w:val="center"/>
            </w:pPr>
            <w:r>
              <w:rPr>
                <w:kern w:val="0"/>
                <w:sz w:val="24"/>
              </w:rPr>
              <w:t>160420</w:t>
            </w:r>
          </w:p>
        </w:tc>
        <w:tc>
          <w:tcPr>
            <w:tcW w:w="1494" w:type="dxa"/>
            <w:vAlign w:val="center"/>
          </w:tcPr>
          <w:p w:rsidR="00A65D54" w:rsidRDefault="00484537">
            <w:pPr>
              <w:jc w:val="center"/>
            </w:pPr>
            <w:r>
              <w:rPr>
                <w:kern w:val="0"/>
                <w:sz w:val="24"/>
              </w:rPr>
              <w:t>16</w:t>
            </w:r>
            <w:r>
              <w:rPr>
                <w:kern w:val="0"/>
                <w:sz w:val="24"/>
              </w:rPr>
              <w:t>农发</w:t>
            </w:r>
            <w:r>
              <w:rPr>
                <w:kern w:val="0"/>
                <w:sz w:val="24"/>
              </w:rPr>
              <w:t>20</w:t>
            </w:r>
          </w:p>
        </w:tc>
        <w:tc>
          <w:tcPr>
            <w:tcW w:w="1494" w:type="dxa"/>
            <w:vAlign w:val="center"/>
          </w:tcPr>
          <w:p w:rsidR="00A65D54" w:rsidRDefault="00484537">
            <w:pPr>
              <w:jc w:val="center"/>
            </w:pPr>
            <w:r>
              <w:rPr>
                <w:kern w:val="0"/>
                <w:sz w:val="24"/>
              </w:rPr>
              <w:t>2019-07-01</w:t>
            </w:r>
          </w:p>
        </w:tc>
        <w:tc>
          <w:tcPr>
            <w:tcW w:w="1255" w:type="dxa"/>
            <w:vAlign w:val="center"/>
          </w:tcPr>
          <w:p w:rsidR="00A65D54" w:rsidRPr="00960A18" w:rsidRDefault="00484537" w:rsidP="00960A18">
            <w:pPr>
              <w:jc w:val="right"/>
              <w:rPr>
                <w:kern w:val="0"/>
                <w:sz w:val="24"/>
              </w:rPr>
            </w:pPr>
            <w:r>
              <w:rPr>
                <w:kern w:val="0"/>
                <w:sz w:val="24"/>
              </w:rPr>
              <w:t>100.0</w:t>
            </w:r>
            <w:r w:rsidR="00960A18">
              <w:rPr>
                <w:kern w:val="0"/>
                <w:sz w:val="24"/>
              </w:rPr>
              <w:t>3</w:t>
            </w:r>
          </w:p>
        </w:tc>
        <w:tc>
          <w:tcPr>
            <w:tcW w:w="1434" w:type="dxa"/>
            <w:vAlign w:val="center"/>
          </w:tcPr>
          <w:p w:rsidR="00A65D54" w:rsidRPr="00960A18" w:rsidRDefault="00484537">
            <w:pPr>
              <w:jc w:val="right"/>
              <w:rPr>
                <w:kern w:val="0"/>
                <w:sz w:val="24"/>
              </w:rPr>
            </w:pPr>
            <w:r>
              <w:rPr>
                <w:kern w:val="0"/>
                <w:sz w:val="24"/>
              </w:rPr>
              <w:t>65,000</w:t>
            </w:r>
          </w:p>
        </w:tc>
        <w:tc>
          <w:tcPr>
            <w:tcW w:w="1828" w:type="dxa"/>
            <w:vAlign w:val="center"/>
          </w:tcPr>
          <w:p w:rsidR="00A65D54" w:rsidRPr="00960A18" w:rsidRDefault="00960A18" w:rsidP="00960A18">
            <w:pPr>
              <w:widowControl/>
              <w:jc w:val="right"/>
              <w:rPr>
                <w:kern w:val="0"/>
                <w:sz w:val="24"/>
              </w:rPr>
            </w:pPr>
            <w:r w:rsidRPr="00960A18">
              <w:rPr>
                <w:rFonts w:hint="eastAsia"/>
                <w:kern w:val="0"/>
                <w:sz w:val="24"/>
              </w:rPr>
              <w:t xml:space="preserve">  6,501,950.00 </w:t>
            </w:r>
          </w:p>
        </w:tc>
      </w:tr>
      <w:tr w:rsidR="00A65D54">
        <w:tc>
          <w:tcPr>
            <w:tcW w:w="1493" w:type="dxa"/>
            <w:vAlign w:val="center"/>
          </w:tcPr>
          <w:p w:rsidR="00A65D54" w:rsidRDefault="00484537">
            <w:pPr>
              <w:jc w:val="center"/>
            </w:pPr>
            <w:r>
              <w:rPr>
                <w:kern w:val="0"/>
                <w:sz w:val="24"/>
              </w:rPr>
              <w:t>199920</w:t>
            </w:r>
          </w:p>
        </w:tc>
        <w:tc>
          <w:tcPr>
            <w:tcW w:w="1494" w:type="dxa"/>
            <w:vAlign w:val="center"/>
          </w:tcPr>
          <w:p w:rsidR="00A65D54" w:rsidRDefault="00484537">
            <w:pPr>
              <w:jc w:val="center"/>
            </w:pPr>
            <w:r>
              <w:rPr>
                <w:kern w:val="0"/>
                <w:sz w:val="24"/>
              </w:rPr>
              <w:t>19</w:t>
            </w:r>
            <w:r>
              <w:rPr>
                <w:kern w:val="0"/>
                <w:sz w:val="24"/>
              </w:rPr>
              <w:t>贴现国债</w:t>
            </w:r>
            <w:r>
              <w:rPr>
                <w:kern w:val="0"/>
                <w:sz w:val="24"/>
              </w:rPr>
              <w:t>20</w:t>
            </w:r>
          </w:p>
        </w:tc>
        <w:tc>
          <w:tcPr>
            <w:tcW w:w="1494" w:type="dxa"/>
            <w:vAlign w:val="center"/>
          </w:tcPr>
          <w:p w:rsidR="00A65D54" w:rsidRDefault="00484537">
            <w:pPr>
              <w:jc w:val="center"/>
            </w:pPr>
            <w:r>
              <w:rPr>
                <w:kern w:val="0"/>
                <w:sz w:val="24"/>
              </w:rPr>
              <w:t>2019-07-01</w:t>
            </w:r>
          </w:p>
        </w:tc>
        <w:tc>
          <w:tcPr>
            <w:tcW w:w="1255" w:type="dxa"/>
            <w:vAlign w:val="center"/>
          </w:tcPr>
          <w:p w:rsidR="00A65D54" w:rsidRPr="00960A18" w:rsidRDefault="00484537">
            <w:pPr>
              <w:jc w:val="right"/>
              <w:rPr>
                <w:kern w:val="0"/>
                <w:sz w:val="24"/>
              </w:rPr>
            </w:pPr>
            <w:r>
              <w:rPr>
                <w:kern w:val="0"/>
                <w:sz w:val="24"/>
              </w:rPr>
              <w:t>99.70</w:t>
            </w:r>
          </w:p>
        </w:tc>
        <w:tc>
          <w:tcPr>
            <w:tcW w:w="1434" w:type="dxa"/>
            <w:vAlign w:val="center"/>
          </w:tcPr>
          <w:p w:rsidR="00A65D54" w:rsidRPr="00960A18" w:rsidRDefault="00484537">
            <w:pPr>
              <w:jc w:val="right"/>
              <w:rPr>
                <w:kern w:val="0"/>
                <w:sz w:val="24"/>
              </w:rPr>
            </w:pPr>
            <w:r>
              <w:rPr>
                <w:kern w:val="0"/>
                <w:sz w:val="24"/>
              </w:rPr>
              <w:t>200,000</w:t>
            </w:r>
          </w:p>
        </w:tc>
        <w:tc>
          <w:tcPr>
            <w:tcW w:w="1828" w:type="dxa"/>
            <w:vAlign w:val="center"/>
          </w:tcPr>
          <w:p w:rsidR="00A65D54" w:rsidRPr="00960A18" w:rsidRDefault="00484537" w:rsidP="00960A18">
            <w:pPr>
              <w:jc w:val="right"/>
              <w:rPr>
                <w:kern w:val="0"/>
                <w:sz w:val="24"/>
              </w:rPr>
            </w:pPr>
            <w:r>
              <w:rPr>
                <w:kern w:val="0"/>
                <w:sz w:val="24"/>
              </w:rPr>
              <w:t>19,9</w:t>
            </w:r>
            <w:r w:rsidR="00960A18">
              <w:rPr>
                <w:kern w:val="0"/>
                <w:sz w:val="24"/>
              </w:rPr>
              <w:t>39</w:t>
            </w:r>
            <w:r>
              <w:rPr>
                <w:kern w:val="0"/>
                <w:sz w:val="24"/>
              </w:rPr>
              <w:t>,</w:t>
            </w:r>
            <w:r w:rsidR="00960A18">
              <w:rPr>
                <w:kern w:val="0"/>
                <w:sz w:val="24"/>
              </w:rPr>
              <w:t>557</w:t>
            </w:r>
            <w:r>
              <w:rPr>
                <w:kern w:val="0"/>
                <w:sz w:val="24"/>
              </w:rPr>
              <w:t>.</w:t>
            </w:r>
            <w:r w:rsidR="00960A18">
              <w:rPr>
                <w:kern w:val="0"/>
                <w:sz w:val="24"/>
              </w:rPr>
              <w:t>95</w:t>
            </w:r>
          </w:p>
        </w:tc>
      </w:tr>
      <w:tr w:rsidR="00A65D54">
        <w:tc>
          <w:tcPr>
            <w:tcW w:w="1493" w:type="dxa"/>
            <w:vAlign w:val="center"/>
          </w:tcPr>
          <w:p w:rsidR="00A65D54" w:rsidRDefault="00484537">
            <w:pPr>
              <w:jc w:val="center"/>
            </w:pPr>
            <w:r>
              <w:rPr>
                <w:kern w:val="0"/>
                <w:sz w:val="24"/>
              </w:rPr>
              <w:t>180312</w:t>
            </w:r>
          </w:p>
        </w:tc>
        <w:tc>
          <w:tcPr>
            <w:tcW w:w="1494" w:type="dxa"/>
            <w:vAlign w:val="center"/>
          </w:tcPr>
          <w:p w:rsidR="00A65D54" w:rsidRDefault="00484537">
            <w:pPr>
              <w:jc w:val="center"/>
            </w:pPr>
            <w:r>
              <w:rPr>
                <w:kern w:val="0"/>
                <w:sz w:val="24"/>
              </w:rPr>
              <w:t>18</w:t>
            </w:r>
            <w:r>
              <w:rPr>
                <w:kern w:val="0"/>
                <w:sz w:val="24"/>
              </w:rPr>
              <w:t>进出</w:t>
            </w:r>
            <w:r>
              <w:rPr>
                <w:kern w:val="0"/>
                <w:sz w:val="24"/>
              </w:rPr>
              <w:t>12</w:t>
            </w:r>
          </w:p>
        </w:tc>
        <w:tc>
          <w:tcPr>
            <w:tcW w:w="1494" w:type="dxa"/>
            <w:vAlign w:val="center"/>
          </w:tcPr>
          <w:p w:rsidR="00A65D54" w:rsidRDefault="00484537">
            <w:pPr>
              <w:jc w:val="center"/>
            </w:pPr>
            <w:r>
              <w:rPr>
                <w:kern w:val="0"/>
                <w:sz w:val="24"/>
              </w:rPr>
              <w:t>2019-07-01</w:t>
            </w:r>
          </w:p>
        </w:tc>
        <w:tc>
          <w:tcPr>
            <w:tcW w:w="1255" w:type="dxa"/>
            <w:vAlign w:val="center"/>
          </w:tcPr>
          <w:p w:rsidR="00A65D54" w:rsidRPr="00960A18" w:rsidRDefault="00484537" w:rsidP="00960A18">
            <w:pPr>
              <w:jc w:val="right"/>
              <w:rPr>
                <w:kern w:val="0"/>
                <w:sz w:val="24"/>
              </w:rPr>
            </w:pPr>
            <w:r>
              <w:rPr>
                <w:kern w:val="0"/>
                <w:sz w:val="24"/>
              </w:rPr>
              <w:t>100.1</w:t>
            </w:r>
            <w:r w:rsidR="00960A18">
              <w:rPr>
                <w:kern w:val="0"/>
                <w:sz w:val="24"/>
              </w:rPr>
              <w:t>3</w:t>
            </w:r>
          </w:p>
        </w:tc>
        <w:tc>
          <w:tcPr>
            <w:tcW w:w="1434" w:type="dxa"/>
            <w:vAlign w:val="center"/>
          </w:tcPr>
          <w:p w:rsidR="00A65D54" w:rsidRPr="00960A18" w:rsidRDefault="00484537">
            <w:pPr>
              <w:jc w:val="right"/>
              <w:rPr>
                <w:kern w:val="0"/>
                <w:sz w:val="24"/>
              </w:rPr>
            </w:pPr>
            <w:r>
              <w:rPr>
                <w:kern w:val="0"/>
                <w:sz w:val="24"/>
              </w:rPr>
              <w:t>1,700,000</w:t>
            </w:r>
          </w:p>
        </w:tc>
        <w:tc>
          <w:tcPr>
            <w:tcW w:w="1828" w:type="dxa"/>
            <w:vAlign w:val="center"/>
          </w:tcPr>
          <w:p w:rsidR="00A65D54" w:rsidRPr="00960A18" w:rsidRDefault="00960A18">
            <w:pPr>
              <w:jc w:val="right"/>
              <w:rPr>
                <w:kern w:val="0"/>
                <w:sz w:val="24"/>
              </w:rPr>
            </w:pPr>
            <w:r w:rsidRPr="00960A18">
              <w:rPr>
                <w:kern w:val="0"/>
                <w:sz w:val="24"/>
              </w:rPr>
              <w:t>170</w:t>
            </w:r>
            <w:r>
              <w:rPr>
                <w:kern w:val="0"/>
                <w:sz w:val="24"/>
              </w:rPr>
              <w:t>,</w:t>
            </w:r>
            <w:r w:rsidRPr="00960A18">
              <w:rPr>
                <w:kern w:val="0"/>
                <w:sz w:val="24"/>
              </w:rPr>
              <w:t>221</w:t>
            </w:r>
            <w:r>
              <w:rPr>
                <w:kern w:val="0"/>
                <w:sz w:val="24"/>
              </w:rPr>
              <w:t>,</w:t>
            </w:r>
            <w:r w:rsidRPr="00960A18">
              <w:rPr>
                <w:kern w:val="0"/>
                <w:sz w:val="24"/>
              </w:rPr>
              <w:t>063.29</w:t>
            </w:r>
          </w:p>
        </w:tc>
      </w:tr>
      <w:tr w:rsidR="00A65D54">
        <w:tc>
          <w:tcPr>
            <w:tcW w:w="1493" w:type="dxa"/>
            <w:vAlign w:val="center"/>
          </w:tcPr>
          <w:p w:rsidR="00A65D54" w:rsidRDefault="00484537">
            <w:pPr>
              <w:jc w:val="center"/>
            </w:pPr>
            <w:r>
              <w:rPr>
                <w:kern w:val="0"/>
                <w:sz w:val="24"/>
              </w:rPr>
              <w:t>199921</w:t>
            </w:r>
          </w:p>
        </w:tc>
        <w:tc>
          <w:tcPr>
            <w:tcW w:w="1494" w:type="dxa"/>
            <w:vAlign w:val="center"/>
          </w:tcPr>
          <w:p w:rsidR="00A65D54" w:rsidRDefault="00484537">
            <w:pPr>
              <w:jc w:val="center"/>
            </w:pPr>
            <w:r>
              <w:rPr>
                <w:kern w:val="0"/>
                <w:sz w:val="24"/>
              </w:rPr>
              <w:t>19</w:t>
            </w:r>
            <w:r>
              <w:rPr>
                <w:kern w:val="0"/>
                <w:sz w:val="24"/>
              </w:rPr>
              <w:t>贴现国债</w:t>
            </w:r>
            <w:r>
              <w:rPr>
                <w:kern w:val="0"/>
                <w:sz w:val="24"/>
              </w:rPr>
              <w:t>21</w:t>
            </w:r>
          </w:p>
        </w:tc>
        <w:tc>
          <w:tcPr>
            <w:tcW w:w="1494" w:type="dxa"/>
            <w:vAlign w:val="center"/>
          </w:tcPr>
          <w:p w:rsidR="00A65D54" w:rsidRDefault="00484537">
            <w:pPr>
              <w:jc w:val="center"/>
            </w:pPr>
            <w:r>
              <w:rPr>
                <w:kern w:val="0"/>
                <w:sz w:val="24"/>
              </w:rPr>
              <w:t>2019-07-01</w:t>
            </w:r>
          </w:p>
        </w:tc>
        <w:tc>
          <w:tcPr>
            <w:tcW w:w="1255" w:type="dxa"/>
            <w:vAlign w:val="center"/>
          </w:tcPr>
          <w:p w:rsidR="00A65D54" w:rsidRPr="00960A18" w:rsidRDefault="00484537" w:rsidP="00960A18">
            <w:pPr>
              <w:jc w:val="right"/>
              <w:rPr>
                <w:kern w:val="0"/>
                <w:sz w:val="24"/>
              </w:rPr>
            </w:pPr>
            <w:r>
              <w:rPr>
                <w:kern w:val="0"/>
                <w:sz w:val="24"/>
              </w:rPr>
              <w:t>99.6</w:t>
            </w:r>
            <w:r w:rsidR="00960A18">
              <w:rPr>
                <w:kern w:val="0"/>
                <w:sz w:val="24"/>
              </w:rPr>
              <w:t>7</w:t>
            </w:r>
          </w:p>
        </w:tc>
        <w:tc>
          <w:tcPr>
            <w:tcW w:w="1434" w:type="dxa"/>
            <w:vAlign w:val="center"/>
          </w:tcPr>
          <w:p w:rsidR="00A65D54" w:rsidRPr="00960A18" w:rsidRDefault="00484537">
            <w:pPr>
              <w:jc w:val="right"/>
              <w:rPr>
                <w:kern w:val="0"/>
                <w:sz w:val="24"/>
              </w:rPr>
            </w:pPr>
            <w:r>
              <w:rPr>
                <w:kern w:val="0"/>
                <w:sz w:val="24"/>
              </w:rPr>
              <w:t>600,000</w:t>
            </w:r>
          </w:p>
        </w:tc>
        <w:tc>
          <w:tcPr>
            <w:tcW w:w="1828" w:type="dxa"/>
            <w:vAlign w:val="center"/>
          </w:tcPr>
          <w:p w:rsidR="00A65D54" w:rsidRPr="00960A18" w:rsidRDefault="00960A18">
            <w:pPr>
              <w:jc w:val="right"/>
              <w:rPr>
                <w:kern w:val="0"/>
                <w:sz w:val="24"/>
              </w:rPr>
            </w:pPr>
            <w:r w:rsidRPr="00960A18">
              <w:rPr>
                <w:kern w:val="0"/>
                <w:sz w:val="24"/>
              </w:rPr>
              <w:t>59</w:t>
            </w:r>
            <w:r>
              <w:rPr>
                <w:kern w:val="0"/>
                <w:sz w:val="24"/>
              </w:rPr>
              <w:t>,</w:t>
            </w:r>
            <w:r w:rsidRPr="00960A18">
              <w:rPr>
                <w:kern w:val="0"/>
                <w:sz w:val="24"/>
              </w:rPr>
              <w:t>803</w:t>
            </w:r>
            <w:r>
              <w:rPr>
                <w:kern w:val="0"/>
                <w:sz w:val="24"/>
              </w:rPr>
              <w:t>,</w:t>
            </w:r>
            <w:r w:rsidRPr="00960A18">
              <w:rPr>
                <w:kern w:val="0"/>
                <w:sz w:val="24"/>
              </w:rPr>
              <w:t>789.98</w:t>
            </w:r>
          </w:p>
        </w:tc>
      </w:tr>
      <w:tr w:rsidR="00A65D54">
        <w:tc>
          <w:tcPr>
            <w:tcW w:w="1493" w:type="dxa"/>
            <w:vAlign w:val="center"/>
          </w:tcPr>
          <w:p w:rsidR="00A65D54" w:rsidRDefault="00484537">
            <w:pPr>
              <w:jc w:val="center"/>
            </w:pPr>
            <w:r>
              <w:rPr>
                <w:kern w:val="0"/>
                <w:sz w:val="24"/>
              </w:rPr>
              <w:t>199925</w:t>
            </w:r>
          </w:p>
        </w:tc>
        <w:tc>
          <w:tcPr>
            <w:tcW w:w="1494" w:type="dxa"/>
            <w:vAlign w:val="center"/>
          </w:tcPr>
          <w:p w:rsidR="00A65D54" w:rsidRDefault="00484537">
            <w:pPr>
              <w:jc w:val="center"/>
            </w:pPr>
            <w:r>
              <w:rPr>
                <w:kern w:val="0"/>
                <w:sz w:val="24"/>
              </w:rPr>
              <w:t>19</w:t>
            </w:r>
            <w:r>
              <w:rPr>
                <w:kern w:val="0"/>
                <w:sz w:val="24"/>
              </w:rPr>
              <w:t>贴现国债</w:t>
            </w:r>
            <w:r>
              <w:rPr>
                <w:kern w:val="0"/>
                <w:sz w:val="24"/>
              </w:rPr>
              <w:t>25</w:t>
            </w:r>
          </w:p>
        </w:tc>
        <w:tc>
          <w:tcPr>
            <w:tcW w:w="1494" w:type="dxa"/>
            <w:vAlign w:val="center"/>
          </w:tcPr>
          <w:p w:rsidR="00A65D54" w:rsidRDefault="00484537">
            <w:pPr>
              <w:jc w:val="center"/>
            </w:pPr>
            <w:r>
              <w:rPr>
                <w:kern w:val="0"/>
                <w:sz w:val="24"/>
              </w:rPr>
              <w:t>2019-07-01</w:t>
            </w:r>
          </w:p>
        </w:tc>
        <w:tc>
          <w:tcPr>
            <w:tcW w:w="1255" w:type="dxa"/>
            <w:vAlign w:val="center"/>
          </w:tcPr>
          <w:p w:rsidR="00A65D54" w:rsidRPr="00960A18" w:rsidRDefault="00484537">
            <w:pPr>
              <w:jc w:val="right"/>
              <w:rPr>
                <w:kern w:val="0"/>
                <w:sz w:val="24"/>
              </w:rPr>
            </w:pPr>
            <w:r>
              <w:rPr>
                <w:kern w:val="0"/>
                <w:sz w:val="24"/>
              </w:rPr>
              <w:t>99.49</w:t>
            </w:r>
          </w:p>
        </w:tc>
        <w:tc>
          <w:tcPr>
            <w:tcW w:w="1434" w:type="dxa"/>
            <w:vAlign w:val="center"/>
          </w:tcPr>
          <w:p w:rsidR="00A65D54" w:rsidRPr="00960A18" w:rsidRDefault="00484537">
            <w:pPr>
              <w:jc w:val="right"/>
              <w:rPr>
                <w:kern w:val="0"/>
                <w:sz w:val="24"/>
              </w:rPr>
            </w:pPr>
            <w:r>
              <w:rPr>
                <w:kern w:val="0"/>
                <w:sz w:val="24"/>
              </w:rPr>
              <w:t>500,000</w:t>
            </w:r>
          </w:p>
        </w:tc>
        <w:tc>
          <w:tcPr>
            <w:tcW w:w="1828" w:type="dxa"/>
            <w:vAlign w:val="center"/>
          </w:tcPr>
          <w:p w:rsidR="00A65D54" w:rsidRPr="00960A18" w:rsidRDefault="00960A18">
            <w:pPr>
              <w:jc w:val="right"/>
              <w:rPr>
                <w:kern w:val="0"/>
                <w:sz w:val="24"/>
              </w:rPr>
            </w:pPr>
            <w:r w:rsidRPr="00960A18">
              <w:rPr>
                <w:kern w:val="0"/>
                <w:sz w:val="24"/>
              </w:rPr>
              <w:t>49</w:t>
            </w:r>
            <w:r>
              <w:rPr>
                <w:kern w:val="0"/>
                <w:sz w:val="24"/>
              </w:rPr>
              <w:t>,</w:t>
            </w:r>
            <w:r w:rsidRPr="00960A18">
              <w:rPr>
                <w:kern w:val="0"/>
                <w:sz w:val="24"/>
              </w:rPr>
              <w:t>745</w:t>
            </w:r>
            <w:r>
              <w:rPr>
                <w:kern w:val="0"/>
                <w:sz w:val="24"/>
              </w:rPr>
              <w:t>,</w:t>
            </w:r>
            <w:r w:rsidRPr="00960A18">
              <w:rPr>
                <w:kern w:val="0"/>
                <w:sz w:val="24"/>
              </w:rPr>
              <w:t>703.68</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960A18">
            <w:pPr>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60A18" w:rsidRDefault="006D141C" w:rsidP="00960A18">
            <w:pPr>
              <w:jc w:val="right"/>
              <w:rPr>
                <w:kern w:val="0"/>
                <w:sz w:val="24"/>
              </w:rPr>
            </w:pPr>
            <w:r w:rsidRPr="00960A18">
              <w:rPr>
                <w:kern w:val="0"/>
                <w:sz w:val="24"/>
              </w:rPr>
              <w:t>3,065,000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960A18" w:rsidRDefault="00960A18" w:rsidP="00960A18">
            <w:pPr>
              <w:widowControl/>
              <w:jc w:val="right"/>
              <w:rPr>
                <w:kern w:val="0"/>
                <w:sz w:val="24"/>
              </w:rPr>
            </w:pPr>
            <w:r w:rsidRPr="00960A18">
              <w:rPr>
                <w:rFonts w:hint="eastAsia"/>
                <w:kern w:val="0"/>
                <w:sz w:val="24"/>
              </w:rPr>
              <w:t>306,212,064.90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A65D54" w:rsidRDefault="00484537">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A65D54" w:rsidRDefault="00484537">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65D54" w:rsidRDefault="00484537">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A65D54" w:rsidRDefault="00484537">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65D54" w:rsidRDefault="00484537">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工商银行，协议存款存放在恒丰银行股份有限公司、天津银行股份有限公司和江苏江南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A65D54" w:rsidRDefault="00484537">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40,000,133.37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50,001,182.82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769,673,245.99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539,968,741.42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809,673,379.36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589,969,924.24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30,000,000.00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50,000,000.00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30,000,000.00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50,000,000.00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1,646,765,490.56</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2,017,074,962.42</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1,646,765,490.56</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2,017,074,962.42</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30,009,645.64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70,050,385.59</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30,009,645.64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70,050,385.59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A65D54" w:rsidRDefault="00484537">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65D54" w:rsidRDefault="00484537">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A65D54" w:rsidRDefault="00484537">
      <w:pPr>
        <w:spacing w:before="29" w:line="288" w:lineRule="auto"/>
        <w:ind w:firstLine="42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299,069,650.46</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A65D54" w:rsidRDefault="004845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A65D54" w:rsidRDefault="004845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A65D54" w:rsidRDefault="004845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A65D54" w:rsidRDefault="0048453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A65D54" w:rsidRDefault="0048453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A65D54">
        <w:tc>
          <w:tcPr>
            <w:tcW w:w="1666" w:type="dxa"/>
            <w:gridSpan w:val="2"/>
            <w:vAlign w:val="center"/>
          </w:tcPr>
          <w:p w:rsidR="00A65D54" w:rsidRDefault="00484537">
            <w:pPr>
              <w:jc w:val="left"/>
            </w:pPr>
            <w:r>
              <w:rPr>
                <w:color w:val="000000"/>
                <w:sz w:val="18"/>
                <w:szCs w:val="18"/>
              </w:rPr>
              <w:t>银行存款</w:t>
            </w:r>
          </w:p>
        </w:tc>
        <w:tc>
          <w:tcPr>
            <w:tcW w:w="1265" w:type="dxa"/>
            <w:gridSpan w:val="2"/>
            <w:vAlign w:val="center"/>
          </w:tcPr>
          <w:p w:rsidR="00A65D54" w:rsidRDefault="00484537">
            <w:pPr>
              <w:jc w:val="left"/>
            </w:pPr>
            <w:r>
              <w:rPr>
                <w:color w:val="000000"/>
                <w:sz w:val="18"/>
                <w:szCs w:val="18"/>
              </w:rPr>
              <w:t>60,233,104.61</w:t>
            </w:r>
          </w:p>
        </w:tc>
        <w:tc>
          <w:tcPr>
            <w:tcW w:w="1134" w:type="dxa"/>
            <w:gridSpan w:val="3"/>
            <w:vAlign w:val="center"/>
          </w:tcPr>
          <w:p w:rsidR="00A65D54" w:rsidRDefault="00484537">
            <w:pPr>
              <w:jc w:val="left"/>
            </w:pPr>
            <w:r>
              <w:rPr>
                <w:color w:val="000000"/>
                <w:sz w:val="18"/>
                <w:szCs w:val="18"/>
              </w:rPr>
              <w:t>400,000,000.00</w:t>
            </w:r>
          </w:p>
        </w:tc>
        <w:tc>
          <w:tcPr>
            <w:tcW w:w="1142" w:type="dxa"/>
            <w:vAlign w:val="center"/>
          </w:tcPr>
          <w:p w:rsidR="00A65D54" w:rsidRDefault="00484537">
            <w:pPr>
              <w:jc w:val="left"/>
            </w:pPr>
            <w:r>
              <w:rPr>
                <w:color w:val="000000"/>
                <w:sz w:val="18"/>
                <w:szCs w:val="18"/>
              </w:rPr>
              <w:t>100,000,000.00</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center"/>
            </w:pPr>
            <w:r>
              <w:rPr>
                <w:color w:val="000000"/>
                <w:sz w:val="18"/>
                <w:szCs w:val="18"/>
              </w:rPr>
              <w:t>-</w:t>
            </w:r>
          </w:p>
        </w:tc>
        <w:tc>
          <w:tcPr>
            <w:tcW w:w="982" w:type="dxa"/>
            <w:vAlign w:val="center"/>
          </w:tcPr>
          <w:p w:rsidR="00A65D54" w:rsidRDefault="00484537">
            <w:pPr>
              <w:jc w:val="center"/>
            </w:pPr>
            <w:r>
              <w:rPr>
                <w:color w:val="000000"/>
                <w:sz w:val="18"/>
                <w:szCs w:val="18"/>
              </w:rPr>
              <w:t>-</w:t>
            </w:r>
          </w:p>
        </w:tc>
        <w:tc>
          <w:tcPr>
            <w:tcW w:w="1036" w:type="dxa"/>
            <w:gridSpan w:val="2"/>
            <w:vAlign w:val="center"/>
          </w:tcPr>
          <w:p w:rsidR="00A65D54" w:rsidRDefault="00484537">
            <w:pPr>
              <w:jc w:val="center"/>
            </w:pPr>
            <w:r>
              <w:rPr>
                <w:color w:val="000000"/>
                <w:sz w:val="18"/>
                <w:szCs w:val="18"/>
              </w:rPr>
              <w:t>560,233,104.61</w:t>
            </w:r>
          </w:p>
        </w:tc>
      </w:tr>
      <w:tr w:rsidR="00A65D54">
        <w:tc>
          <w:tcPr>
            <w:tcW w:w="1666" w:type="dxa"/>
            <w:gridSpan w:val="2"/>
            <w:vAlign w:val="center"/>
          </w:tcPr>
          <w:p w:rsidR="00A65D54" w:rsidRDefault="00484537">
            <w:pPr>
              <w:jc w:val="left"/>
            </w:pPr>
            <w:r>
              <w:rPr>
                <w:color w:val="000000"/>
                <w:sz w:val="18"/>
                <w:szCs w:val="18"/>
              </w:rPr>
              <w:t>交易性金融资产</w:t>
            </w:r>
          </w:p>
        </w:tc>
        <w:tc>
          <w:tcPr>
            <w:tcW w:w="1265" w:type="dxa"/>
            <w:gridSpan w:val="2"/>
            <w:vAlign w:val="center"/>
          </w:tcPr>
          <w:p w:rsidR="00A65D54" w:rsidRDefault="00484537">
            <w:pPr>
              <w:jc w:val="left"/>
            </w:pPr>
            <w:r>
              <w:rPr>
                <w:color w:val="000000"/>
                <w:sz w:val="18"/>
                <w:szCs w:val="18"/>
              </w:rPr>
              <w:t>179,752,561.60</w:t>
            </w:r>
          </w:p>
        </w:tc>
        <w:tc>
          <w:tcPr>
            <w:tcW w:w="1134" w:type="dxa"/>
            <w:gridSpan w:val="3"/>
            <w:vAlign w:val="center"/>
          </w:tcPr>
          <w:p w:rsidR="00A65D54" w:rsidRDefault="00484537">
            <w:pPr>
              <w:jc w:val="left"/>
            </w:pPr>
            <w:r>
              <w:rPr>
                <w:color w:val="000000"/>
                <w:sz w:val="18"/>
                <w:szCs w:val="18"/>
              </w:rPr>
              <w:t>2,032,162,180.78</w:t>
            </w:r>
          </w:p>
        </w:tc>
        <w:tc>
          <w:tcPr>
            <w:tcW w:w="1142" w:type="dxa"/>
            <w:vAlign w:val="center"/>
          </w:tcPr>
          <w:p w:rsidR="00A65D54" w:rsidRDefault="00484537">
            <w:pPr>
              <w:jc w:val="left"/>
            </w:pPr>
            <w:r>
              <w:rPr>
                <w:color w:val="000000"/>
                <w:sz w:val="18"/>
                <w:szCs w:val="18"/>
              </w:rPr>
              <w:t>304,533,773.18</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center"/>
            </w:pPr>
            <w:r>
              <w:rPr>
                <w:color w:val="000000"/>
                <w:sz w:val="18"/>
                <w:szCs w:val="18"/>
              </w:rPr>
              <w:t>-</w:t>
            </w:r>
          </w:p>
        </w:tc>
        <w:tc>
          <w:tcPr>
            <w:tcW w:w="982" w:type="dxa"/>
            <w:vAlign w:val="center"/>
          </w:tcPr>
          <w:p w:rsidR="00A65D54" w:rsidRDefault="00484537">
            <w:pPr>
              <w:jc w:val="center"/>
            </w:pPr>
            <w:r>
              <w:rPr>
                <w:color w:val="000000"/>
                <w:sz w:val="18"/>
                <w:szCs w:val="18"/>
              </w:rPr>
              <w:t>-</w:t>
            </w:r>
          </w:p>
        </w:tc>
        <w:tc>
          <w:tcPr>
            <w:tcW w:w="1036" w:type="dxa"/>
            <w:gridSpan w:val="2"/>
            <w:vAlign w:val="center"/>
          </w:tcPr>
          <w:p w:rsidR="00A65D54" w:rsidRDefault="00484537">
            <w:pPr>
              <w:jc w:val="center"/>
            </w:pPr>
            <w:r>
              <w:rPr>
                <w:color w:val="000000"/>
                <w:sz w:val="18"/>
                <w:szCs w:val="18"/>
              </w:rPr>
              <w:t>2,516,448,515.56</w:t>
            </w:r>
          </w:p>
        </w:tc>
      </w:tr>
      <w:tr w:rsidR="00A65D54">
        <w:tc>
          <w:tcPr>
            <w:tcW w:w="1666" w:type="dxa"/>
            <w:gridSpan w:val="2"/>
            <w:vAlign w:val="center"/>
          </w:tcPr>
          <w:p w:rsidR="00A65D54" w:rsidRDefault="00484537">
            <w:pPr>
              <w:jc w:val="left"/>
            </w:pPr>
            <w:r>
              <w:rPr>
                <w:color w:val="000000"/>
                <w:sz w:val="18"/>
                <w:szCs w:val="18"/>
              </w:rPr>
              <w:t>买入返售金融资产</w:t>
            </w:r>
          </w:p>
        </w:tc>
        <w:tc>
          <w:tcPr>
            <w:tcW w:w="1265" w:type="dxa"/>
            <w:gridSpan w:val="2"/>
            <w:vAlign w:val="center"/>
          </w:tcPr>
          <w:p w:rsidR="00A65D54" w:rsidRDefault="00484537">
            <w:pPr>
              <w:jc w:val="left"/>
            </w:pPr>
            <w:r>
              <w:rPr>
                <w:color w:val="000000"/>
                <w:sz w:val="18"/>
                <w:szCs w:val="18"/>
              </w:rPr>
              <w:t>1,812,835,119.24</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center"/>
            </w:pPr>
            <w:r>
              <w:rPr>
                <w:color w:val="000000"/>
                <w:sz w:val="18"/>
                <w:szCs w:val="18"/>
              </w:rPr>
              <w:t>-</w:t>
            </w:r>
          </w:p>
        </w:tc>
        <w:tc>
          <w:tcPr>
            <w:tcW w:w="982" w:type="dxa"/>
            <w:vAlign w:val="center"/>
          </w:tcPr>
          <w:p w:rsidR="00A65D54" w:rsidRDefault="00484537">
            <w:pPr>
              <w:jc w:val="center"/>
            </w:pPr>
            <w:r>
              <w:rPr>
                <w:color w:val="000000"/>
                <w:sz w:val="18"/>
                <w:szCs w:val="18"/>
              </w:rPr>
              <w:t>-</w:t>
            </w:r>
          </w:p>
        </w:tc>
        <w:tc>
          <w:tcPr>
            <w:tcW w:w="1036" w:type="dxa"/>
            <w:gridSpan w:val="2"/>
            <w:vAlign w:val="center"/>
          </w:tcPr>
          <w:p w:rsidR="00A65D54" w:rsidRDefault="00484537">
            <w:pPr>
              <w:jc w:val="center"/>
            </w:pPr>
            <w:r>
              <w:rPr>
                <w:color w:val="000000"/>
                <w:sz w:val="18"/>
                <w:szCs w:val="18"/>
              </w:rPr>
              <w:t>1,812,835,119.24</w:t>
            </w:r>
          </w:p>
        </w:tc>
      </w:tr>
      <w:tr w:rsidR="00A65D54">
        <w:tc>
          <w:tcPr>
            <w:tcW w:w="1666" w:type="dxa"/>
            <w:gridSpan w:val="2"/>
            <w:vAlign w:val="center"/>
          </w:tcPr>
          <w:p w:rsidR="00A65D54" w:rsidRDefault="00484537">
            <w:pPr>
              <w:jc w:val="left"/>
            </w:pPr>
            <w:r>
              <w:rPr>
                <w:color w:val="000000"/>
                <w:sz w:val="18"/>
                <w:szCs w:val="18"/>
              </w:rPr>
              <w:t>应收利息</w:t>
            </w:r>
          </w:p>
        </w:tc>
        <w:tc>
          <w:tcPr>
            <w:tcW w:w="1265" w:type="dxa"/>
            <w:gridSpan w:val="2"/>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center"/>
            </w:pPr>
            <w:r>
              <w:rPr>
                <w:color w:val="000000"/>
                <w:sz w:val="18"/>
                <w:szCs w:val="18"/>
              </w:rPr>
              <w:t>-</w:t>
            </w:r>
          </w:p>
        </w:tc>
        <w:tc>
          <w:tcPr>
            <w:tcW w:w="982" w:type="dxa"/>
            <w:vAlign w:val="center"/>
          </w:tcPr>
          <w:p w:rsidR="00A65D54" w:rsidRDefault="00484537">
            <w:pPr>
              <w:jc w:val="center"/>
            </w:pPr>
            <w:r>
              <w:rPr>
                <w:color w:val="000000"/>
                <w:sz w:val="18"/>
                <w:szCs w:val="18"/>
              </w:rPr>
              <w:t>10,181,196.78</w:t>
            </w:r>
          </w:p>
        </w:tc>
        <w:tc>
          <w:tcPr>
            <w:tcW w:w="1036" w:type="dxa"/>
            <w:gridSpan w:val="2"/>
            <w:vAlign w:val="center"/>
          </w:tcPr>
          <w:p w:rsidR="00A65D54" w:rsidRDefault="00484537">
            <w:pPr>
              <w:jc w:val="center"/>
            </w:pPr>
            <w:r>
              <w:rPr>
                <w:color w:val="000000"/>
                <w:sz w:val="18"/>
                <w:szCs w:val="18"/>
              </w:rPr>
              <w:t>10,181,196.78</w:t>
            </w:r>
          </w:p>
        </w:tc>
      </w:tr>
      <w:tr w:rsidR="00A65D54">
        <w:tc>
          <w:tcPr>
            <w:tcW w:w="1666" w:type="dxa"/>
            <w:gridSpan w:val="2"/>
            <w:vAlign w:val="center"/>
          </w:tcPr>
          <w:p w:rsidR="00A65D54" w:rsidRDefault="00484537">
            <w:pPr>
              <w:jc w:val="left"/>
            </w:pPr>
            <w:r>
              <w:rPr>
                <w:color w:val="000000"/>
                <w:sz w:val="18"/>
                <w:szCs w:val="18"/>
              </w:rPr>
              <w:t>其他资产</w:t>
            </w:r>
          </w:p>
        </w:tc>
        <w:tc>
          <w:tcPr>
            <w:tcW w:w="1265" w:type="dxa"/>
            <w:gridSpan w:val="2"/>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center"/>
            </w:pPr>
            <w:r>
              <w:rPr>
                <w:color w:val="000000"/>
                <w:sz w:val="18"/>
                <w:szCs w:val="18"/>
              </w:rPr>
              <w:t>-</w:t>
            </w:r>
          </w:p>
        </w:tc>
        <w:tc>
          <w:tcPr>
            <w:tcW w:w="982" w:type="dxa"/>
            <w:vAlign w:val="center"/>
          </w:tcPr>
          <w:p w:rsidR="00A65D54" w:rsidRDefault="00484537">
            <w:pPr>
              <w:jc w:val="center"/>
            </w:pPr>
            <w:r>
              <w:rPr>
                <w:color w:val="000000"/>
                <w:sz w:val="18"/>
                <w:szCs w:val="18"/>
              </w:rPr>
              <w:t>125.00</w:t>
            </w:r>
          </w:p>
        </w:tc>
        <w:tc>
          <w:tcPr>
            <w:tcW w:w="1036" w:type="dxa"/>
            <w:gridSpan w:val="2"/>
            <w:vAlign w:val="center"/>
          </w:tcPr>
          <w:p w:rsidR="00A65D54" w:rsidRDefault="00484537">
            <w:pPr>
              <w:jc w:val="center"/>
            </w:pPr>
            <w:r>
              <w:rPr>
                <w:color w:val="000000"/>
                <w:sz w:val="18"/>
                <w:szCs w:val="18"/>
              </w:rPr>
              <w:t>125.00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2,052,820,785.45</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2,432,162,180.78</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404,533,773.18</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10,181,321.78</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4,899,698,061.19</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A65D54">
        <w:tc>
          <w:tcPr>
            <w:tcW w:w="1658" w:type="dxa"/>
            <w:vAlign w:val="center"/>
          </w:tcPr>
          <w:p w:rsidR="00A65D54" w:rsidRDefault="00484537">
            <w:pPr>
              <w:jc w:val="left"/>
            </w:pPr>
            <w:r>
              <w:rPr>
                <w:color w:val="000000"/>
                <w:sz w:val="18"/>
                <w:szCs w:val="18"/>
              </w:rPr>
              <w:t>卖出回购金融资产款</w:t>
            </w:r>
          </w:p>
        </w:tc>
        <w:tc>
          <w:tcPr>
            <w:tcW w:w="1273" w:type="dxa"/>
            <w:gridSpan w:val="3"/>
            <w:vAlign w:val="center"/>
          </w:tcPr>
          <w:p w:rsidR="00A65D54" w:rsidRDefault="00484537">
            <w:pPr>
              <w:jc w:val="left"/>
            </w:pPr>
            <w:r>
              <w:rPr>
                <w:color w:val="000000"/>
                <w:sz w:val="18"/>
                <w:szCs w:val="18"/>
              </w:rPr>
              <w:t>299,069,650.46</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w:t>
            </w:r>
          </w:p>
        </w:tc>
        <w:tc>
          <w:tcPr>
            <w:tcW w:w="1036" w:type="dxa"/>
            <w:gridSpan w:val="2"/>
            <w:vAlign w:val="center"/>
          </w:tcPr>
          <w:p w:rsidR="00A65D54" w:rsidRDefault="00484537">
            <w:pPr>
              <w:jc w:val="left"/>
            </w:pPr>
            <w:r>
              <w:rPr>
                <w:color w:val="000000"/>
                <w:sz w:val="18"/>
                <w:szCs w:val="18"/>
              </w:rPr>
              <w:t>299,069,650.46</w:t>
            </w:r>
          </w:p>
        </w:tc>
      </w:tr>
      <w:tr w:rsidR="00A65D54">
        <w:tc>
          <w:tcPr>
            <w:tcW w:w="1658" w:type="dxa"/>
            <w:vAlign w:val="center"/>
          </w:tcPr>
          <w:p w:rsidR="00A65D54" w:rsidRDefault="00484537">
            <w:pPr>
              <w:jc w:val="left"/>
            </w:pPr>
            <w:r>
              <w:rPr>
                <w:color w:val="000000"/>
                <w:sz w:val="18"/>
                <w:szCs w:val="18"/>
              </w:rPr>
              <w:t>应付管理人报酬</w:t>
            </w:r>
          </w:p>
        </w:tc>
        <w:tc>
          <w:tcPr>
            <w:tcW w:w="1273" w:type="dxa"/>
            <w:gridSpan w:val="3"/>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573,493.64</w:t>
            </w:r>
          </w:p>
        </w:tc>
        <w:tc>
          <w:tcPr>
            <w:tcW w:w="1036" w:type="dxa"/>
            <w:gridSpan w:val="2"/>
            <w:vAlign w:val="center"/>
          </w:tcPr>
          <w:p w:rsidR="00A65D54" w:rsidRDefault="00484537">
            <w:pPr>
              <w:jc w:val="left"/>
            </w:pPr>
            <w:r>
              <w:rPr>
                <w:color w:val="000000"/>
                <w:sz w:val="18"/>
                <w:szCs w:val="18"/>
              </w:rPr>
              <w:t>573,493.64</w:t>
            </w:r>
          </w:p>
        </w:tc>
      </w:tr>
      <w:tr w:rsidR="00A65D54">
        <w:tc>
          <w:tcPr>
            <w:tcW w:w="1658" w:type="dxa"/>
            <w:vAlign w:val="center"/>
          </w:tcPr>
          <w:p w:rsidR="00A65D54" w:rsidRDefault="00484537">
            <w:pPr>
              <w:jc w:val="left"/>
            </w:pPr>
            <w:r>
              <w:rPr>
                <w:color w:val="000000"/>
                <w:sz w:val="18"/>
                <w:szCs w:val="18"/>
              </w:rPr>
              <w:t>应付托管费</w:t>
            </w:r>
          </w:p>
        </w:tc>
        <w:tc>
          <w:tcPr>
            <w:tcW w:w="1273" w:type="dxa"/>
            <w:gridSpan w:val="3"/>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191,164.55</w:t>
            </w:r>
          </w:p>
        </w:tc>
        <w:tc>
          <w:tcPr>
            <w:tcW w:w="1036" w:type="dxa"/>
            <w:gridSpan w:val="2"/>
            <w:vAlign w:val="center"/>
          </w:tcPr>
          <w:p w:rsidR="00A65D54" w:rsidRDefault="00484537">
            <w:pPr>
              <w:jc w:val="left"/>
            </w:pPr>
            <w:r>
              <w:rPr>
                <w:color w:val="000000"/>
                <w:sz w:val="18"/>
                <w:szCs w:val="18"/>
              </w:rPr>
              <w:t>191,164.55</w:t>
            </w:r>
          </w:p>
        </w:tc>
      </w:tr>
      <w:tr w:rsidR="00A65D54">
        <w:tc>
          <w:tcPr>
            <w:tcW w:w="1658" w:type="dxa"/>
            <w:vAlign w:val="center"/>
          </w:tcPr>
          <w:p w:rsidR="00A65D54" w:rsidRDefault="00484537">
            <w:pPr>
              <w:jc w:val="left"/>
            </w:pPr>
            <w:r>
              <w:rPr>
                <w:color w:val="000000"/>
                <w:sz w:val="18"/>
                <w:szCs w:val="18"/>
              </w:rPr>
              <w:t>应付销售服务费</w:t>
            </w:r>
          </w:p>
        </w:tc>
        <w:tc>
          <w:tcPr>
            <w:tcW w:w="1273" w:type="dxa"/>
            <w:gridSpan w:val="3"/>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42,895.89</w:t>
            </w:r>
          </w:p>
        </w:tc>
        <w:tc>
          <w:tcPr>
            <w:tcW w:w="1036" w:type="dxa"/>
            <w:gridSpan w:val="2"/>
            <w:vAlign w:val="center"/>
          </w:tcPr>
          <w:p w:rsidR="00A65D54" w:rsidRDefault="00484537">
            <w:pPr>
              <w:jc w:val="left"/>
            </w:pPr>
            <w:r>
              <w:rPr>
                <w:color w:val="000000"/>
                <w:sz w:val="18"/>
                <w:szCs w:val="18"/>
              </w:rPr>
              <w:t>42,895.89</w:t>
            </w:r>
          </w:p>
        </w:tc>
      </w:tr>
      <w:tr w:rsidR="00A65D54">
        <w:tc>
          <w:tcPr>
            <w:tcW w:w="1658" w:type="dxa"/>
            <w:vAlign w:val="center"/>
          </w:tcPr>
          <w:p w:rsidR="00A65D54" w:rsidRDefault="00484537">
            <w:pPr>
              <w:jc w:val="left"/>
            </w:pPr>
            <w:r>
              <w:rPr>
                <w:color w:val="000000"/>
                <w:sz w:val="18"/>
                <w:szCs w:val="18"/>
              </w:rPr>
              <w:t>应付交易费用</w:t>
            </w:r>
          </w:p>
        </w:tc>
        <w:tc>
          <w:tcPr>
            <w:tcW w:w="1273" w:type="dxa"/>
            <w:gridSpan w:val="3"/>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96,302.08</w:t>
            </w:r>
          </w:p>
        </w:tc>
        <w:tc>
          <w:tcPr>
            <w:tcW w:w="1036" w:type="dxa"/>
            <w:gridSpan w:val="2"/>
            <w:vAlign w:val="center"/>
          </w:tcPr>
          <w:p w:rsidR="00A65D54" w:rsidRDefault="00484537">
            <w:pPr>
              <w:jc w:val="left"/>
            </w:pPr>
            <w:r>
              <w:rPr>
                <w:color w:val="000000"/>
                <w:sz w:val="18"/>
                <w:szCs w:val="18"/>
              </w:rPr>
              <w:t>96,302.08</w:t>
            </w:r>
          </w:p>
        </w:tc>
      </w:tr>
      <w:tr w:rsidR="00A65D54">
        <w:tc>
          <w:tcPr>
            <w:tcW w:w="1658" w:type="dxa"/>
            <w:vAlign w:val="center"/>
          </w:tcPr>
          <w:p w:rsidR="00A65D54" w:rsidRDefault="00484537">
            <w:pPr>
              <w:jc w:val="left"/>
            </w:pPr>
            <w:r>
              <w:rPr>
                <w:color w:val="000000"/>
                <w:sz w:val="18"/>
                <w:szCs w:val="18"/>
              </w:rPr>
              <w:t>应交税费</w:t>
            </w:r>
          </w:p>
        </w:tc>
        <w:tc>
          <w:tcPr>
            <w:tcW w:w="1273" w:type="dxa"/>
            <w:gridSpan w:val="3"/>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123,316.10</w:t>
            </w:r>
          </w:p>
        </w:tc>
        <w:tc>
          <w:tcPr>
            <w:tcW w:w="1036" w:type="dxa"/>
            <w:gridSpan w:val="2"/>
            <w:vAlign w:val="center"/>
          </w:tcPr>
          <w:p w:rsidR="00A65D54" w:rsidRDefault="00484537">
            <w:pPr>
              <w:jc w:val="left"/>
            </w:pPr>
            <w:r>
              <w:rPr>
                <w:color w:val="000000"/>
                <w:sz w:val="18"/>
                <w:szCs w:val="18"/>
              </w:rPr>
              <w:t>123,316.10</w:t>
            </w:r>
          </w:p>
        </w:tc>
      </w:tr>
      <w:tr w:rsidR="00A65D54">
        <w:tc>
          <w:tcPr>
            <w:tcW w:w="1658" w:type="dxa"/>
            <w:vAlign w:val="center"/>
          </w:tcPr>
          <w:p w:rsidR="00A65D54" w:rsidRDefault="00484537">
            <w:pPr>
              <w:jc w:val="left"/>
            </w:pPr>
            <w:r>
              <w:rPr>
                <w:color w:val="000000"/>
                <w:sz w:val="18"/>
                <w:szCs w:val="18"/>
              </w:rPr>
              <w:t>应付利息</w:t>
            </w:r>
          </w:p>
        </w:tc>
        <w:tc>
          <w:tcPr>
            <w:tcW w:w="1273" w:type="dxa"/>
            <w:gridSpan w:val="3"/>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35,992.13</w:t>
            </w:r>
          </w:p>
        </w:tc>
        <w:tc>
          <w:tcPr>
            <w:tcW w:w="1036" w:type="dxa"/>
            <w:gridSpan w:val="2"/>
            <w:vAlign w:val="center"/>
          </w:tcPr>
          <w:p w:rsidR="00A65D54" w:rsidRDefault="00484537">
            <w:pPr>
              <w:jc w:val="left"/>
            </w:pPr>
            <w:r>
              <w:rPr>
                <w:color w:val="000000"/>
                <w:sz w:val="18"/>
                <w:szCs w:val="18"/>
              </w:rPr>
              <w:t>35,992.13</w:t>
            </w:r>
          </w:p>
        </w:tc>
      </w:tr>
      <w:tr w:rsidR="00A65D54">
        <w:tc>
          <w:tcPr>
            <w:tcW w:w="1658" w:type="dxa"/>
            <w:vAlign w:val="center"/>
          </w:tcPr>
          <w:p w:rsidR="00A65D54" w:rsidRDefault="00484537">
            <w:pPr>
              <w:jc w:val="left"/>
            </w:pPr>
            <w:r>
              <w:rPr>
                <w:color w:val="000000"/>
                <w:sz w:val="18"/>
                <w:szCs w:val="18"/>
              </w:rPr>
              <w:t>应付利润</w:t>
            </w:r>
          </w:p>
        </w:tc>
        <w:tc>
          <w:tcPr>
            <w:tcW w:w="1273" w:type="dxa"/>
            <w:gridSpan w:val="3"/>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337,458.59</w:t>
            </w:r>
          </w:p>
        </w:tc>
        <w:tc>
          <w:tcPr>
            <w:tcW w:w="1036" w:type="dxa"/>
            <w:gridSpan w:val="2"/>
            <w:vAlign w:val="center"/>
          </w:tcPr>
          <w:p w:rsidR="00A65D54" w:rsidRDefault="00484537">
            <w:pPr>
              <w:jc w:val="left"/>
            </w:pPr>
            <w:r>
              <w:rPr>
                <w:color w:val="000000"/>
                <w:sz w:val="18"/>
                <w:szCs w:val="18"/>
              </w:rPr>
              <w:t>337,458.59</w:t>
            </w:r>
          </w:p>
        </w:tc>
      </w:tr>
      <w:tr w:rsidR="00A65D54">
        <w:tc>
          <w:tcPr>
            <w:tcW w:w="1658" w:type="dxa"/>
            <w:vAlign w:val="center"/>
          </w:tcPr>
          <w:p w:rsidR="00A65D54" w:rsidRDefault="00484537">
            <w:pPr>
              <w:jc w:val="left"/>
            </w:pPr>
            <w:r>
              <w:rPr>
                <w:color w:val="000000"/>
                <w:sz w:val="18"/>
                <w:szCs w:val="18"/>
              </w:rPr>
              <w:t>其他负债</w:t>
            </w:r>
          </w:p>
        </w:tc>
        <w:tc>
          <w:tcPr>
            <w:tcW w:w="1273" w:type="dxa"/>
            <w:gridSpan w:val="3"/>
            <w:vAlign w:val="center"/>
          </w:tcPr>
          <w:p w:rsidR="00A65D54" w:rsidRDefault="00484537">
            <w:pPr>
              <w:jc w:val="left"/>
            </w:pPr>
            <w:r>
              <w:rPr>
                <w:color w:val="000000"/>
                <w:sz w:val="18"/>
                <w:szCs w:val="18"/>
              </w:rPr>
              <w:t>-</w:t>
            </w:r>
          </w:p>
        </w:tc>
        <w:tc>
          <w:tcPr>
            <w:tcW w:w="1134" w:type="dxa"/>
            <w:gridSpan w:val="3"/>
            <w:vAlign w:val="center"/>
          </w:tcPr>
          <w:p w:rsidR="00A65D54" w:rsidRDefault="00484537">
            <w:pPr>
              <w:jc w:val="left"/>
            </w:pPr>
            <w:r>
              <w:rPr>
                <w:color w:val="000000"/>
                <w:sz w:val="18"/>
                <w:szCs w:val="18"/>
              </w:rPr>
              <w:t>-</w:t>
            </w:r>
          </w:p>
        </w:tc>
        <w:tc>
          <w:tcPr>
            <w:tcW w:w="1142" w:type="dxa"/>
            <w:vAlign w:val="center"/>
          </w:tcPr>
          <w:p w:rsidR="00A65D54" w:rsidRDefault="00484537">
            <w:pPr>
              <w:jc w:val="left"/>
            </w:pPr>
            <w:r>
              <w:rPr>
                <w:color w:val="000000"/>
                <w:sz w:val="18"/>
                <w:szCs w:val="18"/>
              </w:rPr>
              <w:t>-</w:t>
            </w:r>
          </w:p>
        </w:tc>
        <w:tc>
          <w:tcPr>
            <w:tcW w:w="855"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82" w:type="dxa"/>
            <w:vAlign w:val="center"/>
          </w:tcPr>
          <w:p w:rsidR="00A65D54" w:rsidRDefault="00484537">
            <w:pPr>
              <w:jc w:val="left"/>
            </w:pPr>
            <w:r>
              <w:rPr>
                <w:color w:val="000000"/>
                <w:sz w:val="18"/>
                <w:szCs w:val="18"/>
              </w:rPr>
              <w:t>130,442.52</w:t>
            </w:r>
          </w:p>
        </w:tc>
        <w:tc>
          <w:tcPr>
            <w:tcW w:w="1036" w:type="dxa"/>
            <w:gridSpan w:val="2"/>
            <w:vAlign w:val="center"/>
          </w:tcPr>
          <w:p w:rsidR="00A65D54" w:rsidRDefault="00484537">
            <w:pPr>
              <w:jc w:val="left"/>
            </w:pPr>
            <w:r>
              <w:rPr>
                <w:color w:val="000000"/>
                <w:sz w:val="18"/>
                <w:szCs w:val="18"/>
              </w:rPr>
              <w:t>130,442.52</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299,069,650.46</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1,531,065.50</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300,600,715.96</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1,753,751,134.99</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2,432,162,180.78</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404,533,773.18</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8,650,256.28</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4,599,097,345.23</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A65D54">
        <w:tc>
          <w:tcPr>
            <w:tcW w:w="1670" w:type="dxa"/>
            <w:gridSpan w:val="3"/>
            <w:vAlign w:val="center"/>
          </w:tcPr>
          <w:p w:rsidR="00A65D54" w:rsidRDefault="00484537">
            <w:pPr>
              <w:jc w:val="left"/>
            </w:pPr>
            <w:r>
              <w:rPr>
                <w:color w:val="000000"/>
                <w:sz w:val="18"/>
                <w:szCs w:val="18"/>
              </w:rPr>
              <w:t>银行存款</w:t>
            </w:r>
          </w:p>
        </w:tc>
        <w:tc>
          <w:tcPr>
            <w:tcW w:w="1273" w:type="dxa"/>
            <w:gridSpan w:val="2"/>
            <w:vAlign w:val="center"/>
          </w:tcPr>
          <w:p w:rsidR="00A65D54" w:rsidRDefault="00484537">
            <w:pPr>
              <w:jc w:val="left"/>
            </w:pPr>
            <w:r>
              <w:rPr>
                <w:color w:val="000000"/>
                <w:sz w:val="18"/>
                <w:szCs w:val="18"/>
              </w:rPr>
              <w:t>594,845.83</w:t>
            </w:r>
          </w:p>
        </w:tc>
        <w:tc>
          <w:tcPr>
            <w:tcW w:w="1105" w:type="dxa"/>
            <w:vAlign w:val="center"/>
          </w:tcPr>
          <w:p w:rsidR="00A65D54" w:rsidRDefault="00484537">
            <w:pPr>
              <w:jc w:val="left"/>
            </w:pPr>
            <w:r>
              <w:rPr>
                <w:color w:val="000000"/>
                <w:sz w:val="18"/>
                <w:szCs w:val="18"/>
              </w:rPr>
              <w:t>1,610,000,000.00</w:t>
            </w:r>
          </w:p>
        </w:tc>
        <w:tc>
          <w:tcPr>
            <w:tcW w:w="1163"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left"/>
            </w:pPr>
            <w:r>
              <w:rPr>
                <w:color w:val="000000"/>
                <w:sz w:val="18"/>
                <w:szCs w:val="18"/>
              </w:rPr>
              <w:t>-</w:t>
            </w:r>
          </w:p>
        </w:tc>
        <w:tc>
          <w:tcPr>
            <w:tcW w:w="1026" w:type="dxa"/>
            <w:vAlign w:val="center"/>
          </w:tcPr>
          <w:p w:rsidR="00A65D54" w:rsidRDefault="00484537">
            <w:pPr>
              <w:jc w:val="left"/>
            </w:pPr>
            <w:r>
              <w:rPr>
                <w:color w:val="000000"/>
                <w:sz w:val="18"/>
                <w:szCs w:val="18"/>
              </w:rPr>
              <w:t>1,610,594,845.83</w:t>
            </w:r>
          </w:p>
        </w:tc>
      </w:tr>
      <w:tr w:rsidR="00A65D54">
        <w:tc>
          <w:tcPr>
            <w:tcW w:w="1670" w:type="dxa"/>
            <w:gridSpan w:val="3"/>
            <w:vAlign w:val="center"/>
          </w:tcPr>
          <w:p w:rsidR="00A65D54" w:rsidRDefault="00484537">
            <w:pPr>
              <w:jc w:val="left"/>
            </w:pPr>
            <w:r>
              <w:rPr>
                <w:color w:val="000000"/>
                <w:sz w:val="18"/>
                <w:szCs w:val="18"/>
              </w:rPr>
              <w:t>结算备付金</w:t>
            </w:r>
          </w:p>
        </w:tc>
        <w:tc>
          <w:tcPr>
            <w:tcW w:w="1273" w:type="dxa"/>
            <w:gridSpan w:val="2"/>
            <w:vAlign w:val="center"/>
          </w:tcPr>
          <w:p w:rsidR="00A65D54" w:rsidRDefault="00484537">
            <w:pPr>
              <w:jc w:val="left"/>
            </w:pPr>
            <w:r>
              <w:rPr>
                <w:color w:val="000000"/>
                <w:sz w:val="18"/>
                <w:szCs w:val="18"/>
              </w:rPr>
              <w:t>90,909.09</w:t>
            </w:r>
          </w:p>
        </w:tc>
        <w:tc>
          <w:tcPr>
            <w:tcW w:w="1105" w:type="dxa"/>
            <w:vAlign w:val="center"/>
          </w:tcPr>
          <w:p w:rsidR="00A65D54" w:rsidRDefault="00484537">
            <w:pPr>
              <w:jc w:val="left"/>
            </w:pPr>
            <w:r>
              <w:rPr>
                <w:color w:val="000000"/>
                <w:sz w:val="18"/>
                <w:szCs w:val="18"/>
              </w:rPr>
              <w:t>-</w:t>
            </w:r>
          </w:p>
        </w:tc>
        <w:tc>
          <w:tcPr>
            <w:tcW w:w="1163"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left"/>
            </w:pPr>
            <w:r>
              <w:rPr>
                <w:color w:val="000000"/>
                <w:sz w:val="18"/>
                <w:szCs w:val="18"/>
              </w:rPr>
              <w:t>-</w:t>
            </w:r>
          </w:p>
        </w:tc>
        <w:tc>
          <w:tcPr>
            <w:tcW w:w="1026" w:type="dxa"/>
            <w:vAlign w:val="center"/>
          </w:tcPr>
          <w:p w:rsidR="00A65D54" w:rsidRDefault="00484537">
            <w:pPr>
              <w:jc w:val="left"/>
            </w:pPr>
            <w:r>
              <w:rPr>
                <w:color w:val="000000"/>
                <w:sz w:val="18"/>
                <w:szCs w:val="18"/>
              </w:rPr>
              <w:t>90,909.09</w:t>
            </w:r>
          </w:p>
        </w:tc>
      </w:tr>
      <w:tr w:rsidR="00A65D54">
        <w:tc>
          <w:tcPr>
            <w:tcW w:w="1670" w:type="dxa"/>
            <w:gridSpan w:val="3"/>
            <w:vAlign w:val="center"/>
          </w:tcPr>
          <w:p w:rsidR="00A65D54" w:rsidRDefault="00484537">
            <w:pPr>
              <w:jc w:val="left"/>
            </w:pPr>
            <w:r>
              <w:rPr>
                <w:color w:val="000000"/>
                <w:sz w:val="18"/>
                <w:szCs w:val="18"/>
              </w:rPr>
              <w:t>交易性金融资产</w:t>
            </w:r>
          </w:p>
        </w:tc>
        <w:tc>
          <w:tcPr>
            <w:tcW w:w="1273" w:type="dxa"/>
            <w:gridSpan w:val="2"/>
            <w:vAlign w:val="center"/>
          </w:tcPr>
          <w:p w:rsidR="00A65D54" w:rsidRDefault="00484537">
            <w:pPr>
              <w:jc w:val="left"/>
            </w:pPr>
            <w:r>
              <w:rPr>
                <w:color w:val="000000"/>
                <w:sz w:val="18"/>
                <w:szCs w:val="18"/>
              </w:rPr>
              <w:t>299,798,000.71</w:t>
            </w:r>
          </w:p>
        </w:tc>
        <w:tc>
          <w:tcPr>
            <w:tcW w:w="1105" w:type="dxa"/>
            <w:vAlign w:val="center"/>
          </w:tcPr>
          <w:p w:rsidR="00A65D54" w:rsidRDefault="00484537">
            <w:pPr>
              <w:jc w:val="left"/>
            </w:pPr>
            <w:r>
              <w:rPr>
                <w:color w:val="000000"/>
                <w:sz w:val="18"/>
                <w:szCs w:val="18"/>
              </w:rPr>
              <w:t>2,427,297,271.54</w:t>
            </w:r>
          </w:p>
        </w:tc>
        <w:tc>
          <w:tcPr>
            <w:tcW w:w="1163"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left"/>
            </w:pPr>
            <w:r>
              <w:rPr>
                <w:color w:val="000000"/>
                <w:sz w:val="18"/>
                <w:szCs w:val="18"/>
              </w:rPr>
              <w:t>-</w:t>
            </w:r>
          </w:p>
        </w:tc>
        <w:tc>
          <w:tcPr>
            <w:tcW w:w="1026" w:type="dxa"/>
            <w:vAlign w:val="center"/>
          </w:tcPr>
          <w:p w:rsidR="00A65D54" w:rsidRDefault="00484537">
            <w:pPr>
              <w:jc w:val="left"/>
            </w:pPr>
            <w:r>
              <w:rPr>
                <w:color w:val="000000"/>
                <w:sz w:val="18"/>
                <w:szCs w:val="18"/>
              </w:rPr>
              <w:t>2,727,095,272.25</w:t>
            </w:r>
          </w:p>
        </w:tc>
      </w:tr>
      <w:tr w:rsidR="00A65D54">
        <w:tc>
          <w:tcPr>
            <w:tcW w:w="1670" w:type="dxa"/>
            <w:gridSpan w:val="3"/>
            <w:vAlign w:val="center"/>
          </w:tcPr>
          <w:p w:rsidR="00A65D54" w:rsidRDefault="00484537">
            <w:pPr>
              <w:jc w:val="left"/>
            </w:pPr>
            <w:r>
              <w:rPr>
                <w:color w:val="000000"/>
                <w:sz w:val="18"/>
                <w:szCs w:val="18"/>
              </w:rPr>
              <w:t>买入返售金融资产</w:t>
            </w:r>
          </w:p>
        </w:tc>
        <w:tc>
          <w:tcPr>
            <w:tcW w:w="1273" w:type="dxa"/>
            <w:gridSpan w:val="2"/>
            <w:vAlign w:val="center"/>
          </w:tcPr>
          <w:p w:rsidR="00A65D54" w:rsidRDefault="00484537">
            <w:pPr>
              <w:jc w:val="left"/>
            </w:pPr>
            <w:r>
              <w:rPr>
                <w:color w:val="000000"/>
                <w:sz w:val="18"/>
                <w:szCs w:val="18"/>
              </w:rPr>
              <w:t>1,098,532,647.80</w:t>
            </w:r>
          </w:p>
        </w:tc>
        <w:tc>
          <w:tcPr>
            <w:tcW w:w="1105" w:type="dxa"/>
            <w:vAlign w:val="center"/>
          </w:tcPr>
          <w:p w:rsidR="00A65D54" w:rsidRDefault="00484537">
            <w:pPr>
              <w:jc w:val="left"/>
            </w:pPr>
            <w:r>
              <w:rPr>
                <w:color w:val="000000"/>
                <w:sz w:val="18"/>
                <w:szCs w:val="18"/>
              </w:rPr>
              <w:t>-</w:t>
            </w:r>
          </w:p>
        </w:tc>
        <w:tc>
          <w:tcPr>
            <w:tcW w:w="1163"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left"/>
            </w:pPr>
            <w:r>
              <w:rPr>
                <w:color w:val="000000"/>
                <w:sz w:val="18"/>
                <w:szCs w:val="18"/>
              </w:rPr>
              <w:t>-</w:t>
            </w:r>
          </w:p>
        </w:tc>
        <w:tc>
          <w:tcPr>
            <w:tcW w:w="1026" w:type="dxa"/>
            <w:vAlign w:val="center"/>
          </w:tcPr>
          <w:p w:rsidR="00A65D54" w:rsidRDefault="00484537">
            <w:pPr>
              <w:jc w:val="left"/>
            </w:pPr>
            <w:r>
              <w:rPr>
                <w:color w:val="000000"/>
                <w:sz w:val="18"/>
                <w:szCs w:val="18"/>
              </w:rPr>
              <w:t>1,098,532,647.80</w:t>
            </w:r>
          </w:p>
        </w:tc>
      </w:tr>
      <w:tr w:rsidR="00A65D54">
        <w:tc>
          <w:tcPr>
            <w:tcW w:w="1670" w:type="dxa"/>
            <w:gridSpan w:val="3"/>
            <w:vAlign w:val="center"/>
          </w:tcPr>
          <w:p w:rsidR="00A65D54" w:rsidRDefault="00484537">
            <w:pPr>
              <w:jc w:val="left"/>
            </w:pPr>
            <w:r>
              <w:rPr>
                <w:color w:val="000000"/>
                <w:sz w:val="18"/>
                <w:szCs w:val="18"/>
              </w:rPr>
              <w:t>应收利息</w:t>
            </w:r>
          </w:p>
        </w:tc>
        <w:tc>
          <w:tcPr>
            <w:tcW w:w="1273" w:type="dxa"/>
            <w:gridSpan w:val="2"/>
            <w:vAlign w:val="center"/>
          </w:tcPr>
          <w:p w:rsidR="00A65D54" w:rsidRDefault="00484537">
            <w:pPr>
              <w:jc w:val="left"/>
            </w:pPr>
            <w:r>
              <w:rPr>
                <w:color w:val="000000"/>
                <w:sz w:val="18"/>
                <w:szCs w:val="18"/>
              </w:rPr>
              <w:t>-</w:t>
            </w:r>
          </w:p>
        </w:tc>
        <w:tc>
          <w:tcPr>
            <w:tcW w:w="1105" w:type="dxa"/>
            <w:vAlign w:val="center"/>
          </w:tcPr>
          <w:p w:rsidR="00A65D54" w:rsidRDefault="00484537">
            <w:pPr>
              <w:jc w:val="left"/>
            </w:pPr>
            <w:r>
              <w:rPr>
                <w:color w:val="000000"/>
                <w:sz w:val="18"/>
                <w:szCs w:val="18"/>
              </w:rPr>
              <w:t>-</w:t>
            </w:r>
          </w:p>
        </w:tc>
        <w:tc>
          <w:tcPr>
            <w:tcW w:w="1163"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left"/>
            </w:pPr>
            <w:r>
              <w:rPr>
                <w:color w:val="000000"/>
                <w:sz w:val="18"/>
                <w:szCs w:val="18"/>
              </w:rPr>
              <w:t>12,086,965.74</w:t>
            </w:r>
          </w:p>
        </w:tc>
        <w:tc>
          <w:tcPr>
            <w:tcW w:w="1026" w:type="dxa"/>
            <w:vAlign w:val="center"/>
          </w:tcPr>
          <w:p w:rsidR="00A65D54" w:rsidRDefault="00484537">
            <w:pPr>
              <w:jc w:val="left"/>
            </w:pPr>
            <w:r>
              <w:rPr>
                <w:color w:val="000000"/>
                <w:sz w:val="18"/>
                <w:szCs w:val="18"/>
              </w:rPr>
              <w:t>12,086,965.74</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1,399,016,403.43</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4,037,297,271.54</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12,086,965.74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5,448,400,640.71</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A65D54">
        <w:tc>
          <w:tcPr>
            <w:tcW w:w="1672" w:type="dxa"/>
            <w:gridSpan w:val="3"/>
            <w:vAlign w:val="center"/>
          </w:tcPr>
          <w:p w:rsidR="00A65D54" w:rsidRDefault="00484537">
            <w:pPr>
              <w:jc w:val="left"/>
            </w:pPr>
            <w:r>
              <w:rPr>
                <w:color w:val="000000"/>
                <w:sz w:val="18"/>
                <w:szCs w:val="18"/>
              </w:rPr>
              <w:t>卖出回购金融资产款</w:t>
            </w:r>
          </w:p>
        </w:tc>
        <w:tc>
          <w:tcPr>
            <w:tcW w:w="1271" w:type="dxa"/>
            <w:gridSpan w:val="2"/>
            <w:vAlign w:val="center"/>
          </w:tcPr>
          <w:p w:rsidR="00A65D54" w:rsidRDefault="00484537">
            <w:pPr>
              <w:jc w:val="left"/>
            </w:pPr>
            <w:r>
              <w:rPr>
                <w:color w:val="000000"/>
                <w:sz w:val="18"/>
                <w:szCs w:val="18"/>
              </w:rPr>
              <w:t>611,135,323.30</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w:t>
            </w:r>
          </w:p>
        </w:tc>
        <w:tc>
          <w:tcPr>
            <w:tcW w:w="1026" w:type="dxa"/>
            <w:vAlign w:val="center"/>
          </w:tcPr>
          <w:p w:rsidR="00A65D54" w:rsidRDefault="00484537">
            <w:pPr>
              <w:jc w:val="left"/>
            </w:pPr>
            <w:r>
              <w:rPr>
                <w:color w:val="000000"/>
                <w:sz w:val="18"/>
                <w:szCs w:val="18"/>
              </w:rPr>
              <w:t>611,135,323.30</w:t>
            </w:r>
          </w:p>
        </w:tc>
      </w:tr>
      <w:tr w:rsidR="00A65D54">
        <w:tc>
          <w:tcPr>
            <w:tcW w:w="1672" w:type="dxa"/>
            <w:gridSpan w:val="3"/>
            <w:vAlign w:val="center"/>
          </w:tcPr>
          <w:p w:rsidR="00A65D54" w:rsidRDefault="00484537">
            <w:pPr>
              <w:jc w:val="left"/>
            </w:pPr>
            <w:r>
              <w:rPr>
                <w:color w:val="000000"/>
                <w:sz w:val="18"/>
                <w:szCs w:val="18"/>
              </w:rPr>
              <w:t>应付管理人报酬</w:t>
            </w:r>
          </w:p>
        </w:tc>
        <w:tc>
          <w:tcPr>
            <w:tcW w:w="1271" w:type="dxa"/>
            <w:gridSpan w:val="2"/>
            <w:vAlign w:val="center"/>
          </w:tcPr>
          <w:p w:rsidR="00A65D54" w:rsidRDefault="00484537">
            <w:pPr>
              <w:jc w:val="left"/>
            </w:pPr>
            <w:r>
              <w:rPr>
                <w:color w:val="000000"/>
                <w:sz w:val="18"/>
                <w:szCs w:val="18"/>
              </w:rPr>
              <w:t>-</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828,657.58</w:t>
            </w:r>
          </w:p>
        </w:tc>
        <w:tc>
          <w:tcPr>
            <w:tcW w:w="1026" w:type="dxa"/>
            <w:vAlign w:val="center"/>
          </w:tcPr>
          <w:p w:rsidR="00A65D54" w:rsidRDefault="00484537">
            <w:pPr>
              <w:jc w:val="left"/>
            </w:pPr>
            <w:r>
              <w:rPr>
                <w:color w:val="000000"/>
                <w:sz w:val="18"/>
                <w:szCs w:val="18"/>
              </w:rPr>
              <w:t>828,657.58</w:t>
            </w:r>
          </w:p>
        </w:tc>
      </w:tr>
      <w:tr w:rsidR="00A65D54">
        <w:tc>
          <w:tcPr>
            <w:tcW w:w="1672" w:type="dxa"/>
            <w:gridSpan w:val="3"/>
            <w:vAlign w:val="center"/>
          </w:tcPr>
          <w:p w:rsidR="00A65D54" w:rsidRDefault="00484537">
            <w:pPr>
              <w:jc w:val="left"/>
            </w:pPr>
            <w:r>
              <w:rPr>
                <w:color w:val="000000"/>
                <w:sz w:val="18"/>
                <w:szCs w:val="18"/>
              </w:rPr>
              <w:t>应付托管费</w:t>
            </w:r>
          </w:p>
        </w:tc>
        <w:tc>
          <w:tcPr>
            <w:tcW w:w="1271" w:type="dxa"/>
            <w:gridSpan w:val="2"/>
            <w:vAlign w:val="center"/>
          </w:tcPr>
          <w:p w:rsidR="00A65D54" w:rsidRDefault="00484537">
            <w:pPr>
              <w:jc w:val="left"/>
            </w:pPr>
            <w:r>
              <w:rPr>
                <w:color w:val="000000"/>
                <w:sz w:val="18"/>
                <w:szCs w:val="18"/>
              </w:rPr>
              <w:t>-</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276,219.19</w:t>
            </w:r>
          </w:p>
        </w:tc>
        <w:tc>
          <w:tcPr>
            <w:tcW w:w="1026" w:type="dxa"/>
            <w:vAlign w:val="center"/>
          </w:tcPr>
          <w:p w:rsidR="00A65D54" w:rsidRDefault="00484537">
            <w:pPr>
              <w:jc w:val="left"/>
            </w:pPr>
            <w:r>
              <w:rPr>
                <w:color w:val="000000"/>
                <w:sz w:val="18"/>
                <w:szCs w:val="18"/>
              </w:rPr>
              <w:t>276,219.19</w:t>
            </w:r>
          </w:p>
        </w:tc>
      </w:tr>
      <w:tr w:rsidR="00A65D54">
        <w:tc>
          <w:tcPr>
            <w:tcW w:w="1672" w:type="dxa"/>
            <w:gridSpan w:val="3"/>
            <w:vAlign w:val="center"/>
          </w:tcPr>
          <w:p w:rsidR="00A65D54" w:rsidRDefault="00484537">
            <w:pPr>
              <w:jc w:val="left"/>
            </w:pPr>
            <w:r>
              <w:rPr>
                <w:color w:val="000000"/>
                <w:sz w:val="18"/>
                <w:szCs w:val="18"/>
              </w:rPr>
              <w:t>应付销售服务费</w:t>
            </w:r>
          </w:p>
        </w:tc>
        <w:tc>
          <w:tcPr>
            <w:tcW w:w="1271" w:type="dxa"/>
            <w:gridSpan w:val="2"/>
            <w:vAlign w:val="center"/>
          </w:tcPr>
          <w:p w:rsidR="00A65D54" w:rsidRDefault="00484537">
            <w:pPr>
              <w:jc w:val="left"/>
            </w:pPr>
            <w:r>
              <w:rPr>
                <w:color w:val="000000"/>
                <w:sz w:val="18"/>
                <w:szCs w:val="18"/>
              </w:rPr>
              <w:t>-</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65,206.23</w:t>
            </w:r>
          </w:p>
        </w:tc>
        <w:tc>
          <w:tcPr>
            <w:tcW w:w="1026" w:type="dxa"/>
            <w:vAlign w:val="center"/>
          </w:tcPr>
          <w:p w:rsidR="00A65D54" w:rsidRDefault="00484537">
            <w:pPr>
              <w:jc w:val="left"/>
            </w:pPr>
            <w:r>
              <w:rPr>
                <w:color w:val="000000"/>
                <w:sz w:val="18"/>
                <w:szCs w:val="18"/>
              </w:rPr>
              <w:t>65,206.23</w:t>
            </w:r>
          </w:p>
        </w:tc>
      </w:tr>
      <w:tr w:rsidR="00A65D54">
        <w:tc>
          <w:tcPr>
            <w:tcW w:w="1672" w:type="dxa"/>
            <w:gridSpan w:val="3"/>
            <w:vAlign w:val="center"/>
          </w:tcPr>
          <w:p w:rsidR="00A65D54" w:rsidRDefault="00484537">
            <w:pPr>
              <w:jc w:val="left"/>
            </w:pPr>
            <w:r>
              <w:rPr>
                <w:color w:val="000000"/>
                <w:sz w:val="18"/>
                <w:szCs w:val="18"/>
              </w:rPr>
              <w:t>应付交易费用</w:t>
            </w:r>
          </w:p>
        </w:tc>
        <w:tc>
          <w:tcPr>
            <w:tcW w:w="1271" w:type="dxa"/>
            <w:gridSpan w:val="2"/>
            <w:vAlign w:val="center"/>
          </w:tcPr>
          <w:p w:rsidR="00A65D54" w:rsidRDefault="00484537">
            <w:pPr>
              <w:jc w:val="left"/>
            </w:pPr>
            <w:r>
              <w:rPr>
                <w:color w:val="000000"/>
                <w:sz w:val="18"/>
                <w:szCs w:val="18"/>
              </w:rPr>
              <w:t>-</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89,520.43</w:t>
            </w:r>
          </w:p>
        </w:tc>
        <w:tc>
          <w:tcPr>
            <w:tcW w:w="1026" w:type="dxa"/>
            <w:vAlign w:val="center"/>
          </w:tcPr>
          <w:p w:rsidR="00A65D54" w:rsidRDefault="00484537">
            <w:pPr>
              <w:jc w:val="left"/>
            </w:pPr>
            <w:r>
              <w:rPr>
                <w:color w:val="000000"/>
                <w:sz w:val="18"/>
                <w:szCs w:val="18"/>
              </w:rPr>
              <w:t>89,520.43</w:t>
            </w:r>
          </w:p>
        </w:tc>
      </w:tr>
      <w:tr w:rsidR="00A65D54">
        <w:tc>
          <w:tcPr>
            <w:tcW w:w="1672" w:type="dxa"/>
            <w:gridSpan w:val="3"/>
            <w:vAlign w:val="center"/>
          </w:tcPr>
          <w:p w:rsidR="00A65D54" w:rsidRDefault="00484537">
            <w:pPr>
              <w:jc w:val="left"/>
            </w:pPr>
            <w:r>
              <w:rPr>
                <w:color w:val="000000"/>
                <w:sz w:val="18"/>
                <w:szCs w:val="18"/>
              </w:rPr>
              <w:t>应交税费</w:t>
            </w:r>
          </w:p>
        </w:tc>
        <w:tc>
          <w:tcPr>
            <w:tcW w:w="1271" w:type="dxa"/>
            <w:gridSpan w:val="2"/>
            <w:vAlign w:val="center"/>
          </w:tcPr>
          <w:p w:rsidR="00A65D54" w:rsidRDefault="00484537">
            <w:pPr>
              <w:jc w:val="left"/>
            </w:pPr>
            <w:r>
              <w:rPr>
                <w:color w:val="000000"/>
                <w:sz w:val="18"/>
                <w:szCs w:val="18"/>
              </w:rPr>
              <w:t>-</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267,032.35</w:t>
            </w:r>
          </w:p>
        </w:tc>
        <w:tc>
          <w:tcPr>
            <w:tcW w:w="1026" w:type="dxa"/>
            <w:vAlign w:val="center"/>
          </w:tcPr>
          <w:p w:rsidR="00A65D54" w:rsidRDefault="00484537">
            <w:pPr>
              <w:jc w:val="left"/>
            </w:pPr>
            <w:r>
              <w:rPr>
                <w:color w:val="000000"/>
                <w:sz w:val="18"/>
                <w:szCs w:val="18"/>
              </w:rPr>
              <w:t>267,032.35</w:t>
            </w:r>
          </w:p>
        </w:tc>
      </w:tr>
      <w:tr w:rsidR="00A65D54">
        <w:tc>
          <w:tcPr>
            <w:tcW w:w="1672" w:type="dxa"/>
            <w:gridSpan w:val="3"/>
            <w:vAlign w:val="center"/>
          </w:tcPr>
          <w:p w:rsidR="00A65D54" w:rsidRDefault="00484537">
            <w:pPr>
              <w:jc w:val="left"/>
            </w:pPr>
            <w:r>
              <w:rPr>
                <w:color w:val="000000"/>
                <w:sz w:val="18"/>
                <w:szCs w:val="18"/>
              </w:rPr>
              <w:t>应付利息</w:t>
            </w:r>
          </w:p>
        </w:tc>
        <w:tc>
          <w:tcPr>
            <w:tcW w:w="1271" w:type="dxa"/>
            <w:gridSpan w:val="2"/>
            <w:vAlign w:val="center"/>
          </w:tcPr>
          <w:p w:rsidR="00A65D54" w:rsidRDefault="00484537">
            <w:pPr>
              <w:jc w:val="left"/>
            </w:pPr>
            <w:r>
              <w:rPr>
                <w:color w:val="000000"/>
                <w:sz w:val="18"/>
                <w:szCs w:val="18"/>
              </w:rPr>
              <w:t>-</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393,996.99</w:t>
            </w:r>
          </w:p>
        </w:tc>
        <w:tc>
          <w:tcPr>
            <w:tcW w:w="1026" w:type="dxa"/>
            <w:vAlign w:val="center"/>
          </w:tcPr>
          <w:p w:rsidR="00A65D54" w:rsidRDefault="00484537">
            <w:pPr>
              <w:jc w:val="left"/>
            </w:pPr>
            <w:r>
              <w:rPr>
                <w:color w:val="000000"/>
                <w:sz w:val="18"/>
                <w:szCs w:val="18"/>
              </w:rPr>
              <w:t>393,996.99</w:t>
            </w:r>
          </w:p>
        </w:tc>
      </w:tr>
      <w:tr w:rsidR="00A65D54">
        <w:tc>
          <w:tcPr>
            <w:tcW w:w="1672" w:type="dxa"/>
            <w:gridSpan w:val="3"/>
            <w:vAlign w:val="center"/>
          </w:tcPr>
          <w:p w:rsidR="00A65D54" w:rsidRDefault="00484537">
            <w:pPr>
              <w:jc w:val="left"/>
            </w:pPr>
            <w:r>
              <w:rPr>
                <w:color w:val="000000"/>
                <w:sz w:val="18"/>
                <w:szCs w:val="18"/>
              </w:rPr>
              <w:t>应付利润</w:t>
            </w:r>
          </w:p>
        </w:tc>
        <w:tc>
          <w:tcPr>
            <w:tcW w:w="1271" w:type="dxa"/>
            <w:gridSpan w:val="2"/>
            <w:vAlign w:val="center"/>
          </w:tcPr>
          <w:p w:rsidR="00A65D54" w:rsidRDefault="00484537">
            <w:pPr>
              <w:jc w:val="left"/>
            </w:pPr>
            <w:r>
              <w:rPr>
                <w:color w:val="000000"/>
                <w:sz w:val="18"/>
                <w:szCs w:val="18"/>
              </w:rPr>
              <w:t>-</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505,853.11</w:t>
            </w:r>
          </w:p>
        </w:tc>
        <w:tc>
          <w:tcPr>
            <w:tcW w:w="1026" w:type="dxa"/>
            <w:vAlign w:val="center"/>
          </w:tcPr>
          <w:p w:rsidR="00A65D54" w:rsidRDefault="00484537">
            <w:pPr>
              <w:jc w:val="left"/>
            </w:pPr>
            <w:r>
              <w:rPr>
                <w:color w:val="000000"/>
                <w:sz w:val="18"/>
                <w:szCs w:val="18"/>
              </w:rPr>
              <w:t>505,853.11</w:t>
            </w:r>
          </w:p>
        </w:tc>
      </w:tr>
      <w:tr w:rsidR="00A65D54">
        <w:tc>
          <w:tcPr>
            <w:tcW w:w="1672" w:type="dxa"/>
            <w:gridSpan w:val="3"/>
            <w:vAlign w:val="center"/>
          </w:tcPr>
          <w:p w:rsidR="00A65D54" w:rsidRDefault="00484537">
            <w:pPr>
              <w:jc w:val="left"/>
            </w:pPr>
            <w:r>
              <w:rPr>
                <w:color w:val="000000"/>
                <w:sz w:val="18"/>
                <w:szCs w:val="18"/>
              </w:rPr>
              <w:t>其他负债</w:t>
            </w:r>
          </w:p>
        </w:tc>
        <w:tc>
          <w:tcPr>
            <w:tcW w:w="1271" w:type="dxa"/>
            <w:gridSpan w:val="2"/>
            <w:vAlign w:val="center"/>
          </w:tcPr>
          <w:p w:rsidR="00A65D54" w:rsidRDefault="00484537">
            <w:pPr>
              <w:jc w:val="left"/>
            </w:pPr>
            <w:r>
              <w:rPr>
                <w:color w:val="000000"/>
                <w:sz w:val="18"/>
                <w:szCs w:val="18"/>
              </w:rPr>
              <w:t>-</w:t>
            </w:r>
          </w:p>
        </w:tc>
        <w:tc>
          <w:tcPr>
            <w:tcW w:w="1104" w:type="dxa"/>
            <w:vAlign w:val="center"/>
          </w:tcPr>
          <w:p w:rsidR="00A65D54" w:rsidRDefault="00484537">
            <w:pPr>
              <w:jc w:val="left"/>
            </w:pPr>
            <w:r>
              <w:rPr>
                <w:color w:val="000000"/>
                <w:sz w:val="18"/>
                <w:szCs w:val="18"/>
              </w:rPr>
              <w:t>-</w:t>
            </w:r>
          </w:p>
        </w:tc>
        <w:tc>
          <w:tcPr>
            <w:tcW w:w="1164" w:type="dxa"/>
            <w:gridSpan w:val="2"/>
            <w:vAlign w:val="center"/>
          </w:tcPr>
          <w:p w:rsidR="00A65D54" w:rsidRDefault="00484537">
            <w:pPr>
              <w:jc w:val="left"/>
            </w:pPr>
            <w:r>
              <w:rPr>
                <w:color w:val="000000"/>
                <w:sz w:val="18"/>
                <w:szCs w:val="18"/>
              </w:rPr>
              <w:t>-</w:t>
            </w:r>
          </w:p>
        </w:tc>
        <w:tc>
          <w:tcPr>
            <w:tcW w:w="851" w:type="dxa"/>
            <w:vAlign w:val="center"/>
          </w:tcPr>
          <w:p w:rsidR="00A65D54" w:rsidRDefault="00484537">
            <w:pPr>
              <w:jc w:val="left"/>
            </w:pPr>
            <w:r>
              <w:rPr>
                <w:color w:val="000000"/>
                <w:sz w:val="18"/>
                <w:szCs w:val="18"/>
              </w:rPr>
              <w:t>-</w:t>
            </w:r>
          </w:p>
        </w:tc>
        <w:tc>
          <w:tcPr>
            <w:tcW w:w="992" w:type="dxa"/>
            <w:vAlign w:val="center"/>
          </w:tcPr>
          <w:p w:rsidR="00A65D54" w:rsidRDefault="00484537">
            <w:pPr>
              <w:jc w:val="left"/>
            </w:pPr>
            <w:r>
              <w:rPr>
                <w:color w:val="000000"/>
                <w:sz w:val="18"/>
                <w:szCs w:val="18"/>
              </w:rPr>
              <w:t>-</w:t>
            </w:r>
          </w:p>
        </w:tc>
        <w:tc>
          <w:tcPr>
            <w:tcW w:w="992" w:type="dxa"/>
            <w:gridSpan w:val="2"/>
            <w:vAlign w:val="center"/>
          </w:tcPr>
          <w:p w:rsidR="00A65D54" w:rsidRDefault="00484537">
            <w:pPr>
              <w:jc w:val="center"/>
            </w:pPr>
            <w:r>
              <w:rPr>
                <w:color w:val="000000"/>
                <w:sz w:val="18"/>
                <w:szCs w:val="18"/>
              </w:rPr>
              <w:t>229,300.00</w:t>
            </w:r>
          </w:p>
        </w:tc>
        <w:tc>
          <w:tcPr>
            <w:tcW w:w="1026" w:type="dxa"/>
            <w:vAlign w:val="center"/>
          </w:tcPr>
          <w:p w:rsidR="00A65D54" w:rsidRDefault="00484537">
            <w:pPr>
              <w:jc w:val="left"/>
            </w:pPr>
            <w:r>
              <w:rPr>
                <w:color w:val="000000"/>
                <w:sz w:val="18"/>
                <w:szCs w:val="18"/>
              </w:rPr>
              <w:t>229,300.00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611,135,323.30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2,655,785.88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613,791,109.18</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787,881,080.13</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4,037,297,271.54</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9,431,179.86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4,834,609,531.53</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A65D54">
        <w:tc>
          <w:tcPr>
            <w:tcW w:w="834" w:type="dxa"/>
            <w:vAlign w:val="center"/>
          </w:tcPr>
          <w:p w:rsidR="00A65D54" w:rsidRDefault="00484537">
            <w:pPr>
              <w:jc w:val="left"/>
            </w:pPr>
            <w:r>
              <w:rPr>
                <w:sz w:val="24"/>
              </w:rPr>
              <w:t>假设</w:t>
            </w:r>
          </w:p>
        </w:tc>
        <w:tc>
          <w:tcPr>
            <w:tcW w:w="8164" w:type="dxa"/>
            <w:gridSpan w:val="3"/>
            <w:vAlign w:val="center"/>
          </w:tcPr>
          <w:p w:rsidR="00A65D54" w:rsidRDefault="00484537">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A65D54">
        <w:tc>
          <w:tcPr>
            <w:tcW w:w="834" w:type="dxa"/>
            <w:vMerge/>
          </w:tcPr>
          <w:p w:rsidR="00A65D54" w:rsidRDefault="00A65D54"/>
        </w:tc>
        <w:tc>
          <w:tcPr>
            <w:tcW w:w="3277" w:type="dxa"/>
            <w:vAlign w:val="center"/>
          </w:tcPr>
          <w:p w:rsidR="00A65D54" w:rsidRDefault="00484537">
            <w:pPr>
              <w:jc w:val="left"/>
            </w:pPr>
            <w:r>
              <w:rPr>
                <w:sz w:val="24"/>
              </w:rPr>
              <w:t>市场利率下降</w:t>
            </w:r>
            <w:r>
              <w:rPr>
                <w:sz w:val="24"/>
              </w:rPr>
              <w:t>25</w:t>
            </w:r>
            <w:r>
              <w:rPr>
                <w:sz w:val="24"/>
              </w:rPr>
              <w:t>个基点</w:t>
            </w:r>
          </w:p>
        </w:tc>
        <w:tc>
          <w:tcPr>
            <w:tcW w:w="2268" w:type="dxa"/>
            <w:vAlign w:val="center"/>
          </w:tcPr>
          <w:p w:rsidR="00A65D54" w:rsidRDefault="00484537">
            <w:pPr>
              <w:jc w:val="right"/>
            </w:pPr>
            <w:r>
              <w:rPr>
                <w:sz w:val="24"/>
              </w:rPr>
              <w:t>增加约</w:t>
            </w:r>
            <w:r>
              <w:rPr>
                <w:sz w:val="24"/>
              </w:rPr>
              <w:t>150</w:t>
            </w:r>
          </w:p>
        </w:tc>
        <w:tc>
          <w:tcPr>
            <w:tcW w:w="2619" w:type="dxa"/>
            <w:vAlign w:val="center"/>
          </w:tcPr>
          <w:p w:rsidR="00A65D54" w:rsidRDefault="00484537">
            <w:pPr>
              <w:jc w:val="right"/>
            </w:pPr>
            <w:r>
              <w:rPr>
                <w:sz w:val="24"/>
              </w:rPr>
              <w:t>增加约</w:t>
            </w:r>
            <w:r>
              <w:rPr>
                <w:sz w:val="24"/>
              </w:rPr>
              <w:t>118</w:t>
            </w:r>
          </w:p>
        </w:tc>
      </w:tr>
      <w:tr w:rsidR="00A65D54">
        <w:tc>
          <w:tcPr>
            <w:tcW w:w="834" w:type="dxa"/>
            <w:vMerge/>
          </w:tcPr>
          <w:p w:rsidR="00A65D54" w:rsidRDefault="00A65D54"/>
        </w:tc>
        <w:tc>
          <w:tcPr>
            <w:tcW w:w="3277" w:type="dxa"/>
            <w:vAlign w:val="center"/>
          </w:tcPr>
          <w:p w:rsidR="00A65D54" w:rsidRDefault="00484537">
            <w:pPr>
              <w:jc w:val="left"/>
            </w:pPr>
            <w:r>
              <w:rPr>
                <w:sz w:val="24"/>
              </w:rPr>
              <w:t>市场利率上升</w:t>
            </w:r>
            <w:r>
              <w:rPr>
                <w:sz w:val="24"/>
              </w:rPr>
              <w:t>25</w:t>
            </w:r>
            <w:r>
              <w:rPr>
                <w:sz w:val="24"/>
              </w:rPr>
              <w:t>个基点</w:t>
            </w:r>
          </w:p>
        </w:tc>
        <w:tc>
          <w:tcPr>
            <w:tcW w:w="2268" w:type="dxa"/>
            <w:vAlign w:val="center"/>
          </w:tcPr>
          <w:p w:rsidR="00A65D54" w:rsidRDefault="00484537">
            <w:pPr>
              <w:jc w:val="right"/>
            </w:pPr>
            <w:r>
              <w:rPr>
                <w:sz w:val="24"/>
              </w:rPr>
              <w:t>减少约</w:t>
            </w:r>
            <w:r>
              <w:rPr>
                <w:sz w:val="24"/>
              </w:rPr>
              <w:t>150</w:t>
            </w:r>
          </w:p>
        </w:tc>
        <w:tc>
          <w:tcPr>
            <w:tcW w:w="2619" w:type="dxa"/>
            <w:vAlign w:val="center"/>
          </w:tcPr>
          <w:p w:rsidR="00A65D54" w:rsidRDefault="00484537">
            <w:pPr>
              <w:jc w:val="right"/>
            </w:pPr>
            <w:r>
              <w:rPr>
                <w:sz w:val="24"/>
              </w:rPr>
              <w:t>减少约</w:t>
            </w:r>
            <w:r>
              <w:rPr>
                <w:sz w:val="24"/>
              </w:rPr>
              <w:t>118</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374607350"/>
      <w:r w:rsidRPr="00356FA6">
        <w:rPr>
          <w:b/>
          <w:bCs/>
          <w:szCs w:val="24"/>
          <w:lang w:val="en-US"/>
        </w:rPr>
        <w:t>§</w:t>
      </w:r>
      <w:r w:rsidR="002620BD" w:rsidRPr="00356FA6">
        <w:rPr>
          <w:b/>
          <w:bCs/>
          <w:szCs w:val="24"/>
          <w:lang w:val="en-US"/>
        </w:rPr>
        <w:t>7</w:t>
      </w:r>
      <w:r w:rsidRPr="00356FA6">
        <w:rPr>
          <w:b/>
          <w:bCs/>
          <w:szCs w:val="24"/>
          <w:lang w:val="en-US"/>
        </w:rPr>
        <w:t>投资组合报告</w:t>
      </w:r>
      <w:bookmarkEnd w:id="40"/>
      <w:bookmarkEnd w:id="41"/>
      <w:bookmarkEnd w:id="42"/>
    </w:p>
    <w:p w:rsidR="006D141C" w:rsidRPr="00356FA6"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374607351"/>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3"/>
      <w:bookmarkEnd w:id="44"/>
      <w:bookmarkEnd w:id="45"/>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2,516,448,515.56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51.36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2,486,448,515.56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50.75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30,000,000.00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0.61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1,812,835,119.24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37.00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560,233,104.61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11.43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10,181,321.78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0.21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4,899,698,061.19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374607352"/>
      <w:r w:rsidRPr="00356FA6">
        <w:rPr>
          <w:rFonts w:ascii="Times New Roman" w:hAnsi="Times New Roman" w:cs="Times New Roman"/>
          <w:szCs w:val="24"/>
        </w:rPr>
        <w:t>7.2</w:t>
      </w:r>
      <w:bookmarkEnd w:id="46"/>
      <w:bookmarkEnd w:id="47"/>
      <w:r w:rsidR="00AF5FD2" w:rsidRPr="00356FA6">
        <w:rPr>
          <w:rFonts w:ascii="Times New Roman" w:hAnsi="Times New Roman" w:cs="Times New Roman"/>
          <w:szCs w:val="24"/>
        </w:rPr>
        <w:t>债券回购融资情况</w:t>
      </w:r>
      <w:bookmarkEnd w:id="4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8.28</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299,069,650.46</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6.50</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49" w:name="_Toc247957040"/>
      <w:bookmarkStart w:id="50"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49"/>
      <w:bookmarkEnd w:id="50"/>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1" w:name="_Toc275523745"/>
      <w:r w:rsidRPr="00356FA6">
        <w:rPr>
          <w:b/>
          <w:bCs/>
          <w:sz w:val="24"/>
        </w:rPr>
        <w:t>7.3</w:t>
      </w:r>
      <w:bookmarkEnd w:id="51"/>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56</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58</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13</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120</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44.64</w:t>
            </w:r>
          </w:p>
        </w:tc>
        <w:tc>
          <w:tcPr>
            <w:tcW w:w="2488" w:type="dxa"/>
            <w:vAlign w:val="center"/>
          </w:tcPr>
          <w:p w:rsidR="004339AD" w:rsidRPr="00356FA6" w:rsidRDefault="004339AD" w:rsidP="006C67B5">
            <w:pPr>
              <w:spacing w:before="29" w:line="288" w:lineRule="auto"/>
              <w:jc w:val="right"/>
              <w:rPr>
                <w:sz w:val="24"/>
              </w:rPr>
            </w:pPr>
            <w:r w:rsidRPr="00356FA6">
              <w:rPr>
                <w:sz w:val="24"/>
              </w:rPr>
              <w:t>6.50</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11.93</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36.60</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5.44</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7.71</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106.31</w:t>
            </w:r>
          </w:p>
        </w:tc>
        <w:tc>
          <w:tcPr>
            <w:tcW w:w="2488" w:type="dxa"/>
            <w:vAlign w:val="center"/>
          </w:tcPr>
          <w:p w:rsidR="00DD4AD9" w:rsidRPr="00356FA6" w:rsidRDefault="00DD4AD9" w:rsidP="006C67B5">
            <w:pPr>
              <w:spacing w:before="29" w:line="288" w:lineRule="auto"/>
              <w:jc w:val="right"/>
              <w:rPr>
                <w:sz w:val="24"/>
              </w:rPr>
            </w:pPr>
            <w:r w:rsidRPr="00356FA6">
              <w:rPr>
                <w:sz w:val="24"/>
              </w:rPr>
              <w:t>6.50</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2" w:name="_Toc331410106"/>
      <w:bookmarkStart w:id="53" w:name="_Toc234814104"/>
      <w:bookmarkStart w:id="54" w:name="_Toc374607353"/>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2"/>
      <w:bookmarkEnd w:id="53"/>
      <w:bookmarkEnd w:id="54"/>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149,404,392.07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3.25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200,230,708.93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4.35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200,230,708.93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4.35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490,047,924.00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10.66</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1,646,765,490.56</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35.81</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2,486,448,515.56</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54.06</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7"/>
      <w:bookmarkStart w:id="56" w:name="_Toc374607354"/>
      <w:r w:rsidRPr="00356FA6">
        <w:rPr>
          <w:rFonts w:ascii="Times New Roman" w:hAnsi="Times New Roman" w:cs="Times New Roman"/>
          <w:kern w:val="0"/>
          <w:szCs w:val="24"/>
        </w:rPr>
        <w:t>7.6</w:t>
      </w:r>
      <w:bookmarkEnd w:id="55"/>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6"/>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A65D54">
        <w:tc>
          <w:tcPr>
            <w:tcW w:w="761" w:type="dxa"/>
            <w:vAlign w:val="center"/>
          </w:tcPr>
          <w:p w:rsidR="00A65D54" w:rsidRDefault="00484537">
            <w:pPr>
              <w:jc w:val="center"/>
            </w:pPr>
            <w:r>
              <w:rPr>
                <w:sz w:val="24"/>
              </w:rPr>
              <w:t>1</w:t>
            </w:r>
          </w:p>
        </w:tc>
        <w:tc>
          <w:tcPr>
            <w:tcW w:w="1315" w:type="dxa"/>
            <w:vAlign w:val="center"/>
          </w:tcPr>
          <w:p w:rsidR="00A65D54" w:rsidRDefault="00484537">
            <w:pPr>
              <w:jc w:val="center"/>
            </w:pPr>
            <w:r>
              <w:rPr>
                <w:sz w:val="24"/>
              </w:rPr>
              <w:t>180312</w:t>
            </w:r>
          </w:p>
        </w:tc>
        <w:tc>
          <w:tcPr>
            <w:tcW w:w="1744" w:type="dxa"/>
            <w:vAlign w:val="center"/>
          </w:tcPr>
          <w:p w:rsidR="00A65D54" w:rsidRDefault="00484537">
            <w:pPr>
              <w:jc w:val="center"/>
            </w:pPr>
            <w:r>
              <w:rPr>
                <w:sz w:val="24"/>
              </w:rPr>
              <w:t>18</w:t>
            </w:r>
            <w:r>
              <w:rPr>
                <w:sz w:val="24"/>
              </w:rPr>
              <w:t>进出</w:t>
            </w:r>
            <w:r>
              <w:rPr>
                <w:sz w:val="24"/>
              </w:rPr>
              <w:t>12</w:t>
            </w:r>
          </w:p>
        </w:tc>
        <w:tc>
          <w:tcPr>
            <w:tcW w:w="1713" w:type="dxa"/>
            <w:vAlign w:val="center"/>
          </w:tcPr>
          <w:p w:rsidR="00A65D54" w:rsidRDefault="00484537">
            <w:pPr>
              <w:jc w:val="center"/>
            </w:pPr>
            <w:r>
              <w:rPr>
                <w:sz w:val="24"/>
              </w:rPr>
              <w:t>1,700,000</w:t>
            </w:r>
          </w:p>
        </w:tc>
        <w:tc>
          <w:tcPr>
            <w:tcW w:w="1960" w:type="dxa"/>
            <w:vAlign w:val="center"/>
          </w:tcPr>
          <w:p w:rsidR="00A65D54" w:rsidRDefault="00484537">
            <w:pPr>
              <w:jc w:val="center"/>
            </w:pPr>
            <w:r>
              <w:rPr>
                <w:sz w:val="24"/>
              </w:rPr>
              <w:t>170,221,063.29</w:t>
            </w:r>
          </w:p>
        </w:tc>
        <w:tc>
          <w:tcPr>
            <w:tcW w:w="1505" w:type="dxa"/>
            <w:vAlign w:val="center"/>
          </w:tcPr>
          <w:p w:rsidR="00A65D54" w:rsidRDefault="00484537">
            <w:pPr>
              <w:jc w:val="center"/>
            </w:pPr>
            <w:r>
              <w:rPr>
                <w:sz w:val="24"/>
              </w:rPr>
              <w:t>3.70</w:t>
            </w:r>
          </w:p>
        </w:tc>
      </w:tr>
      <w:tr w:rsidR="00A65D54">
        <w:tc>
          <w:tcPr>
            <w:tcW w:w="761" w:type="dxa"/>
            <w:vAlign w:val="center"/>
          </w:tcPr>
          <w:p w:rsidR="00A65D54" w:rsidRDefault="00484537">
            <w:pPr>
              <w:jc w:val="center"/>
            </w:pPr>
            <w:r>
              <w:rPr>
                <w:sz w:val="24"/>
              </w:rPr>
              <w:t>2</w:t>
            </w:r>
          </w:p>
        </w:tc>
        <w:tc>
          <w:tcPr>
            <w:tcW w:w="1315" w:type="dxa"/>
            <w:vAlign w:val="center"/>
          </w:tcPr>
          <w:p w:rsidR="00A65D54" w:rsidRDefault="00484537">
            <w:pPr>
              <w:jc w:val="center"/>
            </w:pPr>
            <w:r>
              <w:rPr>
                <w:sz w:val="24"/>
              </w:rPr>
              <w:t>011900694</w:t>
            </w:r>
          </w:p>
        </w:tc>
        <w:tc>
          <w:tcPr>
            <w:tcW w:w="1744" w:type="dxa"/>
            <w:vAlign w:val="center"/>
          </w:tcPr>
          <w:p w:rsidR="00A65D54" w:rsidRDefault="00484537">
            <w:pPr>
              <w:jc w:val="center"/>
            </w:pPr>
            <w:r>
              <w:rPr>
                <w:sz w:val="24"/>
              </w:rPr>
              <w:t>19</w:t>
            </w:r>
            <w:r>
              <w:rPr>
                <w:sz w:val="24"/>
              </w:rPr>
              <w:t>京国资</w:t>
            </w:r>
            <w:r>
              <w:rPr>
                <w:sz w:val="24"/>
              </w:rPr>
              <w:t>SCP002</w:t>
            </w:r>
          </w:p>
        </w:tc>
        <w:tc>
          <w:tcPr>
            <w:tcW w:w="1713" w:type="dxa"/>
            <w:vAlign w:val="center"/>
          </w:tcPr>
          <w:p w:rsidR="00A65D54" w:rsidRDefault="00484537">
            <w:pPr>
              <w:jc w:val="center"/>
            </w:pPr>
            <w:r>
              <w:rPr>
                <w:sz w:val="24"/>
              </w:rPr>
              <w:t>1,000,000</w:t>
            </w:r>
          </w:p>
        </w:tc>
        <w:tc>
          <w:tcPr>
            <w:tcW w:w="1960" w:type="dxa"/>
            <w:vAlign w:val="center"/>
          </w:tcPr>
          <w:p w:rsidR="00A65D54" w:rsidRDefault="00484537">
            <w:pPr>
              <w:jc w:val="center"/>
            </w:pPr>
            <w:r>
              <w:rPr>
                <w:sz w:val="24"/>
              </w:rPr>
              <w:t>99,997,524.47</w:t>
            </w:r>
          </w:p>
        </w:tc>
        <w:tc>
          <w:tcPr>
            <w:tcW w:w="1505" w:type="dxa"/>
            <w:vAlign w:val="center"/>
          </w:tcPr>
          <w:p w:rsidR="00A65D54" w:rsidRDefault="00484537">
            <w:pPr>
              <w:jc w:val="center"/>
            </w:pPr>
            <w:r>
              <w:rPr>
                <w:sz w:val="24"/>
              </w:rPr>
              <w:t>2.17</w:t>
            </w:r>
          </w:p>
        </w:tc>
      </w:tr>
      <w:tr w:rsidR="00A65D54">
        <w:tc>
          <w:tcPr>
            <w:tcW w:w="761" w:type="dxa"/>
            <w:vAlign w:val="center"/>
          </w:tcPr>
          <w:p w:rsidR="00A65D54" w:rsidRDefault="00484537">
            <w:pPr>
              <w:jc w:val="center"/>
            </w:pPr>
            <w:r>
              <w:rPr>
                <w:sz w:val="24"/>
              </w:rPr>
              <w:t>3</w:t>
            </w:r>
          </w:p>
        </w:tc>
        <w:tc>
          <w:tcPr>
            <w:tcW w:w="1315" w:type="dxa"/>
            <w:vAlign w:val="center"/>
          </w:tcPr>
          <w:p w:rsidR="00A65D54" w:rsidRDefault="00484537">
            <w:pPr>
              <w:jc w:val="center"/>
            </w:pPr>
            <w:r>
              <w:rPr>
                <w:sz w:val="24"/>
              </w:rPr>
              <w:t>011900764</w:t>
            </w:r>
          </w:p>
        </w:tc>
        <w:tc>
          <w:tcPr>
            <w:tcW w:w="1744" w:type="dxa"/>
            <w:vAlign w:val="center"/>
          </w:tcPr>
          <w:p w:rsidR="00A65D54" w:rsidRDefault="00484537">
            <w:pPr>
              <w:jc w:val="center"/>
            </w:pPr>
            <w:r>
              <w:rPr>
                <w:sz w:val="24"/>
              </w:rPr>
              <w:t>19</w:t>
            </w:r>
            <w:r>
              <w:rPr>
                <w:sz w:val="24"/>
              </w:rPr>
              <w:t>中电投</w:t>
            </w:r>
            <w:r>
              <w:rPr>
                <w:sz w:val="24"/>
              </w:rPr>
              <w:t>SCP011</w:t>
            </w:r>
          </w:p>
        </w:tc>
        <w:tc>
          <w:tcPr>
            <w:tcW w:w="1713" w:type="dxa"/>
            <w:vAlign w:val="center"/>
          </w:tcPr>
          <w:p w:rsidR="00A65D54" w:rsidRDefault="00484537">
            <w:pPr>
              <w:jc w:val="center"/>
            </w:pPr>
            <w:r>
              <w:rPr>
                <w:sz w:val="24"/>
              </w:rPr>
              <w:t>1,000,000</w:t>
            </w:r>
          </w:p>
        </w:tc>
        <w:tc>
          <w:tcPr>
            <w:tcW w:w="1960" w:type="dxa"/>
            <w:vAlign w:val="center"/>
          </w:tcPr>
          <w:p w:rsidR="00A65D54" w:rsidRDefault="00484537">
            <w:pPr>
              <w:jc w:val="center"/>
            </w:pPr>
            <w:r>
              <w:rPr>
                <w:sz w:val="24"/>
              </w:rPr>
              <w:t>99,962,222.81</w:t>
            </w:r>
          </w:p>
        </w:tc>
        <w:tc>
          <w:tcPr>
            <w:tcW w:w="1505" w:type="dxa"/>
            <w:vAlign w:val="center"/>
          </w:tcPr>
          <w:p w:rsidR="00A65D54" w:rsidRDefault="00484537">
            <w:pPr>
              <w:jc w:val="center"/>
            </w:pPr>
            <w:r>
              <w:rPr>
                <w:sz w:val="24"/>
              </w:rPr>
              <w:t>2.17</w:t>
            </w:r>
          </w:p>
        </w:tc>
      </w:tr>
      <w:tr w:rsidR="00A65D54">
        <w:tc>
          <w:tcPr>
            <w:tcW w:w="761" w:type="dxa"/>
            <w:vAlign w:val="center"/>
          </w:tcPr>
          <w:p w:rsidR="00A65D54" w:rsidRDefault="00484537">
            <w:pPr>
              <w:jc w:val="center"/>
            </w:pPr>
            <w:r>
              <w:rPr>
                <w:sz w:val="24"/>
              </w:rPr>
              <w:t>4</w:t>
            </w:r>
          </w:p>
        </w:tc>
        <w:tc>
          <w:tcPr>
            <w:tcW w:w="1315" w:type="dxa"/>
            <w:vAlign w:val="center"/>
          </w:tcPr>
          <w:p w:rsidR="00A65D54" w:rsidRDefault="00484537">
            <w:pPr>
              <w:jc w:val="center"/>
            </w:pPr>
            <w:r>
              <w:rPr>
                <w:sz w:val="24"/>
              </w:rPr>
              <w:t>011900396</w:t>
            </w:r>
          </w:p>
        </w:tc>
        <w:tc>
          <w:tcPr>
            <w:tcW w:w="1744" w:type="dxa"/>
            <w:vAlign w:val="center"/>
          </w:tcPr>
          <w:p w:rsidR="00A65D54" w:rsidRDefault="00484537">
            <w:pPr>
              <w:jc w:val="center"/>
            </w:pPr>
            <w:r>
              <w:rPr>
                <w:sz w:val="24"/>
              </w:rPr>
              <w:t>19</w:t>
            </w:r>
            <w:r>
              <w:rPr>
                <w:sz w:val="24"/>
              </w:rPr>
              <w:t>中电信</w:t>
            </w:r>
            <w:r>
              <w:rPr>
                <w:sz w:val="24"/>
              </w:rPr>
              <w:t>SCP003</w:t>
            </w:r>
          </w:p>
        </w:tc>
        <w:tc>
          <w:tcPr>
            <w:tcW w:w="1713" w:type="dxa"/>
            <w:vAlign w:val="center"/>
          </w:tcPr>
          <w:p w:rsidR="00A65D54" w:rsidRDefault="00484537">
            <w:pPr>
              <w:jc w:val="center"/>
            </w:pPr>
            <w:r>
              <w:rPr>
                <w:sz w:val="24"/>
              </w:rPr>
              <w:t>1,000,000</w:t>
            </w:r>
          </w:p>
        </w:tc>
        <w:tc>
          <w:tcPr>
            <w:tcW w:w="1960" w:type="dxa"/>
            <w:vAlign w:val="center"/>
          </w:tcPr>
          <w:p w:rsidR="00A65D54" w:rsidRDefault="00484537">
            <w:pPr>
              <w:jc w:val="center"/>
            </w:pPr>
            <w:r>
              <w:rPr>
                <w:sz w:val="24"/>
              </w:rPr>
              <w:t>99,947,893.33</w:t>
            </w:r>
          </w:p>
        </w:tc>
        <w:tc>
          <w:tcPr>
            <w:tcW w:w="1505" w:type="dxa"/>
            <w:vAlign w:val="center"/>
          </w:tcPr>
          <w:p w:rsidR="00A65D54" w:rsidRDefault="00484537">
            <w:pPr>
              <w:jc w:val="center"/>
            </w:pPr>
            <w:r>
              <w:rPr>
                <w:sz w:val="24"/>
              </w:rPr>
              <w:t>2.17</w:t>
            </w:r>
          </w:p>
        </w:tc>
      </w:tr>
      <w:tr w:rsidR="00A65D54">
        <w:tc>
          <w:tcPr>
            <w:tcW w:w="761" w:type="dxa"/>
            <w:vAlign w:val="center"/>
          </w:tcPr>
          <w:p w:rsidR="00A65D54" w:rsidRDefault="00484537">
            <w:pPr>
              <w:jc w:val="center"/>
            </w:pPr>
            <w:r>
              <w:rPr>
                <w:sz w:val="24"/>
              </w:rPr>
              <w:t>5</w:t>
            </w:r>
          </w:p>
        </w:tc>
        <w:tc>
          <w:tcPr>
            <w:tcW w:w="1315" w:type="dxa"/>
            <w:vAlign w:val="center"/>
          </w:tcPr>
          <w:p w:rsidR="00A65D54" w:rsidRDefault="00484537">
            <w:pPr>
              <w:jc w:val="center"/>
            </w:pPr>
            <w:r>
              <w:rPr>
                <w:sz w:val="24"/>
              </w:rPr>
              <w:t>111999660</w:t>
            </w:r>
          </w:p>
        </w:tc>
        <w:tc>
          <w:tcPr>
            <w:tcW w:w="1744" w:type="dxa"/>
            <w:vAlign w:val="center"/>
          </w:tcPr>
          <w:p w:rsidR="00A65D54" w:rsidRDefault="00484537">
            <w:pPr>
              <w:jc w:val="center"/>
            </w:pPr>
            <w:r>
              <w:rPr>
                <w:sz w:val="24"/>
              </w:rPr>
              <w:t>19</w:t>
            </w:r>
            <w:r>
              <w:rPr>
                <w:sz w:val="24"/>
              </w:rPr>
              <w:t>苏州银行</w:t>
            </w:r>
            <w:r>
              <w:rPr>
                <w:sz w:val="24"/>
              </w:rPr>
              <w:t>CD136</w:t>
            </w:r>
          </w:p>
        </w:tc>
        <w:tc>
          <w:tcPr>
            <w:tcW w:w="1713" w:type="dxa"/>
            <w:vAlign w:val="center"/>
          </w:tcPr>
          <w:p w:rsidR="00A65D54" w:rsidRDefault="00484537">
            <w:pPr>
              <w:jc w:val="center"/>
            </w:pPr>
            <w:r>
              <w:rPr>
                <w:sz w:val="24"/>
              </w:rPr>
              <w:t>1,000,000</w:t>
            </w:r>
          </w:p>
        </w:tc>
        <w:tc>
          <w:tcPr>
            <w:tcW w:w="1960" w:type="dxa"/>
            <w:vAlign w:val="center"/>
          </w:tcPr>
          <w:p w:rsidR="00A65D54" w:rsidRDefault="00484537">
            <w:pPr>
              <w:jc w:val="center"/>
            </w:pPr>
            <w:r>
              <w:rPr>
                <w:sz w:val="24"/>
              </w:rPr>
              <w:t>99,385,991.25</w:t>
            </w:r>
          </w:p>
        </w:tc>
        <w:tc>
          <w:tcPr>
            <w:tcW w:w="1505" w:type="dxa"/>
            <w:vAlign w:val="center"/>
          </w:tcPr>
          <w:p w:rsidR="00A65D54" w:rsidRDefault="00484537">
            <w:pPr>
              <w:jc w:val="center"/>
            </w:pPr>
            <w:r>
              <w:rPr>
                <w:sz w:val="24"/>
              </w:rPr>
              <w:t>2.16</w:t>
            </w:r>
          </w:p>
        </w:tc>
      </w:tr>
      <w:tr w:rsidR="00A65D54">
        <w:tc>
          <w:tcPr>
            <w:tcW w:w="761" w:type="dxa"/>
            <w:vAlign w:val="center"/>
          </w:tcPr>
          <w:p w:rsidR="00A65D54" w:rsidRDefault="00484537">
            <w:pPr>
              <w:jc w:val="center"/>
            </w:pPr>
            <w:r>
              <w:rPr>
                <w:sz w:val="24"/>
              </w:rPr>
              <w:t>6</w:t>
            </w:r>
          </w:p>
        </w:tc>
        <w:tc>
          <w:tcPr>
            <w:tcW w:w="1315" w:type="dxa"/>
            <w:vAlign w:val="center"/>
          </w:tcPr>
          <w:p w:rsidR="00A65D54" w:rsidRDefault="00484537">
            <w:pPr>
              <w:jc w:val="center"/>
            </w:pPr>
            <w:r>
              <w:rPr>
                <w:sz w:val="24"/>
              </w:rPr>
              <w:t>111884827</w:t>
            </w:r>
          </w:p>
        </w:tc>
        <w:tc>
          <w:tcPr>
            <w:tcW w:w="1744" w:type="dxa"/>
            <w:vAlign w:val="center"/>
          </w:tcPr>
          <w:p w:rsidR="00A65D54" w:rsidRDefault="00484537">
            <w:pPr>
              <w:jc w:val="center"/>
            </w:pPr>
            <w:r>
              <w:rPr>
                <w:sz w:val="24"/>
              </w:rPr>
              <w:t>18</w:t>
            </w:r>
            <w:r>
              <w:rPr>
                <w:sz w:val="24"/>
              </w:rPr>
              <w:t>中原银行</w:t>
            </w:r>
            <w:r>
              <w:rPr>
                <w:sz w:val="24"/>
              </w:rPr>
              <w:t>CD217</w:t>
            </w:r>
          </w:p>
        </w:tc>
        <w:tc>
          <w:tcPr>
            <w:tcW w:w="1713" w:type="dxa"/>
            <w:vAlign w:val="center"/>
          </w:tcPr>
          <w:p w:rsidR="00A65D54" w:rsidRDefault="00484537">
            <w:pPr>
              <w:jc w:val="center"/>
            </w:pPr>
            <w:r>
              <w:rPr>
                <w:sz w:val="24"/>
              </w:rPr>
              <w:t>1,000,000</w:t>
            </w:r>
          </w:p>
        </w:tc>
        <w:tc>
          <w:tcPr>
            <w:tcW w:w="1960" w:type="dxa"/>
            <w:vAlign w:val="center"/>
          </w:tcPr>
          <w:p w:rsidR="00A65D54" w:rsidRDefault="00484537">
            <w:pPr>
              <w:jc w:val="center"/>
            </w:pPr>
            <w:r>
              <w:rPr>
                <w:sz w:val="24"/>
              </w:rPr>
              <w:t>99,374,936.79</w:t>
            </w:r>
          </w:p>
        </w:tc>
        <w:tc>
          <w:tcPr>
            <w:tcW w:w="1505" w:type="dxa"/>
            <w:vAlign w:val="center"/>
          </w:tcPr>
          <w:p w:rsidR="00A65D54" w:rsidRDefault="00484537">
            <w:pPr>
              <w:jc w:val="center"/>
            </w:pPr>
            <w:r>
              <w:rPr>
                <w:sz w:val="24"/>
              </w:rPr>
              <w:t>2.16</w:t>
            </w:r>
          </w:p>
        </w:tc>
      </w:tr>
      <w:tr w:rsidR="00A65D54">
        <w:tc>
          <w:tcPr>
            <w:tcW w:w="761" w:type="dxa"/>
            <w:vAlign w:val="center"/>
          </w:tcPr>
          <w:p w:rsidR="00A65D54" w:rsidRDefault="00484537">
            <w:pPr>
              <w:jc w:val="center"/>
            </w:pPr>
            <w:r>
              <w:rPr>
                <w:sz w:val="24"/>
              </w:rPr>
              <w:t>7</w:t>
            </w:r>
          </w:p>
        </w:tc>
        <w:tc>
          <w:tcPr>
            <w:tcW w:w="1315" w:type="dxa"/>
            <w:vAlign w:val="center"/>
          </w:tcPr>
          <w:p w:rsidR="00A65D54" w:rsidRDefault="00484537">
            <w:pPr>
              <w:jc w:val="center"/>
            </w:pPr>
            <w:r>
              <w:rPr>
                <w:sz w:val="24"/>
              </w:rPr>
              <w:t>111981072</w:t>
            </w:r>
          </w:p>
        </w:tc>
        <w:tc>
          <w:tcPr>
            <w:tcW w:w="1744" w:type="dxa"/>
            <w:vAlign w:val="center"/>
          </w:tcPr>
          <w:p w:rsidR="00A65D54" w:rsidRDefault="00484537">
            <w:pPr>
              <w:jc w:val="center"/>
            </w:pPr>
            <w:r>
              <w:rPr>
                <w:sz w:val="24"/>
              </w:rPr>
              <w:t>19</w:t>
            </w:r>
            <w:r>
              <w:rPr>
                <w:sz w:val="24"/>
              </w:rPr>
              <w:t>广州农村商业银行</w:t>
            </w:r>
            <w:r>
              <w:rPr>
                <w:sz w:val="24"/>
              </w:rPr>
              <w:t>CD077</w:t>
            </w:r>
          </w:p>
        </w:tc>
        <w:tc>
          <w:tcPr>
            <w:tcW w:w="1713" w:type="dxa"/>
            <w:vAlign w:val="center"/>
          </w:tcPr>
          <w:p w:rsidR="00A65D54" w:rsidRDefault="00484537">
            <w:pPr>
              <w:jc w:val="center"/>
            </w:pPr>
            <w:r>
              <w:rPr>
                <w:sz w:val="24"/>
              </w:rPr>
              <w:t>1,000,000</w:t>
            </w:r>
          </w:p>
        </w:tc>
        <w:tc>
          <w:tcPr>
            <w:tcW w:w="1960" w:type="dxa"/>
            <w:vAlign w:val="center"/>
          </w:tcPr>
          <w:p w:rsidR="00A65D54" w:rsidRDefault="00484537">
            <w:pPr>
              <w:jc w:val="center"/>
            </w:pPr>
            <w:r>
              <w:rPr>
                <w:sz w:val="24"/>
              </w:rPr>
              <w:t>98,664,265.14</w:t>
            </w:r>
          </w:p>
        </w:tc>
        <w:tc>
          <w:tcPr>
            <w:tcW w:w="1505" w:type="dxa"/>
            <w:vAlign w:val="center"/>
          </w:tcPr>
          <w:p w:rsidR="00A65D54" w:rsidRDefault="00484537">
            <w:pPr>
              <w:jc w:val="center"/>
            </w:pPr>
            <w:r>
              <w:rPr>
                <w:sz w:val="24"/>
              </w:rPr>
              <w:t>2.15</w:t>
            </w:r>
          </w:p>
        </w:tc>
      </w:tr>
      <w:tr w:rsidR="00A65D54">
        <w:tc>
          <w:tcPr>
            <w:tcW w:w="761" w:type="dxa"/>
            <w:vAlign w:val="center"/>
          </w:tcPr>
          <w:p w:rsidR="00A65D54" w:rsidRDefault="00484537">
            <w:pPr>
              <w:jc w:val="center"/>
            </w:pPr>
            <w:r>
              <w:rPr>
                <w:sz w:val="24"/>
              </w:rPr>
              <w:t>8</w:t>
            </w:r>
          </w:p>
        </w:tc>
        <w:tc>
          <w:tcPr>
            <w:tcW w:w="1315" w:type="dxa"/>
            <w:vAlign w:val="center"/>
          </w:tcPr>
          <w:p w:rsidR="00A65D54" w:rsidRDefault="00484537">
            <w:pPr>
              <w:jc w:val="center"/>
            </w:pPr>
            <w:r>
              <w:rPr>
                <w:sz w:val="24"/>
              </w:rPr>
              <w:t>011900619</w:t>
            </w:r>
          </w:p>
        </w:tc>
        <w:tc>
          <w:tcPr>
            <w:tcW w:w="1744" w:type="dxa"/>
            <w:vAlign w:val="center"/>
          </w:tcPr>
          <w:p w:rsidR="00A65D54" w:rsidRDefault="00484537">
            <w:pPr>
              <w:jc w:val="center"/>
            </w:pPr>
            <w:r>
              <w:rPr>
                <w:sz w:val="24"/>
              </w:rPr>
              <w:t>19</w:t>
            </w:r>
            <w:r>
              <w:rPr>
                <w:sz w:val="24"/>
              </w:rPr>
              <w:t>南电</w:t>
            </w:r>
            <w:r>
              <w:rPr>
                <w:sz w:val="24"/>
              </w:rPr>
              <w:t>SCP013</w:t>
            </w:r>
          </w:p>
        </w:tc>
        <w:tc>
          <w:tcPr>
            <w:tcW w:w="1713" w:type="dxa"/>
            <w:vAlign w:val="center"/>
          </w:tcPr>
          <w:p w:rsidR="00A65D54" w:rsidRDefault="00484537">
            <w:pPr>
              <w:jc w:val="center"/>
            </w:pPr>
            <w:r>
              <w:rPr>
                <w:sz w:val="24"/>
              </w:rPr>
              <w:t>900,000</w:t>
            </w:r>
          </w:p>
        </w:tc>
        <w:tc>
          <w:tcPr>
            <w:tcW w:w="1960" w:type="dxa"/>
            <w:vAlign w:val="center"/>
          </w:tcPr>
          <w:p w:rsidR="00A65D54" w:rsidRDefault="00484537">
            <w:pPr>
              <w:jc w:val="center"/>
            </w:pPr>
            <w:r>
              <w:rPr>
                <w:sz w:val="24"/>
              </w:rPr>
              <w:t>90,042,349.11</w:t>
            </w:r>
          </w:p>
        </w:tc>
        <w:tc>
          <w:tcPr>
            <w:tcW w:w="1505" w:type="dxa"/>
            <w:vAlign w:val="center"/>
          </w:tcPr>
          <w:p w:rsidR="00A65D54" w:rsidRDefault="00484537">
            <w:pPr>
              <w:jc w:val="center"/>
            </w:pPr>
            <w:r>
              <w:rPr>
                <w:sz w:val="24"/>
              </w:rPr>
              <w:t>1.96</w:t>
            </w:r>
          </w:p>
        </w:tc>
      </w:tr>
      <w:tr w:rsidR="00A65D54">
        <w:tc>
          <w:tcPr>
            <w:tcW w:w="761" w:type="dxa"/>
            <w:vAlign w:val="center"/>
          </w:tcPr>
          <w:p w:rsidR="00A65D54" w:rsidRDefault="00484537">
            <w:pPr>
              <w:jc w:val="center"/>
            </w:pPr>
            <w:r>
              <w:rPr>
                <w:sz w:val="24"/>
              </w:rPr>
              <w:t>9</w:t>
            </w:r>
          </w:p>
        </w:tc>
        <w:tc>
          <w:tcPr>
            <w:tcW w:w="1315" w:type="dxa"/>
            <w:vAlign w:val="center"/>
          </w:tcPr>
          <w:p w:rsidR="00A65D54" w:rsidRDefault="00484537">
            <w:pPr>
              <w:jc w:val="center"/>
            </w:pPr>
            <w:r>
              <w:rPr>
                <w:sz w:val="24"/>
              </w:rPr>
              <w:t>111910256</w:t>
            </w:r>
          </w:p>
        </w:tc>
        <w:tc>
          <w:tcPr>
            <w:tcW w:w="1744" w:type="dxa"/>
            <w:vAlign w:val="center"/>
          </w:tcPr>
          <w:p w:rsidR="00A65D54" w:rsidRDefault="00484537">
            <w:pPr>
              <w:jc w:val="center"/>
            </w:pPr>
            <w:r>
              <w:rPr>
                <w:sz w:val="24"/>
              </w:rPr>
              <w:t>19</w:t>
            </w:r>
            <w:r>
              <w:rPr>
                <w:sz w:val="24"/>
              </w:rPr>
              <w:t>兴业银行</w:t>
            </w:r>
            <w:r>
              <w:rPr>
                <w:sz w:val="24"/>
              </w:rPr>
              <w:t>CD256</w:t>
            </w:r>
          </w:p>
        </w:tc>
        <w:tc>
          <w:tcPr>
            <w:tcW w:w="1713" w:type="dxa"/>
            <w:vAlign w:val="center"/>
          </w:tcPr>
          <w:p w:rsidR="00A65D54" w:rsidRDefault="00484537">
            <w:pPr>
              <w:jc w:val="center"/>
            </w:pPr>
            <w:r>
              <w:rPr>
                <w:sz w:val="24"/>
              </w:rPr>
              <w:t>900,000</w:t>
            </w:r>
          </w:p>
        </w:tc>
        <w:tc>
          <w:tcPr>
            <w:tcW w:w="1960" w:type="dxa"/>
            <w:vAlign w:val="center"/>
          </w:tcPr>
          <w:p w:rsidR="00A65D54" w:rsidRDefault="00484537">
            <w:pPr>
              <w:jc w:val="center"/>
            </w:pPr>
            <w:r>
              <w:rPr>
                <w:sz w:val="24"/>
              </w:rPr>
              <w:t>87,328,187.08</w:t>
            </w:r>
          </w:p>
        </w:tc>
        <w:tc>
          <w:tcPr>
            <w:tcW w:w="1505" w:type="dxa"/>
            <w:vAlign w:val="center"/>
          </w:tcPr>
          <w:p w:rsidR="00A65D54" w:rsidRDefault="00484537">
            <w:pPr>
              <w:jc w:val="center"/>
            </w:pPr>
            <w:r>
              <w:rPr>
                <w:sz w:val="24"/>
              </w:rPr>
              <w:t>1.90</w:t>
            </w:r>
          </w:p>
        </w:tc>
      </w:tr>
      <w:tr w:rsidR="00A65D54">
        <w:tc>
          <w:tcPr>
            <w:tcW w:w="761" w:type="dxa"/>
            <w:vAlign w:val="center"/>
          </w:tcPr>
          <w:p w:rsidR="00A65D54" w:rsidRDefault="00484537">
            <w:pPr>
              <w:jc w:val="center"/>
            </w:pPr>
            <w:r>
              <w:rPr>
                <w:sz w:val="24"/>
              </w:rPr>
              <w:t>10</w:t>
            </w:r>
          </w:p>
        </w:tc>
        <w:tc>
          <w:tcPr>
            <w:tcW w:w="1315" w:type="dxa"/>
            <w:vAlign w:val="center"/>
          </w:tcPr>
          <w:p w:rsidR="00A65D54" w:rsidRDefault="00484537">
            <w:pPr>
              <w:jc w:val="center"/>
            </w:pPr>
            <w:r>
              <w:rPr>
                <w:sz w:val="24"/>
              </w:rPr>
              <w:t>111980240</w:t>
            </w:r>
          </w:p>
        </w:tc>
        <w:tc>
          <w:tcPr>
            <w:tcW w:w="1744" w:type="dxa"/>
            <w:vAlign w:val="center"/>
          </w:tcPr>
          <w:p w:rsidR="00A65D54" w:rsidRDefault="00484537">
            <w:pPr>
              <w:jc w:val="center"/>
            </w:pPr>
            <w:r>
              <w:rPr>
                <w:sz w:val="24"/>
              </w:rPr>
              <w:t>19</w:t>
            </w:r>
            <w:r>
              <w:rPr>
                <w:sz w:val="24"/>
              </w:rPr>
              <w:t>东莞农村商业银行</w:t>
            </w:r>
            <w:r>
              <w:rPr>
                <w:sz w:val="24"/>
              </w:rPr>
              <w:t>CD058</w:t>
            </w:r>
          </w:p>
        </w:tc>
        <w:tc>
          <w:tcPr>
            <w:tcW w:w="1713" w:type="dxa"/>
            <w:vAlign w:val="center"/>
          </w:tcPr>
          <w:p w:rsidR="00A65D54" w:rsidRDefault="00484537">
            <w:pPr>
              <w:jc w:val="center"/>
            </w:pPr>
            <w:r>
              <w:rPr>
                <w:sz w:val="24"/>
              </w:rPr>
              <w:t>700,000</w:t>
            </w:r>
          </w:p>
        </w:tc>
        <w:tc>
          <w:tcPr>
            <w:tcW w:w="1960" w:type="dxa"/>
            <w:vAlign w:val="center"/>
          </w:tcPr>
          <w:p w:rsidR="00A65D54" w:rsidRDefault="00484537">
            <w:pPr>
              <w:jc w:val="center"/>
            </w:pPr>
            <w:r>
              <w:rPr>
                <w:sz w:val="24"/>
              </w:rPr>
              <w:t>69,537,933.47</w:t>
            </w:r>
          </w:p>
        </w:tc>
        <w:tc>
          <w:tcPr>
            <w:tcW w:w="1505" w:type="dxa"/>
            <w:vAlign w:val="center"/>
          </w:tcPr>
          <w:p w:rsidR="00A65D54" w:rsidRDefault="00484537">
            <w:pPr>
              <w:jc w:val="center"/>
            </w:pPr>
            <w:r>
              <w:rPr>
                <w:sz w:val="24"/>
              </w:rPr>
              <w:t>1.51</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8"/>
      <w:bookmarkStart w:id="58" w:name="_Toc374607355"/>
      <w:r w:rsidRPr="00356FA6">
        <w:rPr>
          <w:rFonts w:ascii="Times New Roman" w:hAnsi="Times New Roman" w:cs="Times New Roman"/>
          <w:kern w:val="0"/>
          <w:szCs w:val="24"/>
        </w:rPr>
        <w:t>7.7</w:t>
      </w:r>
      <w:bookmarkEnd w:id="57"/>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5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0.0682%</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-0.0074%</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0.0251%</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9"/>
      <w:bookmarkStart w:id="60" w:name="_Toc374607356"/>
      <w:r w:rsidRPr="00356FA6">
        <w:rPr>
          <w:rFonts w:ascii="Times New Roman" w:hAnsi="Times New Roman" w:cs="Times New Roman"/>
          <w:kern w:val="0"/>
          <w:szCs w:val="24"/>
        </w:rPr>
        <w:t>7.8</w:t>
      </w:r>
      <w:bookmarkEnd w:id="59"/>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0"/>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A65D54">
        <w:tc>
          <w:tcPr>
            <w:tcW w:w="1152" w:type="dxa"/>
            <w:vAlign w:val="center"/>
          </w:tcPr>
          <w:p w:rsidR="00A65D54" w:rsidRDefault="00484537">
            <w:pPr>
              <w:jc w:val="center"/>
            </w:pPr>
            <w:r>
              <w:rPr>
                <w:sz w:val="24"/>
              </w:rPr>
              <w:t>1</w:t>
            </w:r>
          </w:p>
        </w:tc>
        <w:tc>
          <w:tcPr>
            <w:tcW w:w="1241" w:type="dxa"/>
            <w:vAlign w:val="center"/>
          </w:tcPr>
          <w:p w:rsidR="00A65D54" w:rsidRDefault="00484537">
            <w:pPr>
              <w:jc w:val="center"/>
            </w:pPr>
            <w:r>
              <w:rPr>
                <w:sz w:val="24"/>
              </w:rPr>
              <w:t>159312</w:t>
            </w:r>
          </w:p>
        </w:tc>
        <w:tc>
          <w:tcPr>
            <w:tcW w:w="1287" w:type="dxa"/>
            <w:vAlign w:val="center"/>
          </w:tcPr>
          <w:p w:rsidR="00A65D54" w:rsidRDefault="00484537" w:rsidP="00484537">
            <w:pPr>
              <w:jc w:val="center"/>
            </w:pPr>
            <w:r>
              <w:rPr>
                <w:sz w:val="24"/>
              </w:rPr>
              <w:t>信泽</w:t>
            </w:r>
            <w:r>
              <w:rPr>
                <w:sz w:val="24"/>
              </w:rPr>
              <w:t>03A1</w:t>
            </w:r>
          </w:p>
        </w:tc>
        <w:tc>
          <w:tcPr>
            <w:tcW w:w="1433" w:type="dxa"/>
            <w:vAlign w:val="center"/>
          </w:tcPr>
          <w:p w:rsidR="00A65D54" w:rsidRDefault="00484537">
            <w:pPr>
              <w:jc w:val="right"/>
            </w:pPr>
            <w:r>
              <w:rPr>
                <w:sz w:val="24"/>
              </w:rPr>
              <w:t>300,000</w:t>
            </w:r>
          </w:p>
        </w:tc>
        <w:tc>
          <w:tcPr>
            <w:tcW w:w="1545" w:type="dxa"/>
            <w:vAlign w:val="center"/>
          </w:tcPr>
          <w:p w:rsidR="00A65D54" w:rsidRDefault="00484537">
            <w:pPr>
              <w:jc w:val="right"/>
            </w:pPr>
            <w:r>
              <w:rPr>
                <w:sz w:val="24"/>
              </w:rPr>
              <w:t>30,000,000.00</w:t>
            </w:r>
          </w:p>
        </w:tc>
        <w:tc>
          <w:tcPr>
            <w:tcW w:w="2340" w:type="dxa"/>
            <w:vAlign w:val="center"/>
          </w:tcPr>
          <w:p w:rsidR="00A65D54" w:rsidRDefault="00484537">
            <w:pPr>
              <w:jc w:val="right"/>
            </w:pPr>
            <w:r>
              <w:rPr>
                <w:sz w:val="24"/>
              </w:rPr>
              <w:t>0.65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10"/>
      <w:bookmarkStart w:id="62" w:name="_Toc374607357"/>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1"/>
      <w:bookmarkEnd w:id="62"/>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10,181,196.78</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125.00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10,181,321.78</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3" w:name="_Toc331410111"/>
      <w:bookmarkStart w:id="64" w:name="_Toc225500050"/>
      <w:bookmarkStart w:id="65" w:name="_Toc374607358"/>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3"/>
      <w:bookmarkEnd w:id="64"/>
      <w:bookmarkEnd w:id="65"/>
    </w:p>
    <w:p w:rsidR="008531F2" w:rsidRPr="00356FA6" w:rsidRDefault="008531F2" w:rsidP="006C67B5">
      <w:pPr>
        <w:pStyle w:val="20"/>
        <w:spacing w:before="29" w:after="0" w:line="288" w:lineRule="auto"/>
        <w:rPr>
          <w:rFonts w:ascii="Times New Roman" w:hAnsi="Times New Roman" w:cs="Times New Roman"/>
          <w:kern w:val="0"/>
          <w:szCs w:val="24"/>
        </w:rPr>
      </w:pPr>
      <w:bookmarkStart w:id="66" w:name="_Toc331410112"/>
      <w:bookmarkStart w:id="67" w:name="_Toc225500051"/>
      <w:bookmarkStart w:id="68" w:name="_Toc374607359"/>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6"/>
      <w:bookmarkEnd w:id="67"/>
      <w:bookmarkEnd w:id="68"/>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450"/>
        <w:gridCol w:w="836"/>
        <w:gridCol w:w="1716"/>
        <w:gridCol w:w="1896"/>
        <w:gridCol w:w="1076"/>
        <w:gridCol w:w="1476"/>
        <w:gridCol w:w="83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交银天益宝货币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205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115,246.15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22,253,739.94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94.19%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1,371,720.73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5.81%</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交银天益宝货币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190,644,661.86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4,575,471,884.56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229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20,083,394.52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4,597,725,624.50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1,371,720.73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0.03%</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A65D54">
        <w:tc>
          <w:tcPr>
            <w:tcW w:w="1560" w:type="dxa"/>
            <w:vAlign w:val="center"/>
          </w:tcPr>
          <w:p w:rsidR="00A65D54" w:rsidRDefault="00484537">
            <w:pPr>
              <w:jc w:val="center"/>
            </w:pPr>
            <w:r>
              <w:rPr>
                <w:rFonts w:eastAsiaTheme="minorEastAsia"/>
                <w:color w:val="000000" w:themeColor="text1"/>
                <w:sz w:val="24"/>
              </w:rPr>
              <w:t>1</w:t>
            </w:r>
          </w:p>
        </w:tc>
        <w:tc>
          <w:tcPr>
            <w:tcW w:w="2835" w:type="dxa"/>
            <w:vAlign w:val="center"/>
          </w:tcPr>
          <w:p w:rsidR="00A65D54" w:rsidRDefault="00484537">
            <w:pPr>
              <w:jc w:val="right"/>
            </w:pPr>
            <w:r>
              <w:rPr>
                <w:rFonts w:eastAsiaTheme="minorEastAsia"/>
                <w:color w:val="000000" w:themeColor="text1"/>
                <w:sz w:val="24"/>
              </w:rPr>
              <w:t>银行类机构</w:t>
            </w:r>
          </w:p>
        </w:tc>
        <w:tc>
          <w:tcPr>
            <w:tcW w:w="2551" w:type="dxa"/>
            <w:vAlign w:val="center"/>
          </w:tcPr>
          <w:p w:rsidR="00A65D54" w:rsidRDefault="00484537">
            <w:pPr>
              <w:jc w:val="right"/>
            </w:pPr>
            <w:r>
              <w:rPr>
                <w:rFonts w:eastAsiaTheme="minorEastAsia"/>
                <w:color w:val="000000" w:themeColor="text1"/>
                <w:sz w:val="24"/>
              </w:rPr>
              <w:t>739,589,229.20</w:t>
            </w:r>
          </w:p>
        </w:tc>
        <w:tc>
          <w:tcPr>
            <w:tcW w:w="2693" w:type="dxa"/>
            <w:vAlign w:val="center"/>
          </w:tcPr>
          <w:p w:rsidR="00A65D54" w:rsidRDefault="00484537">
            <w:pPr>
              <w:jc w:val="right"/>
            </w:pPr>
            <w:r>
              <w:rPr>
                <w:rFonts w:eastAsiaTheme="minorEastAsia"/>
                <w:color w:val="000000" w:themeColor="text1"/>
                <w:sz w:val="24"/>
              </w:rPr>
              <w:t>16.08%</w:t>
            </w:r>
          </w:p>
        </w:tc>
      </w:tr>
      <w:tr w:rsidR="00A65D54">
        <w:tc>
          <w:tcPr>
            <w:tcW w:w="1560" w:type="dxa"/>
            <w:vAlign w:val="center"/>
          </w:tcPr>
          <w:p w:rsidR="00A65D54" w:rsidRDefault="00484537">
            <w:pPr>
              <w:jc w:val="center"/>
            </w:pPr>
            <w:r>
              <w:rPr>
                <w:rFonts w:eastAsiaTheme="minorEastAsia"/>
                <w:color w:val="000000" w:themeColor="text1"/>
                <w:sz w:val="24"/>
              </w:rPr>
              <w:t>2</w:t>
            </w:r>
          </w:p>
        </w:tc>
        <w:tc>
          <w:tcPr>
            <w:tcW w:w="2835" w:type="dxa"/>
            <w:vAlign w:val="center"/>
          </w:tcPr>
          <w:p w:rsidR="00A65D54" w:rsidRDefault="00484537">
            <w:pPr>
              <w:jc w:val="right"/>
            </w:pPr>
            <w:r>
              <w:rPr>
                <w:rFonts w:eastAsiaTheme="minorEastAsia"/>
                <w:color w:val="000000" w:themeColor="text1"/>
                <w:sz w:val="24"/>
              </w:rPr>
              <w:t>银行类机构</w:t>
            </w:r>
          </w:p>
        </w:tc>
        <w:tc>
          <w:tcPr>
            <w:tcW w:w="2551" w:type="dxa"/>
            <w:vAlign w:val="center"/>
          </w:tcPr>
          <w:p w:rsidR="00A65D54" w:rsidRDefault="00484537">
            <w:pPr>
              <w:jc w:val="right"/>
            </w:pPr>
            <w:r>
              <w:rPr>
                <w:rFonts w:eastAsiaTheme="minorEastAsia"/>
                <w:color w:val="000000" w:themeColor="text1"/>
                <w:sz w:val="24"/>
              </w:rPr>
              <w:t>550,802,293.55</w:t>
            </w:r>
          </w:p>
        </w:tc>
        <w:tc>
          <w:tcPr>
            <w:tcW w:w="2693" w:type="dxa"/>
            <w:vAlign w:val="center"/>
          </w:tcPr>
          <w:p w:rsidR="00A65D54" w:rsidRDefault="00484537">
            <w:pPr>
              <w:jc w:val="right"/>
            </w:pPr>
            <w:r>
              <w:rPr>
                <w:rFonts w:eastAsiaTheme="minorEastAsia"/>
                <w:color w:val="000000" w:themeColor="text1"/>
                <w:sz w:val="24"/>
              </w:rPr>
              <w:t>11.98%</w:t>
            </w:r>
          </w:p>
        </w:tc>
      </w:tr>
      <w:tr w:rsidR="00A65D54">
        <w:tc>
          <w:tcPr>
            <w:tcW w:w="1560" w:type="dxa"/>
            <w:vAlign w:val="center"/>
          </w:tcPr>
          <w:p w:rsidR="00A65D54" w:rsidRDefault="00484537">
            <w:pPr>
              <w:jc w:val="center"/>
            </w:pPr>
            <w:r>
              <w:rPr>
                <w:rFonts w:eastAsiaTheme="minorEastAsia"/>
                <w:color w:val="000000" w:themeColor="text1"/>
                <w:sz w:val="24"/>
              </w:rPr>
              <w:t>3</w:t>
            </w:r>
          </w:p>
        </w:tc>
        <w:tc>
          <w:tcPr>
            <w:tcW w:w="2835" w:type="dxa"/>
            <w:vAlign w:val="center"/>
          </w:tcPr>
          <w:p w:rsidR="00A65D54" w:rsidRDefault="00484537">
            <w:pPr>
              <w:jc w:val="right"/>
            </w:pPr>
            <w:r>
              <w:rPr>
                <w:rFonts w:eastAsiaTheme="minorEastAsia"/>
                <w:color w:val="000000" w:themeColor="text1"/>
                <w:sz w:val="24"/>
              </w:rPr>
              <w:t>银行类机构</w:t>
            </w:r>
          </w:p>
        </w:tc>
        <w:tc>
          <w:tcPr>
            <w:tcW w:w="2551" w:type="dxa"/>
            <w:vAlign w:val="center"/>
          </w:tcPr>
          <w:p w:rsidR="00A65D54" w:rsidRDefault="00484537">
            <w:pPr>
              <w:jc w:val="right"/>
            </w:pPr>
            <w:r>
              <w:rPr>
                <w:rFonts w:eastAsiaTheme="minorEastAsia"/>
                <w:color w:val="000000" w:themeColor="text1"/>
                <w:sz w:val="24"/>
              </w:rPr>
              <w:t>500,292,201.68</w:t>
            </w:r>
          </w:p>
        </w:tc>
        <w:tc>
          <w:tcPr>
            <w:tcW w:w="2693" w:type="dxa"/>
            <w:vAlign w:val="center"/>
          </w:tcPr>
          <w:p w:rsidR="00A65D54" w:rsidRDefault="00484537">
            <w:pPr>
              <w:jc w:val="right"/>
            </w:pPr>
            <w:r>
              <w:rPr>
                <w:rFonts w:eastAsiaTheme="minorEastAsia"/>
                <w:color w:val="000000" w:themeColor="text1"/>
                <w:sz w:val="24"/>
              </w:rPr>
              <w:t>10.88%</w:t>
            </w:r>
          </w:p>
        </w:tc>
      </w:tr>
      <w:tr w:rsidR="00A65D54">
        <w:tc>
          <w:tcPr>
            <w:tcW w:w="1560" w:type="dxa"/>
            <w:vAlign w:val="center"/>
          </w:tcPr>
          <w:p w:rsidR="00A65D54" w:rsidRDefault="00484537">
            <w:pPr>
              <w:jc w:val="center"/>
            </w:pPr>
            <w:r>
              <w:rPr>
                <w:rFonts w:eastAsiaTheme="minorEastAsia"/>
                <w:color w:val="000000" w:themeColor="text1"/>
                <w:sz w:val="24"/>
              </w:rPr>
              <w:t>4</w:t>
            </w:r>
          </w:p>
        </w:tc>
        <w:tc>
          <w:tcPr>
            <w:tcW w:w="2835" w:type="dxa"/>
            <w:vAlign w:val="center"/>
          </w:tcPr>
          <w:p w:rsidR="00A65D54" w:rsidRDefault="00484537">
            <w:pPr>
              <w:jc w:val="right"/>
            </w:pPr>
            <w:r>
              <w:rPr>
                <w:rFonts w:eastAsiaTheme="minorEastAsia"/>
                <w:color w:val="000000" w:themeColor="text1"/>
                <w:sz w:val="24"/>
              </w:rPr>
              <w:t>其他机构</w:t>
            </w:r>
          </w:p>
        </w:tc>
        <w:tc>
          <w:tcPr>
            <w:tcW w:w="2551" w:type="dxa"/>
            <w:vAlign w:val="center"/>
          </w:tcPr>
          <w:p w:rsidR="00A65D54" w:rsidRDefault="00484537">
            <w:pPr>
              <w:jc w:val="right"/>
            </w:pPr>
            <w:r>
              <w:rPr>
                <w:rFonts w:eastAsiaTheme="minorEastAsia"/>
                <w:color w:val="000000" w:themeColor="text1"/>
                <w:sz w:val="24"/>
              </w:rPr>
              <w:t>450,000,000.00</w:t>
            </w:r>
          </w:p>
        </w:tc>
        <w:tc>
          <w:tcPr>
            <w:tcW w:w="2693" w:type="dxa"/>
            <w:vAlign w:val="center"/>
          </w:tcPr>
          <w:p w:rsidR="00A65D54" w:rsidRDefault="00484537">
            <w:pPr>
              <w:jc w:val="right"/>
            </w:pPr>
            <w:r>
              <w:rPr>
                <w:rFonts w:eastAsiaTheme="minorEastAsia"/>
                <w:color w:val="000000" w:themeColor="text1"/>
                <w:sz w:val="24"/>
              </w:rPr>
              <w:t>9.78%</w:t>
            </w:r>
          </w:p>
        </w:tc>
      </w:tr>
      <w:tr w:rsidR="00A65D54">
        <w:tc>
          <w:tcPr>
            <w:tcW w:w="1560" w:type="dxa"/>
            <w:vAlign w:val="center"/>
          </w:tcPr>
          <w:p w:rsidR="00A65D54" w:rsidRDefault="00484537">
            <w:pPr>
              <w:jc w:val="center"/>
            </w:pPr>
            <w:r>
              <w:rPr>
                <w:rFonts w:eastAsiaTheme="minorEastAsia"/>
                <w:color w:val="000000" w:themeColor="text1"/>
                <w:sz w:val="24"/>
              </w:rPr>
              <w:t>5</w:t>
            </w:r>
          </w:p>
        </w:tc>
        <w:tc>
          <w:tcPr>
            <w:tcW w:w="2835" w:type="dxa"/>
            <w:vAlign w:val="center"/>
          </w:tcPr>
          <w:p w:rsidR="00A65D54" w:rsidRDefault="00484537">
            <w:pPr>
              <w:jc w:val="right"/>
            </w:pPr>
            <w:r>
              <w:rPr>
                <w:rFonts w:eastAsiaTheme="minorEastAsia"/>
                <w:color w:val="000000" w:themeColor="text1"/>
                <w:sz w:val="24"/>
              </w:rPr>
              <w:t>银行类机构</w:t>
            </w:r>
          </w:p>
        </w:tc>
        <w:tc>
          <w:tcPr>
            <w:tcW w:w="2551" w:type="dxa"/>
            <w:vAlign w:val="center"/>
          </w:tcPr>
          <w:p w:rsidR="00A65D54" w:rsidRDefault="00484537">
            <w:pPr>
              <w:jc w:val="right"/>
            </w:pPr>
            <w:r>
              <w:rPr>
                <w:rFonts w:eastAsiaTheme="minorEastAsia"/>
                <w:color w:val="000000" w:themeColor="text1"/>
                <w:sz w:val="24"/>
              </w:rPr>
              <w:t>320,799,668.17</w:t>
            </w:r>
          </w:p>
        </w:tc>
        <w:tc>
          <w:tcPr>
            <w:tcW w:w="2693" w:type="dxa"/>
            <w:vAlign w:val="center"/>
          </w:tcPr>
          <w:p w:rsidR="00A65D54" w:rsidRDefault="00484537">
            <w:pPr>
              <w:jc w:val="right"/>
            </w:pPr>
            <w:r>
              <w:rPr>
                <w:rFonts w:eastAsiaTheme="minorEastAsia"/>
                <w:color w:val="000000" w:themeColor="text1"/>
                <w:sz w:val="24"/>
              </w:rPr>
              <w:t>6.98%</w:t>
            </w:r>
          </w:p>
        </w:tc>
      </w:tr>
      <w:tr w:rsidR="00A65D54">
        <w:tc>
          <w:tcPr>
            <w:tcW w:w="1560" w:type="dxa"/>
            <w:vAlign w:val="center"/>
          </w:tcPr>
          <w:p w:rsidR="00A65D54" w:rsidRDefault="00484537">
            <w:pPr>
              <w:jc w:val="center"/>
            </w:pPr>
            <w:r>
              <w:rPr>
                <w:rFonts w:eastAsiaTheme="minorEastAsia"/>
                <w:color w:val="000000" w:themeColor="text1"/>
                <w:sz w:val="24"/>
              </w:rPr>
              <w:t>6</w:t>
            </w:r>
          </w:p>
        </w:tc>
        <w:tc>
          <w:tcPr>
            <w:tcW w:w="2835" w:type="dxa"/>
            <w:vAlign w:val="center"/>
          </w:tcPr>
          <w:p w:rsidR="00A65D54" w:rsidRDefault="00484537">
            <w:pPr>
              <w:jc w:val="right"/>
            </w:pPr>
            <w:r>
              <w:rPr>
                <w:rFonts w:eastAsiaTheme="minorEastAsia"/>
                <w:color w:val="000000" w:themeColor="text1"/>
                <w:sz w:val="24"/>
              </w:rPr>
              <w:t>其他机构</w:t>
            </w:r>
          </w:p>
        </w:tc>
        <w:tc>
          <w:tcPr>
            <w:tcW w:w="2551" w:type="dxa"/>
            <w:vAlign w:val="center"/>
          </w:tcPr>
          <w:p w:rsidR="00A65D54" w:rsidRDefault="00484537">
            <w:pPr>
              <w:jc w:val="right"/>
            </w:pPr>
            <w:r>
              <w:rPr>
                <w:rFonts w:eastAsiaTheme="minorEastAsia"/>
                <w:color w:val="000000" w:themeColor="text1"/>
                <w:sz w:val="24"/>
              </w:rPr>
              <w:t>309,360,810.86</w:t>
            </w:r>
          </w:p>
        </w:tc>
        <w:tc>
          <w:tcPr>
            <w:tcW w:w="2693" w:type="dxa"/>
            <w:vAlign w:val="center"/>
          </w:tcPr>
          <w:p w:rsidR="00A65D54" w:rsidRDefault="00484537">
            <w:pPr>
              <w:jc w:val="right"/>
            </w:pPr>
            <w:r>
              <w:rPr>
                <w:rFonts w:eastAsiaTheme="minorEastAsia"/>
                <w:color w:val="000000" w:themeColor="text1"/>
                <w:sz w:val="24"/>
              </w:rPr>
              <w:t>6.73%</w:t>
            </w:r>
          </w:p>
        </w:tc>
      </w:tr>
      <w:tr w:rsidR="00A65D54">
        <w:tc>
          <w:tcPr>
            <w:tcW w:w="1560" w:type="dxa"/>
            <w:vAlign w:val="center"/>
          </w:tcPr>
          <w:p w:rsidR="00A65D54" w:rsidRDefault="00484537">
            <w:pPr>
              <w:jc w:val="center"/>
            </w:pPr>
            <w:r>
              <w:rPr>
                <w:rFonts w:eastAsiaTheme="minorEastAsia"/>
                <w:color w:val="000000" w:themeColor="text1"/>
                <w:sz w:val="24"/>
              </w:rPr>
              <w:t>7</w:t>
            </w:r>
          </w:p>
        </w:tc>
        <w:tc>
          <w:tcPr>
            <w:tcW w:w="2835" w:type="dxa"/>
            <w:vAlign w:val="center"/>
          </w:tcPr>
          <w:p w:rsidR="00A65D54" w:rsidRDefault="00484537">
            <w:pPr>
              <w:jc w:val="right"/>
            </w:pPr>
            <w:r>
              <w:rPr>
                <w:rFonts w:eastAsiaTheme="minorEastAsia"/>
                <w:color w:val="000000" w:themeColor="text1"/>
                <w:sz w:val="24"/>
              </w:rPr>
              <w:t>其他机构</w:t>
            </w:r>
          </w:p>
        </w:tc>
        <w:tc>
          <w:tcPr>
            <w:tcW w:w="2551" w:type="dxa"/>
            <w:vAlign w:val="center"/>
          </w:tcPr>
          <w:p w:rsidR="00A65D54" w:rsidRDefault="00484537">
            <w:pPr>
              <w:jc w:val="right"/>
            </w:pPr>
            <w:r>
              <w:rPr>
                <w:rFonts w:eastAsiaTheme="minorEastAsia"/>
                <w:color w:val="000000" w:themeColor="text1"/>
                <w:sz w:val="24"/>
              </w:rPr>
              <w:t>302,177,497.62</w:t>
            </w:r>
          </w:p>
        </w:tc>
        <w:tc>
          <w:tcPr>
            <w:tcW w:w="2693" w:type="dxa"/>
            <w:vAlign w:val="center"/>
          </w:tcPr>
          <w:p w:rsidR="00A65D54" w:rsidRDefault="00484537">
            <w:pPr>
              <w:jc w:val="right"/>
            </w:pPr>
            <w:r>
              <w:rPr>
                <w:rFonts w:eastAsiaTheme="minorEastAsia"/>
                <w:color w:val="000000" w:themeColor="text1"/>
                <w:sz w:val="24"/>
              </w:rPr>
              <w:t>6.57%</w:t>
            </w:r>
          </w:p>
        </w:tc>
      </w:tr>
      <w:tr w:rsidR="00A65D54">
        <w:tc>
          <w:tcPr>
            <w:tcW w:w="1560" w:type="dxa"/>
            <w:vAlign w:val="center"/>
          </w:tcPr>
          <w:p w:rsidR="00A65D54" w:rsidRDefault="00484537">
            <w:pPr>
              <w:jc w:val="center"/>
            </w:pPr>
            <w:r>
              <w:rPr>
                <w:rFonts w:eastAsiaTheme="minorEastAsia"/>
                <w:color w:val="000000" w:themeColor="text1"/>
                <w:sz w:val="24"/>
              </w:rPr>
              <w:t>8</w:t>
            </w:r>
          </w:p>
        </w:tc>
        <w:tc>
          <w:tcPr>
            <w:tcW w:w="2835" w:type="dxa"/>
            <w:vAlign w:val="center"/>
          </w:tcPr>
          <w:p w:rsidR="00A65D54" w:rsidRDefault="00484537">
            <w:pPr>
              <w:jc w:val="right"/>
            </w:pPr>
            <w:r>
              <w:rPr>
                <w:rFonts w:eastAsiaTheme="minorEastAsia"/>
                <w:color w:val="000000" w:themeColor="text1"/>
                <w:sz w:val="24"/>
              </w:rPr>
              <w:t>基金类机构</w:t>
            </w:r>
          </w:p>
        </w:tc>
        <w:tc>
          <w:tcPr>
            <w:tcW w:w="2551" w:type="dxa"/>
            <w:vAlign w:val="center"/>
          </w:tcPr>
          <w:p w:rsidR="00A65D54" w:rsidRDefault="00484537">
            <w:pPr>
              <w:jc w:val="right"/>
            </w:pPr>
            <w:r>
              <w:rPr>
                <w:rFonts w:eastAsiaTheme="minorEastAsia"/>
                <w:color w:val="000000" w:themeColor="text1"/>
                <w:sz w:val="24"/>
              </w:rPr>
              <w:t>218,504,615.20</w:t>
            </w:r>
          </w:p>
        </w:tc>
        <w:tc>
          <w:tcPr>
            <w:tcW w:w="2693" w:type="dxa"/>
            <w:vAlign w:val="center"/>
          </w:tcPr>
          <w:p w:rsidR="00A65D54" w:rsidRDefault="00484537">
            <w:pPr>
              <w:jc w:val="right"/>
            </w:pPr>
            <w:r>
              <w:rPr>
                <w:rFonts w:eastAsiaTheme="minorEastAsia"/>
                <w:color w:val="000000" w:themeColor="text1"/>
                <w:sz w:val="24"/>
              </w:rPr>
              <w:t>4.75%</w:t>
            </w:r>
          </w:p>
        </w:tc>
      </w:tr>
      <w:tr w:rsidR="00A65D54">
        <w:tc>
          <w:tcPr>
            <w:tcW w:w="1560" w:type="dxa"/>
            <w:vAlign w:val="center"/>
          </w:tcPr>
          <w:p w:rsidR="00A65D54" w:rsidRDefault="00484537">
            <w:pPr>
              <w:jc w:val="center"/>
            </w:pPr>
            <w:r>
              <w:rPr>
                <w:rFonts w:eastAsiaTheme="minorEastAsia"/>
                <w:color w:val="000000" w:themeColor="text1"/>
                <w:sz w:val="24"/>
              </w:rPr>
              <w:t>9</w:t>
            </w:r>
          </w:p>
        </w:tc>
        <w:tc>
          <w:tcPr>
            <w:tcW w:w="2835" w:type="dxa"/>
            <w:vAlign w:val="center"/>
          </w:tcPr>
          <w:p w:rsidR="00A65D54" w:rsidRDefault="00484537">
            <w:pPr>
              <w:jc w:val="right"/>
            </w:pPr>
            <w:r>
              <w:rPr>
                <w:rFonts w:eastAsiaTheme="minorEastAsia"/>
                <w:color w:val="000000" w:themeColor="text1"/>
                <w:sz w:val="24"/>
              </w:rPr>
              <w:t>银行类机构</w:t>
            </w:r>
          </w:p>
        </w:tc>
        <w:tc>
          <w:tcPr>
            <w:tcW w:w="2551" w:type="dxa"/>
            <w:vAlign w:val="center"/>
          </w:tcPr>
          <w:p w:rsidR="00A65D54" w:rsidRDefault="00484537">
            <w:pPr>
              <w:jc w:val="right"/>
            </w:pPr>
            <w:r>
              <w:rPr>
                <w:rFonts w:eastAsiaTheme="minorEastAsia"/>
                <w:color w:val="000000" w:themeColor="text1"/>
                <w:sz w:val="24"/>
              </w:rPr>
              <w:t>201,930,601.21</w:t>
            </w:r>
          </w:p>
        </w:tc>
        <w:tc>
          <w:tcPr>
            <w:tcW w:w="2693" w:type="dxa"/>
            <w:vAlign w:val="center"/>
          </w:tcPr>
          <w:p w:rsidR="00A65D54" w:rsidRDefault="00484537">
            <w:pPr>
              <w:jc w:val="right"/>
            </w:pPr>
            <w:r>
              <w:rPr>
                <w:rFonts w:eastAsiaTheme="minorEastAsia"/>
                <w:color w:val="000000" w:themeColor="text1"/>
                <w:sz w:val="24"/>
              </w:rPr>
              <w:t>4.39%</w:t>
            </w:r>
          </w:p>
        </w:tc>
      </w:tr>
      <w:tr w:rsidR="00A65D54">
        <w:tc>
          <w:tcPr>
            <w:tcW w:w="1560" w:type="dxa"/>
            <w:vAlign w:val="center"/>
          </w:tcPr>
          <w:p w:rsidR="00A65D54" w:rsidRDefault="00484537">
            <w:pPr>
              <w:jc w:val="center"/>
            </w:pPr>
            <w:r>
              <w:rPr>
                <w:rFonts w:eastAsiaTheme="minorEastAsia"/>
                <w:color w:val="000000" w:themeColor="text1"/>
                <w:sz w:val="24"/>
              </w:rPr>
              <w:t>10</w:t>
            </w:r>
          </w:p>
        </w:tc>
        <w:tc>
          <w:tcPr>
            <w:tcW w:w="2835" w:type="dxa"/>
            <w:vAlign w:val="center"/>
          </w:tcPr>
          <w:p w:rsidR="00A65D54" w:rsidRDefault="00484537">
            <w:pPr>
              <w:jc w:val="right"/>
            </w:pPr>
            <w:r>
              <w:rPr>
                <w:rFonts w:eastAsiaTheme="minorEastAsia"/>
                <w:color w:val="000000" w:themeColor="text1"/>
                <w:sz w:val="24"/>
              </w:rPr>
              <w:t>银行类机构</w:t>
            </w:r>
          </w:p>
        </w:tc>
        <w:tc>
          <w:tcPr>
            <w:tcW w:w="2551" w:type="dxa"/>
            <w:vAlign w:val="center"/>
          </w:tcPr>
          <w:p w:rsidR="00A65D54" w:rsidRDefault="00484537">
            <w:pPr>
              <w:jc w:val="right"/>
            </w:pPr>
            <w:r>
              <w:rPr>
                <w:rFonts w:eastAsiaTheme="minorEastAsia"/>
                <w:color w:val="000000" w:themeColor="text1"/>
                <w:sz w:val="24"/>
              </w:rPr>
              <w:t>201,189,274.76</w:t>
            </w:r>
          </w:p>
        </w:tc>
        <w:tc>
          <w:tcPr>
            <w:tcW w:w="2693" w:type="dxa"/>
            <w:vAlign w:val="center"/>
          </w:tcPr>
          <w:p w:rsidR="00A65D54" w:rsidRDefault="00484537">
            <w:pPr>
              <w:jc w:val="right"/>
            </w:pPr>
            <w:r>
              <w:rPr>
                <w:rFonts w:eastAsiaTheme="minorEastAsia"/>
                <w:color w:val="000000" w:themeColor="text1"/>
                <w:sz w:val="24"/>
              </w:rPr>
              <w:t>4.37%</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69" w:name="_Toc331410113"/>
      <w:bookmarkStart w:id="70" w:name="_Toc374607361"/>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69"/>
      <w:bookmarkEnd w:id="70"/>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交银天益宝货币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573,454.66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2.43%</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交银天益宝货币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573,454.66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1" w:name="_Toc331410115"/>
      <w:bookmarkStart w:id="72" w:name="_Toc225500053"/>
      <w:bookmarkStart w:id="73" w:name="_Toc374607363"/>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1"/>
      <w:bookmarkEnd w:id="72"/>
      <w:bookmarkEnd w:id="73"/>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交银天益宝货币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交银天益宝货币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12</w:t>
            </w:r>
            <w:r w:rsidRPr="00356FA6">
              <w:rPr>
                <w:sz w:val="24"/>
              </w:rPr>
              <w:t>月</w:t>
            </w:r>
            <w:r w:rsidRPr="00356FA6">
              <w:rPr>
                <w:sz w:val="24"/>
              </w:rPr>
              <w:t>20</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5,301.35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200,000,000.00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54,341,188.25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4,780,268,343.28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4,013,793.78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7,646,929,176.03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34,729,521.36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7,851,725,634.75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23,625,460.67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4,575,471,884.56</w:t>
            </w:r>
          </w:p>
        </w:tc>
      </w:tr>
    </w:tbl>
    <w:p w:rsidR="00A65D54" w:rsidRDefault="0048453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、如果本报告期间发生转换入、份额级别调整、红利再投业务，则总申购份额中包含该业务；</w:t>
      </w:r>
      <w:r>
        <w:rPr>
          <w:kern w:val="0"/>
          <w:sz w:val="24"/>
        </w:rPr>
        <w:t xml:space="preserve">     </w:t>
      </w:r>
    </w:p>
    <w:p w:rsidR="00A65D54" w:rsidRDefault="00484537">
      <w:pPr>
        <w:tabs>
          <w:tab w:val="left" w:pos="426"/>
        </w:tabs>
        <w:spacing w:before="29" w:line="288" w:lineRule="auto"/>
        <w:jc w:val="left"/>
        <w:rPr>
          <w:kern w:val="0"/>
          <w:sz w:val="24"/>
        </w:rPr>
      </w:pPr>
      <w:r>
        <w:rPr>
          <w:kern w:val="0"/>
          <w:sz w:val="24"/>
        </w:rPr>
        <w:t>2</w:t>
      </w:r>
      <w:r>
        <w:rPr>
          <w:kern w:val="0"/>
          <w:sz w:val="24"/>
        </w:rPr>
        <w:t>、如果本报告期间发生转换出、份额级别调整业务，则总赎回份额中包含该业务。</w:t>
      </w:r>
    </w:p>
    <w:p w:rsidR="003F6F2B" w:rsidRPr="00356FA6" w:rsidRDefault="003F6F2B" w:rsidP="006C67B5">
      <w:pPr>
        <w:tabs>
          <w:tab w:val="left" w:pos="426"/>
        </w:tabs>
        <w:spacing w:before="29" w:line="288" w:lineRule="auto"/>
        <w:jc w:val="left"/>
        <w:rPr>
          <w:kern w:val="0"/>
          <w:sz w:val="24"/>
        </w:rPr>
      </w:pP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4" w:name="_Toc331410116"/>
      <w:bookmarkStart w:id="75" w:name="_Toc225500054"/>
      <w:bookmarkStart w:id="76" w:name="_Toc374607364"/>
      <w:r w:rsidRPr="00356FA6">
        <w:rPr>
          <w:b/>
          <w:bCs/>
          <w:szCs w:val="24"/>
          <w:lang w:val="en-US"/>
        </w:rPr>
        <w:t>§10</w:t>
      </w:r>
      <w:r w:rsidRPr="00356FA6">
        <w:rPr>
          <w:b/>
          <w:bCs/>
          <w:szCs w:val="24"/>
          <w:lang w:val="en-US"/>
        </w:rPr>
        <w:t>重大事件揭示</w:t>
      </w:r>
      <w:bookmarkEnd w:id="74"/>
      <w:bookmarkEnd w:id="75"/>
      <w:bookmarkEnd w:id="76"/>
    </w:p>
    <w:p w:rsidR="006D141C" w:rsidRPr="00356FA6" w:rsidRDefault="00EE1CF9" w:rsidP="006C67B5">
      <w:pPr>
        <w:pStyle w:val="20"/>
        <w:spacing w:before="29" w:after="0" w:line="288" w:lineRule="auto"/>
        <w:rPr>
          <w:rFonts w:ascii="Times New Roman" w:hAnsi="Times New Roman" w:cs="Times New Roman"/>
          <w:kern w:val="0"/>
          <w:szCs w:val="24"/>
        </w:rPr>
      </w:pPr>
      <w:bookmarkStart w:id="77" w:name="_Toc331410117"/>
      <w:bookmarkStart w:id="78" w:name="_Toc374607365"/>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77"/>
      <w:bookmarkEnd w:id="78"/>
    </w:p>
    <w:p w:rsidR="006D141C" w:rsidRPr="00356FA6" w:rsidRDefault="006D141C" w:rsidP="00564D38">
      <w:pPr>
        <w:tabs>
          <w:tab w:val="left" w:pos="426"/>
        </w:tabs>
        <w:spacing w:before="29" w:line="288" w:lineRule="auto"/>
        <w:ind w:firstLineChars="200" w:firstLine="480"/>
        <w:rPr>
          <w:kern w:val="0"/>
          <w:sz w:val="24"/>
        </w:rPr>
      </w:pPr>
      <w:bookmarkStart w:id="79"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0" w:name="_Toc374607366"/>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79"/>
      <w:bookmarkEnd w:id="80"/>
    </w:p>
    <w:p w:rsidR="00A65D54" w:rsidRDefault="00484537">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1"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374607367"/>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374607368"/>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3"/>
      <w:bookmarkEnd w:id="84"/>
    </w:p>
    <w:p w:rsidR="006D141C" w:rsidRPr="00356FA6" w:rsidRDefault="006D141C" w:rsidP="00564D38">
      <w:pPr>
        <w:tabs>
          <w:tab w:val="left" w:pos="426"/>
        </w:tabs>
        <w:spacing w:before="29" w:line="288" w:lineRule="auto"/>
        <w:ind w:firstLineChars="200" w:firstLine="480"/>
        <w:rPr>
          <w:kern w:val="0"/>
          <w:sz w:val="24"/>
        </w:rPr>
      </w:pPr>
      <w:bookmarkStart w:id="85"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bookmarkEnd w:id="85"/>
    <w:p w:rsidR="001D32F7" w:rsidRPr="00356FA6" w:rsidRDefault="001D32F7" w:rsidP="001D32F7">
      <w:pPr>
        <w:pStyle w:val="20"/>
        <w:spacing w:before="0" w:after="0"/>
        <w:rPr>
          <w:rFonts w:ascii="Times New Roman" w:eastAsiaTheme="minorEastAsia" w:hAnsi="Times New Roman"/>
          <w:szCs w:val="24"/>
        </w:rPr>
      </w:pPr>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无。</w:t>
      </w:r>
    </w:p>
    <w:p w:rsidR="001D32F7" w:rsidRPr="00356FA6" w:rsidRDefault="001D32F7" w:rsidP="001D32F7">
      <w:pPr>
        <w:pStyle w:val="20"/>
        <w:spacing w:before="0" w:after="0"/>
        <w:rPr>
          <w:rFonts w:ascii="Times New Roman" w:eastAsiaTheme="minorEastAsia" w:hAnsi="Times New Roman"/>
          <w:kern w:val="0"/>
          <w:szCs w:val="24"/>
        </w:rPr>
      </w:pPr>
      <w:bookmarkStart w:id="86" w:name="_Toc361324898"/>
      <w:bookmarkStart w:id="87" w:name="_Toc409100466"/>
      <w:bookmarkStart w:id="88" w:name="_Toc409100103"/>
      <w:r w:rsidRPr="00356FA6">
        <w:rPr>
          <w:rFonts w:ascii="Times New Roman" w:eastAsiaTheme="minorEastAsia" w:hAnsi="Times New Roman"/>
          <w:kern w:val="0"/>
          <w:szCs w:val="24"/>
        </w:rPr>
        <w:t>10.</w:t>
      </w:r>
      <w:bookmarkEnd w:id="86"/>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87"/>
      <w:bookmarkEnd w:id="88"/>
    </w:p>
    <w:p w:rsidR="001D32F7" w:rsidRPr="00356FA6" w:rsidRDefault="001D32F7" w:rsidP="001D32F7">
      <w:pPr>
        <w:spacing w:line="360" w:lineRule="auto"/>
        <w:ind w:firstLineChars="200" w:firstLine="480"/>
        <w:rPr>
          <w:rFonts w:eastAsiaTheme="minorEastAsia"/>
          <w:sz w:val="24"/>
        </w:rPr>
      </w:pPr>
      <w:bookmarkStart w:id="89"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0" w:name="_Toc409100104"/>
      <w:bookmarkStart w:id="91" w:name="_Toc409100467"/>
      <w:bookmarkStart w:id="92" w:name="_Toc361324899"/>
      <w:bookmarkEnd w:id="89"/>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0"/>
      <w:bookmarkEnd w:id="91"/>
      <w:bookmarkEnd w:id="92"/>
    </w:p>
    <w:p w:rsidR="00A65D54" w:rsidRDefault="0048453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65D54" w:rsidRDefault="0048453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65D54" w:rsidRDefault="0048453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93" w:name="_Toc361324900"/>
      <w:bookmarkStart w:id="94" w:name="_Toc409100468"/>
      <w:bookmarkStart w:id="95" w:name="_Toc40910010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3"/>
      <w:bookmarkEnd w:id="94"/>
      <w:bookmarkEnd w:id="95"/>
    </w:p>
    <w:p w:rsidR="001D32F7" w:rsidRPr="00356FA6" w:rsidRDefault="001D32F7" w:rsidP="001D32F7">
      <w:pPr>
        <w:spacing w:line="360" w:lineRule="auto"/>
        <w:rPr>
          <w:rFonts w:eastAsiaTheme="minorEastAsia"/>
          <w:b/>
          <w:sz w:val="24"/>
        </w:rPr>
      </w:pPr>
      <w:bookmarkStart w:id="96"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96"/>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97"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A65D54">
        <w:tc>
          <w:tcPr>
            <w:tcW w:w="1560" w:type="dxa"/>
            <w:vAlign w:val="center"/>
          </w:tcPr>
          <w:p w:rsidR="00A65D54" w:rsidRDefault="00484537">
            <w:pPr>
              <w:jc w:val="left"/>
            </w:pPr>
            <w:r>
              <w:rPr>
                <w:rFonts w:eastAsiaTheme="minorEastAsia"/>
                <w:sz w:val="24"/>
              </w:rPr>
              <w:t>北京高华证券有限责任公司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华创证券有限责任公司</w:t>
            </w:r>
          </w:p>
        </w:tc>
        <w:tc>
          <w:tcPr>
            <w:tcW w:w="780" w:type="dxa"/>
            <w:vAlign w:val="center"/>
          </w:tcPr>
          <w:p w:rsidR="00A65D54" w:rsidRDefault="00484537">
            <w:pPr>
              <w:jc w:val="right"/>
            </w:pPr>
            <w:r>
              <w:rPr>
                <w:rFonts w:eastAsiaTheme="minorEastAsia"/>
                <w:sz w:val="24"/>
              </w:rPr>
              <w:t>3</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民生证券股份有限公司</w:t>
            </w:r>
          </w:p>
        </w:tc>
        <w:tc>
          <w:tcPr>
            <w:tcW w:w="780" w:type="dxa"/>
            <w:vAlign w:val="center"/>
          </w:tcPr>
          <w:p w:rsidR="00A65D54" w:rsidRDefault="00484537">
            <w:pPr>
              <w:jc w:val="right"/>
            </w:pPr>
            <w:r>
              <w:rPr>
                <w:rFonts w:eastAsiaTheme="minorEastAsia"/>
                <w:sz w:val="24"/>
              </w:rPr>
              <w:t>2</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瑞银证券有限责任公司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中泰证券股份有限公司</w:t>
            </w:r>
          </w:p>
        </w:tc>
        <w:tc>
          <w:tcPr>
            <w:tcW w:w="780" w:type="dxa"/>
            <w:vAlign w:val="center"/>
          </w:tcPr>
          <w:p w:rsidR="00A65D54" w:rsidRDefault="00484537">
            <w:pPr>
              <w:jc w:val="right"/>
            </w:pPr>
            <w:r>
              <w:rPr>
                <w:rFonts w:eastAsiaTheme="minorEastAsia"/>
                <w:sz w:val="24"/>
              </w:rPr>
              <w:t>2</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广发证券股份有限公司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长江证券股份有限公司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东方证券股份有限公司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东吴证券股份有限公司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西藏东方财富证券股份有限公司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国盛证券有限责任公司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r w:rsidR="00A65D54">
        <w:tc>
          <w:tcPr>
            <w:tcW w:w="1560" w:type="dxa"/>
            <w:vAlign w:val="center"/>
          </w:tcPr>
          <w:p w:rsidR="00A65D54" w:rsidRDefault="00484537">
            <w:pPr>
              <w:jc w:val="left"/>
            </w:pPr>
            <w:r>
              <w:rPr>
                <w:rFonts w:eastAsiaTheme="minorEastAsia"/>
                <w:sz w:val="24"/>
              </w:rPr>
              <w:t>太平洋证券</w:t>
            </w:r>
          </w:p>
        </w:tc>
        <w:tc>
          <w:tcPr>
            <w:tcW w:w="780" w:type="dxa"/>
            <w:vAlign w:val="center"/>
          </w:tcPr>
          <w:p w:rsidR="00A65D54" w:rsidRDefault="00484537">
            <w:pPr>
              <w:jc w:val="right"/>
            </w:pPr>
            <w:r>
              <w:rPr>
                <w:rFonts w:eastAsiaTheme="minorEastAsia"/>
                <w:sz w:val="24"/>
              </w:rPr>
              <w:t>1</w:t>
            </w:r>
          </w:p>
        </w:tc>
        <w:tc>
          <w:tcPr>
            <w:tcW w:w="180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6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97"/>
    </w:p>
    <w:p w:rsidR="001D32F7" w:rsidRPr="00356FA6" w:rsidRDefault="001D32F7" w:rsidP="001D32F7">
      <w:pPr>
        <w:spacing w:line="360" w:lineRule="auto"/>
        <w:ind w:firstLine="420"/>
        <w:jc w:val="right"/>
        <w:rPr>
          <w:rFonts w:eastAsiaTheme="minorEastAsia"/>
          <w:sz w:val="24"/>
        </w:rPr>
      </w:pPr>
      <w:bookmarkStart w:id="98"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9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占当期权证成交总额的比例</w:t>
            </w:r>
          </w:p>
        </w:tc>
      </w:tr>
      <w:tr w:rsidR="00A65D54">
        <w:tc>
          <w:tcPr>
            <w:tcW w:w="1560" w:type="dxa"/>
            <w:vAlign w:val="center"/>
          </w:tcPr>
          <w:p w:rsidR="00A65D54" w:rsidRDefault="00484537">
            <w:pPr>
              <w:jc w:val="center"/>
            </w:pPr>
            <w:r>
              <w:rPr>
                <w:rFonts w:eastAsiaTheme="minorEastAsia"/>
                <w:sz w:val="24"/>
              </w:rPr>
              <w:t>北京高华证券有限责任公司</w:t>
            </w:r>
          </w:p>
        </w:tc>
        <w:tc>
          <w:tcPr>
            <w:tcW w:w="1320" w:type="dxa"/>
            <w:vAlign w:val="center"/>
          </w:tcPr>
          <w:p w:rsidR="00A65D54" w:rsidRDefault="00484537">
            <w:pPr>
              <w:jc w:val="right"/>
            </w:pPr>
            <w:r>
              <w:rPr>
                <w:rFonts w:eastAsiaTheme="minorEastAsia"/>
                <w:sz w:val="24"/>
              </w:rPr>
              <w:t>-</w:t>
            </w:r>
          </w:p>
        </w:tc>
        <w:tc>
          <w:tcPr>
            <w:tcW w:w="1080" w:type="dxa"/>
            <w:vAlign w:val="center"/>
          </w:tcPr>
          <w:p w:rsidR="00A65D54" w:rsidRDefault="00484537">
            <w:pPr>
              <w:jc w:val="right"/>
            </w:pPr>
            <w:r>
              <w:rPr>
                <w:rFonts w:eastAsiaTheme="minorEastAsia"/>
                <w:sz w:val="24"/>
              </w:rPr>
              <w:t>-</w:t>
            </w:r>
          </w:p>
        </w:tc>
        <w:tc>
          <w:tcPr>
            <w:tcW w:w="1143" w:type="dxa"/>
            <w:vAlign w:val="center"/>
          </w:tcPr>
          <w:p w:rsidR="00A65D54" w:rsidRDefault="00484537">
            <w:pPr>
              <w:jc w:val="right"/>
            </w:pPr>
            <w:r>
              <w:rPr>
                <w:rFonts w:eastAsiaTheme="minorEastAsia"/>
                <w:sz w:val="24"/>
              </w:rPr>
              <w:t>96,000,000.00</w:t>
            </w:r>
          </w:p>
        </w:tc>
        <w:tc>
          <w:tcPr>
            <w:tcW w:w="1197" w:type="dxa"/>
            <w:vAlign w:val="center"/>
          </w:tcPr>
          <w:p w:rsidR="00A65D54" w:rsidRDefault="00484537">
            <w:pPr>
              <w:jc w:val="right"/>
            </w:pPr>
            <w:r>
              <w:rPr>
                <w:rFonts w:eastAsiaTheme="minorEastAsia"/>
                <w:sz w:val="24"/>
              </w:rPr>
              <w:t>100.00%</w:t>
            </w:r>
          </w:p>
        </w:tc>
        <w:tc>
          <w:tcPr>
            <w:tcW w:w="1497" w:type="dxa"/>
            <w:vAlign w:val="center"/>
          </w:tcPr>
          <w:p w:rsidR="00A65D54" w:rsidRDefault="00484537">
            <w:pPr>
              <w:jc w:val="right"/>
            </w:pPr>
            <w:r>
              <w:rPr>
                <w:rFonts w:eastAsiaTheme="minorEastAsia"/>
                <w:sz w:val="24"/>
              </w:rPr>
              <w:t>-</w:t>
            </w:r>
          </w:p>
        </w:tc>
        <w:tc>
          <w:tcPr>
            <w:tcW w:w="1203" w:type="dxa"/>
            <w:vAlign w:val="center"/>
          </w:tcPr>
          <w:p w:rsidR="00A65D54" w:rsidRDefault="00484537">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A65D54" w:rsidRDefault="0048453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、报告期内，本基金新增加太平洋证券股份有限责任公司，其他交易单元未发生变化；</w:t>
      </w:r>
    </w:p>
    <w:p w:rsidR="00A65D54" w:rsidRDefault="0048453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65D54" w:rsidRDefault="0048453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99" w:name="_Toc374607372"/>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99"/>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0" w:name="_Toc331410124"/>
      <w:bookmarkStart w:id="101" w:name="_Toc374607373"/>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0"/>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A65D54">
        <w:tc>
          <w:tcPr>
            <w:tcW w:w="720" w:type="dxa"/>
            <w:vAlign w:val="center"/>
          </w:tcPr>
          <w:p w:rsidR="00A65D54" w:rsidRDefault="00484537">
            <w:pPr>
              <w:jc w:val="left"/>
            </w:pPr>
            <w:r>
              <w:rPr>
                <w:sz w:val="24"/>
              </w:rPr>
              <w:t>1</w:t>
            </w:r>
          </w:p>
        </w:tc>
        <w:tc>
          <w:tcPr>
            <w:tcW w:w="4319" w:type="dxa"/>
            <w:vAlign w:val="center"/>
          </w:tcPr>
          <w:p w:rsidR="00A65D54" w:rsidRDefault="00484537">
            <w:pPr>
              <w:jc w:val="left"/>
            </w:pPr>
            <w:r>
              <w:rPr>
                <w:sz w:val="24"/>
              </w:rPr>
              <w:t>交银施罗德天益宝货币市场基金</w:t>
            </w:r>
            <w:r>
              <w:rPr>
                <w:sz w:val="24"/>
              </w:rPr>
              <w:t>2018</w:t>
            </w:r>
            <w:r>
              <w:rPr>
                <w:sz w:val="24"/>
              </w:rPr>
              <w:t>年第</w:t>
            </w:r>
            <w:r>
              <w:rPr>
                <w:sz w:val="24"/>
              </w:rPr>
              <w:t>4</w:t>
            </w:r>
            <w:r>
              <w:rPr>
                <w:sz w:val="24"/>
              </w:rPr>
              <w:t>季度报告</w:t>
            </w:r>
          </w:p>
        </w:tc>
        <w:tc>
          <w:tcPr>
            <w:tcW w:w="2519" w:type="dxa"/>
            <w:vAlign w:val="center"/>
          </w:tcPr>
          <w:p w:rsidR="00A65D54" w:rsidRDefault="00484537">
            <w:pPr>
              <w:jc w:val="left"/>
            </w:pPr>
            <w:r>
              <w:rPr>
                <w:sz w:val="24"/>
              </w:rPr>
              <w:t>上海证券报</w:t>
            </w:r>
          </w:p>
        </w:tc>
        <w:tc>
          <w:tcPr>
            <w:tcW w:w="1440" w:type="dxa"/>
            <w:vAlign w:val="center"/>
          </w:tcPr>
          <w:p w:rsidR="00A65D54" w:rsidRDefault="00484537">
            <w:pPr>
              <w:jc w:val="left"/>
            </w:pPr>
            <w:r>
              <w:rPr>
                <w:sz w:val="24"/>
              </w:rPr>
              <w:t>2019-01-21</w:t>
            </w:r>
          </w:p>
        </w:tc>
      </w:tr>
      <w:tr w:rsidR="00A65D54">
        <w:tc>
          <w:tcPr>
            <w:tcW w:w="720" w:type="dxa"/>
            <w:vAlign w:val="center"/>
          </w:tcPr>
          <w:p w:rsidR="00A65D54" w:rsidRDefault="00484537">
            <w:pPr>
              <w:jc w:val="left"/>
            </w:pPr>
            <w:r>
              <w:rPr>
                <w:sz w:val="24"/>
              </w:rPr>
              <w:t>2</w:t>
            </w:r>
          </w:p>
        </w:tc>
        <w:tc>
          <w:tcPr>
            <w:tcW w:w="4319" w:type="dxa"/>
            <w:vAlign w:val="center"/>
          </w:tcPr>
          <w:p w:rsidR="00A65D54" w:rsidRDefault="00484537">
            <w:pPr>
              <w:jc w:val="left"/>
            </w:pPr>
            <w:r>
              <w:rPr>
                <w:sz w:val="24"/>
              </w:rPr>
              <w:t>交银施罗德基金管理有限公司关于交银施罗德天益宝货币市场基金于</w:t>
            </w:r>
            <w:r>
              <w:rPr>
                <w:sz w:val="24"/>
              </w:rPr>
              <w:t>2019</w:t>
            </w:r>
            <w:r>
              <w:rPr>
                <w:sz w:val="24"/>
              </w:rPr>
              <w:t>年</w:t>
            </w:r>
            <w:r>
              <w:rPr>
                <w:sz w:val="24"/>
              </w:rPr>
              <w:t>“</w:t>
            </w:r>
            <w:r>
              <w:rPr>
                <w:sz w:val="24"/>
              </w:rPr>
              <w:t>春节</w:t>
            </w:r>
            <w:r>
              <w:rPr>
                <w:sz w:val="24"/>
              </w:rPr>
              <w:t>”</w:t>
            </w:r>
            <w:r>
              <w:rPr>
                <w:sz w:val="24"/>
              </w:rPr>
              <w:t>假期前暂停及节后恢复大额申购（转换转入）业务公告</w:t>
            </w:r>
          </w:p>
        </w:tc>
        <w:tc>
          <w:tcPr>
            <w:tcW w:w="2519" w:type="dxa"/>
            <w:vAlign w:val="center"/>
          </w:tcPr>
          <w:p w:rsidR="00A65D54" w:rsidRDefault="00484537">
            <w:pPr>
              <w:jc w:val="left"/>
            </w:pPr>
            <w:r>
              <w:rPr>
                <w:sz w:val="24"/>
              </w:rPr>
              <w:t>上海证券报</w:t>
            </w:r>
          </w:p>
        </w:tc>
        <w:tc>
          <w:tcPr>
            <w:tcW w:w="1440" w:type="dxa"/>
            <w:vAlign w:val="center"/>
          </w:tcPr>
          <w:p w:rsidR="00A65D54" w:rsidRDefault="00484537">
            <w:pPr>
              <w:jc w:val="left"/>
            </w:pPr>
            <w:r>
              <w:rPr>
                <w:sz w:val="24"/>
              </w:rPr>
              <w:t>2019-01-31</w:t>
            </w:r>
          </w:p>
        </w:tc>
      </w:tr>
      <w:tr w:rsidR="00A65D54">
        <w:tc>
          <w:tcPr>
            <w:tcW w:w="720" w:type="dxa"/>
            <w:vAlign w:val="center"/>
          </w:tcPr>
          <w:p w:rsidR="00A65D54" w:rsidRDefault="00484537">
            <w:pPr>
              <w:jc w:val="left"/>
            </w:pPr>
            <w:r>
              <w:rPr>
                <w:sz w:val="24"/>
              </w:rPr>
              <w:t>3</w:t>
            </w:r>
          </w:p>
        </w:tc>
        <w:tc>
          <w:tcPr>
            <w:tcW w:w="4319" w:type="dxa"/>
            <w:vAlign w:val="center"/>
          </w:tcPr>
          <w:p w:rsidR="00A65D54" w:rsidRDefault="00484537">
            <w:pPr>
              <w:jc w:val="left"/>
            </w:pPr>
            <w:r>
              <w:rPr>
                <w:sz w:val="24"/>
              </w:rPr>
              <w:t>交银施罗德天益宝货币市场基金（更新）招募说明书摘要（</w:t>
            </w:r>
            <w:r>
              <w:rPr>
                <w:sz w:val="24"/>
              </w:rPr>
              <w:t>2018</w:t>
            </w:r>
            <w:r>
              <w:rPr>
                <w:sz w:val="24"/>
              </w:rPr>
              <w:t>年第</w:t>
            </w:r>
            <w:r>
              <w:rPr>
                <w:sz w:val="24"/>
              </w:rPr>
              <w:t>2</w:t>
            </w:r>
            <w:r>
              <w:rPr>
                <w:sz w:val="24"/>
              </w:rPr>
              <w:t>号）</w:t>
            </w:r>
          </w:p>
        </w:tc>
        <w:tc>
          <w:tcPr>
            <w:tcW w:w="2519" w:type="dxa"/>
            <w:vAlign w:val="center"/>
          </w:tcPr>
          <w:p w:rsidR="00A65D54" w:rsidRDefault="00484537">
            <w:pPr>
              <w:jc w:val="left"/>
            </w:pPr>
            <w:r>
              <w:rPr>
                <w:sz w:val="24"/>
              </w:rPr>
              <w:t>上海证券报</w:t>
            </w:r>
          </w:p>
        </w:tc>
        <w:tc>
          <w:tcPr>
            <w:tcW w:w="1440" w:type="dxa"/>
            <w:vAlign w:val="center"/>
          </w:tcPr>
          <w:p w:rsidR="00A65D54" w:rsidRDefault="00484537">
            <w:pPr>
              <w:jc w:val="left"/>
            </w:pPr>
            <w:r>
              <w:rPr>
                <w:sz w:val="24"/>
              </w:rPr>
              <w:t>2019-02-02</w:t>
            </w:r>
          </w:p>
        </w:tc>
      </w:tr>
      <w:tr w:rsidR="00A65D54">
        <w:tc>
          <w:tcPr>
            <w:tcW w:w="720" w:type="dxa"/>
            <w:vAlign w:val="center"/>
          </w:tcPr>
          <w:p w:rsidR="00A65D54" w:rsidRDefault="00484537">
            <w:pPr>
              <w:jc w:val="left"/>
            </w:pPr>
            <w:r>
              <w:rPr>
                <w:sz w:val="24"/>
              </w:rPr>
              <w:t>4</w:t>
            </w:r>
          </w:p>
        </w:tc>
        <w:tc>
          <w:tcPr>
            <w:tcW w:w="4319" w:type="dxa"/>
            <w:vAlign w:val="center"/>
          </w:tcPr>
          <w:p w:rsidR="00A65D54" w:rsidRDefault="00484537">
            <w:pPr>
              <w:jc w:val="left"/>
            </w:pPr>
            <w:r>
              <w:rPr>
                <w:sz w:val="24"/>
              </w:rPr>
              <w:t>交银施罗德基金管理有限公司关于总经理变更的公告</w:t>
            </w:r>
          </w:p>
        </w:tc>
        <w:tc>
          <w:tcPr>
            <w:tcW w:w="2519" w:type="dxa"/>
            <w:vAlign w:val="center"/>
          </w:tcPr>
          <w:p w:rsidR="00A65D54" w:rsidRDefault="00484537">
            <w:pPr>
              <w:jc w:val="left"/>
            </w:pPr>
            <w:r>
              <w:rPr>
                <w:sz w:val="24"/>
              </w:rPr>
              <w:t>中国证券报、上海证券报、证券时报</w:t>
            </w:r>
          </w:p>
        </w:tc>
        <w:tc>
          <w:tcPr>
            <w:tcW w:w="1440" w:type="dxa"/>
            <w:vAlign w:val="center"/>
          </w:tcPr>
          <w:p w:rsidR="00A65D54" w:rsidRDefault="00484537">
            <w:pPr>
              <w:jc w:val="left"/>
            </w:pPr>
            <w:r>
              <w:rPr>
                <w:sz w:val="24"/>
              </w:rPr>
              <w:t>2019-02-28</w:t>
            </w:r>
          </w:p>
        </w:tc>
      </w:tr>
      <w:tr w:rsidR="00A65D54">
        <w:tc>
          <w:tcPr>
            <w:tcW w:w="720" w:type="dxa"/>
            <w:vAlign w:val="center"/>
          </w:tcPr>
          <w:p w:rsidR="00A65D54" w:rsidRDefault="00484537">
            <w:pPr>
              <w:jc w:val="left"/>
            </w:pPr>
            <w:r>
              <w:rPr>
                <w:sz w:val="24"/>
              </w:rPr>
              <w:t>5</w:t>
            </w:r>
          </w:p>
        </w:tc>
        <w:tc>
          <w:tcPr>
            <w:tcW w:w="4319" w:type="dxa"/>
            <w:vAlign w:val="center"/>
          </w:tcPr>
          <w:p w:rsidR="00A65D54" w:rsidRDefault="00484537">
            <w:pPr>
              <w:jc w:val="left"/>
            </w:pPr>
            <w:r>
              <w:rPr>
                <w:sz w:val="24"/>
              </w:rPr>
              <w:t>交银施罗德天益宝货币市场基金</w:t>
            </w:r>
            <w:r>
              <w:rPr>
                <w:sz w:val="24"/>
              </w:rPr>
              <w:t>2018</w:t>
            </w:r>
            <w:r>
              <w:rPr>
                <w:sz w:val="24"/>
              </w:rPr>
              <w:t>年年度报告摘要</w:t>
            </w:r>
          </w:p>
        </w:tc>
        <w:tc>
          <w:tcPr>
            <w:tcW w:w="2519" w:type="dxa"/>
            <w:vAlign w:val="center"/>
          </w:tcPr>
          <w:p w:rsidR="00A65D54" w:rsidRDefault="00484537">
            <w:pPr>
              <w:jc w:val="left"/>
            </w:pPr>
            <w:r>
              <w:rPr>
                <w:sz w:val="24"/>
              </w:rPr>
              <w:t>上海证券报</w:t>
            </w:r>
          </w:p>
        </w:tc>
        <w:tc>
          <w:tcPr>
            <w:tcW w:w="1440" w:type="dxa"/>
            <w:vAlign w:val="center"/>
          </w:tcPr>
          <w:p w:rsidR="00A65D54" w:rsidRDefault="00484537">
            <w:pPr>
              <w:jc w:val="left"/>
            </w:pPr>
            <w:r>
              <w:rPr>
                <w:sz w:val="24"/>
              </w:rPr>
              <w:t>2019-03-27</w:t>
            </w:r>
          </w:p>
        </w:tc>
      </w:tr>
      <w:tr w:rsidR="00A65D54">
        <w:tc>
          <w:tcPr>
            <w:tcW w:w="720" w:type="dxa"/>
            <w:vAlign w:val="center"/>
          </w:tcPr>
          <w:p w:rsidR="00A65D54" w:rsidRDefault="00484537">
            <w:pPr>
              <w:jc w:val="left"/>
            </w:pPr>
            <w:r>
              <w:rPr>
                <w:sz w:val="24"/>
              </w:rPr>
              <w:t>6</w:t>
            </w:r>
          </w:p>
        </w:tc>
        <w:tc>
          <w:tcPr>
            <w:tcW w:w="4319" w:type="dxa"/>
            <w:vAlign w:val="center"/>
          </w:tcPr>
          <w:p w:rsidR="00A65D54" w:rsidRDefault="00484537">
            <w:pPr>
              <w:jc w:val="left"/>
            </w:pPr>
            <w:r>
              <w:rPr>
                <w:sz w:val="24"/>
              </w:rPr>
              <w:t>交银施罗德基金管理有限公司关于取消纸质对账单寄送的公告</w:t>
            </w:r>
          </w:p>
        </w:tc>
        <w:tc>
          <w:tcPr>
            <w:tcW w:w="2519" w:type="dxa"/>
            <w:vAlign w:val="center"/>
          </w:tcPr>
          <w:p w:rsidR="00A65D54" w:rsidRDefault="00484537">
            <w:pPr>
              <w:jc w:val="left"/>
            </w:pPr>
            <w:r>
              <w:rPr>
                <w:sz w:val="24"/>
              </w:rPr>
              <w:t>中国证券报、上海证券报、证券时报</w:t>
            </w:r>
          </w:p>
        </w:tc>
        <w:tc>
          <w:tcPr>
            <w:tcW w:w="1440" w:type="dxa"/>
            <w:vAlign w:val="center"/>
          </w:tcPr>
          <w:p w:rsidR="00A65D54" w:rsidRDefault="00484537">
            <w:pPr>
              <w:jc w:val="left"/>
            </w:pPr>
            <w:r>
              <w:rPr>
                <w:sz w:val="24"/>
              </w:rPr>
              <w:t>2019-04-12</w:t>
            </w:r>
          </w:p>
        </w:tc>
      </w:tr>
      <w:tr w:rsidR="00A65D54">
        <w:tc>
          <w:tcPr>
            <w:tcW w:w="720" w:type="dxa"/>
            <w:vAlign w:val="center"/>
          </w:tcPr>
          <w:p w:rsidR="00A65D54" w:rsidRDefault="00484537">
            <w:pPr>
              <w:jc w:val="left"/>
            </w:pPr>
            <w:r>
              <w:rPr>
                <w:sz w:val="24"/>
              </w:rPr>
              <w:t>7</w:t>
            </w:r>
          </w:p>
        </w:tc>
        <w:tc>
          <w:tcPr>
            <w:tcW w:w="4319" w:type="dxa"/>
            <w:vAlign w:val="center"/>
          </w:tcPr>
          <w:p w:rsidR="00A65D54" w:rsidRDefault="00484537">
            <w:pPr>
              <w:jc w:val="left"/>
            </w:pPr>
            <w:r>
              <w:rPr>
                <w:sz w:val="24"/>
              </w:rPr>
              <w:t>交银施罗德天益宝货币市场基金</w:t>
            </w:r>
            <w:r>
              <w:rPr>
                <w:sz w:val="24"/>
              </w:rPr>
              <w:t>2019</w:t>
            </w:r>
            <w:r>
              <w:rPr>
                <w:sz w:val="24"/>
              </w:rPr>
              <w:t>年第</w:t>
            </w:r>
            <w:r>
              <w:rPr>
                <w:sz w:val="24"/>
              </w:rPr>
              <w:t>1</w:t>
            </w:r>
            <w:r>
              <w:rPr>
                <w:sz w:val="24"/>
              </w:rPr>
              <w:t>季度报告</w:t>
            </w:r>
          </w:p>
        </w:tc>
        <w:tc>
          <w:tcPr>
            <w:tcW w:w="2519" w:type="dxa"/>
            <w:vAlign w:val="center"/>
          </w:tcPr>
          <w:p w:rsidR="00A65D54" w:rsidRDefault="00484537">
            <w:pPr>
              <w:jc w:val="left"/>
            </w:pPr>
            <w:r>
              <w:rPr>
                <w:sz w:val="24"/>
              </w:rPr>
              <w:t>上海证券报</w:t>
            </w:r>
          </w:p>
        </w:tc>
        <w:tc>
          <w:tcPr>
            <w:tcW w:w="1440" w:type="dxa"/>
            <w:vAlign w:val="center"/>
          </w:tcPr>
          <w:p w:rsidR="00A65D54" w:rsidRDefault="00484537">
            <w:pPr>
              <w:jc w:val="left"/>
            </w:pPr>
            <w:r>
              <w:rPr>
                <w:sz w:val="24"/>
              </w:rPr>
              <w:t>2019-04-20</w:t>
            </w:r>
          </w:p>
        </w:tc>
      </w:tr>
      <w:tr w:rsidR="00A65D54">
        <w:tc>
          <w:tcPr>
            <w:tcW w:w="720" w:type="dxa"/>
            <w:vAlign w:val="center"/>
          </w:tcPr>
          <w:p w:rsidR="00A65D54" w:rsidRDefault="00484537">
            <w:pPr>
              <w:jc w:val="left"/>
            </w:pPr>
            <w:r>
              <w:rPr>
                <w:sz w:val="24"/>
              </w:rPr>
              <w:t>8</w:t>
            </w:r>
          </w:p>
        </w:tc>
        <w:tc>
          <w:tcPr>
            <w:tcW w:w="4319" w:type="dxa"/>
            <w:vAlign w:val="center"/>
          </w:tcPr>
          <w:p w:rsidR="00A65D54" w:rsidRDefault="00484537">
            <w:pPr>
              <w:jc w:val="left"/>
            </w:pPr>
            <w:r>
              <w:rPr>
                <w:sz w:val="24"/>
              </w:rPr>
              <w:t>交银施罗德基金管理有限公司关于增加上海天天基金销售有限公司为旗下部分货币市场基金的场外销售机构的公告</w:t>
            </w:r>
          </w:p>
        </w:tc>
        <w:tc>
          <w:tcPr>
            <w:tcW w:w="2519" w:type="dxa"/>
            <w:vAlign w:val="center"/>
          </w:tcPr>
          <w:p w:rsidR="00A65D54" w:rsidRDefault="00484537">
            <w:pPr>
              <w:jc w:val="left"/>
            </w:pPr>
            <w:r>
              <w:rPr>
                <w:sz w:val="24"/>
              </w:rPr>
              <w:t>中国证券报、上海证券报、证券时报</w:t>
            </w:r>
          </w:p>
        </w:tc>
        <w:tc>
          <w:tcPr>
            <w:tcW w:w="1440" w:type="dxa"/>
            <w:vAlign w:val="center"/>
          </w:tcPr>
          <w:p w:rsidR="00A65D54" w:rsidRDefault="00484537">
            <w:pPr>
              <w:jc w:val="left"/>
            </w:pPr>
            <w:r>
              <w:rPr>
                <w:sz w:val="24"/>
              </w:rPr>
              <w:t>2019-04-24</w:t>
            </w:r>
          </w:p>
        </w:tc>
      </w:tr>
      <w:tr w:rsidR="00A65D54">
        <w:tc>
          <w:tcPr>
            <w:tcW w:w="720" w:type="dxa"/>
            <w:vAlign w:val="center"/>
          </w:tcPr>
          <w:p w:rsidR="00A65D54" w:rsidRDefault="00484537">
            <w:pPr>
              <w:jc w:val="left"/>
            </w:pPr>
            <w:r>
              <w:rPr>
                <w:sz w:val="24"/>
              </w:rPr>
              <w:t>9</w:t>
            </w:r>
          </w:p>
        </w:tc>
        <w:tc>
          <w:tcPr>
            <w:tcW w:w="4319" w:type="dxa"/>
            <w:vAlign w:val="center"/>
          </w:tcPr>
          <w:p w:rsidR="00A65D54" w:rsidRDefault="00484537">
            <w:pPr>
              <w:jc w:val="left"/>
            </w:pPr>
            <w:r>
              <w:rPr>
                <w:sz w:val="24"/>
              </w:rPr>
              <w:t>交银施罗德基金管理有限公司关于增加江苏汇林保大基金销售有限公司为旗下部分货币市场基金的场外销售机构的公告</w:t>
            </w:r>
          </w:p>
        </w:tc>
        <w:tc>
          <w:tcPr>
            <w:tcW w:w="2519" w:type="dxa"/>
            <w:vAlign w:val="center"/>
          </w:tcPr>
          <w:p w:rsidR="00A65D54" w:rsidRDefault="00484537">
            <w:pPr>
              <w:jc w:val="left"/>
            </w:pPr>
            <w:r>
              <w:rPr>
                <w:sz w:val="24"/>
              </w:rPr>
              <w:t>中国证券报、上海证券报、证券时报</w:t>
            </w:r>
          </w:p>
        </w:tc>
        <w:tc>
          <w:tcPr>
            <w:tcW w:w="1440" w:type="dxa"/>
            <w:vAlign w:val="center"/>
          </w:tcPr>
          <w:p w:rsidR="00A65D54" w:rsidRDefault="00484537">
            <w:pPr>
              <w:jc w:val="left"/>
            </w:pPr>
            <w:r>
              <w:rPr>
                <w:sz w:val="24"/>
              </w:rPr>
              <w:t>2019-05-30</w:t>
            </w:r>
          </w:p>
        </w:tc>
      </w:tr>
    </w:tbl>
    <w:p w:rsidR="00B8145B" w:rsidRPr="00356FA6" w:rsidRDefault="00B8145B" w:rsidP="006C67B5">
      <w:pPr>
        <w:tabs>
          <w:tab w:val="left" w:pos="426"/>
        </w:tabs>
        <w:spacing w:before="29" w:line="288" w:lineRule="auto"/>
        <w:jc w:val="left"/>
        <w:rPr>
          <w:kern w:val="0"/>
          <w:sz w:val="24"/>
        </w:rPr>
      </w:pPr>
    </w:p>
    <w:p w:rsidR="00AB4EB9" w:rsidRPr="00356FA6" w:rsidRDefault="00AB4EB9" w:rsidP="00326D54">
      <w:pPr>
        <w:pStyle w:val="1"/>
        <w:keepNext/>
        <w:keepLines/>
        <w:widowControl w:val="0"/>
        <w:spacing w:beforeLines="100" w:before="312" w:afterLines="100" w:after="312" w:line="360" w:lineRule="auto"/>
        <w:jc w:val="center"/>
        <w:rPr>
          <w:rFonts w:eastAsiaTheme="minorEastAsia"/>
          <w:b/>
          <w:bCs/>
          <w:sz w:val="21"/>
          <w:szCs w:val="21"/>
          <w:lang w:val="en-US"/>
        </w:rPr>
      </w:pPr>
      <w:bookmarkStart w:id="102" w:name="_Toc331410125"/>
      <w:bookmarkStart w:id="103" w:name="_Toc374607374"/>
      <w:r w:rsidRPr="00356FA6">
        <w:rPr>
          <w:rFonts w:eastAsiaTheme="minorEastAsia"/>
          <w:b/>
          <w:bCs/>
          <w:sz w:val="21"/>
          <w:szCs w:val="21"/>
          <w:lang w:val="en-US"/>
        </w:rPr>
        <w:t>11</w:t>
      </w:r>
      <w:r w:rsidRPr="00356FA6">
        <w:rPr>
          <w:rFonts w:eastAsiaTheme="minorEastAsia"/>
          <w:b/>
          <w:bCs/>
          <w:sz w:val="21"/>
          <w:szCs w:val="21"/>
          <w:lang w:val="en-US"/>
        </w:rPr>
        <w:t>影响投资者决策的其他重要信息</w:t>
      </w:r>
      <w:bookmarkEnd w:id="102"/>
      <w:bookmarkEnd w:id="103"/>
    </w:p>
    <w:p w:rsidR="00AB4EB9" w:rsidRPr="00356FA6" w:rsidRDefault="00AB4EB9" w:rsidP="00AB4EB9">
      <w:pPr>
        <w:autoSpaceDE w:val="0"/>
        <w:autoSpaceDN w:val="0"/>
        <w:adjustRightInd w:val="0"/>
        <w:spacing w:line="360" w:lineRule="auto"/>
        <w:jc w:val="left"/>
        <w:rPr>
          <w:rFonts w:ascii="宋体" w:hAnsi="宋体"/>
          <w:b/>
          <w:bCs/>
          <w:color w:val="000000"/>
          <w:kern w:val="0"/>
          <w:szCs w:val="21"/>
        </w:rPr>
      </w:pPr>
      <w:r w:rsidRPr="00356FA6">
        <w:rPr>
          <w:rFonts w:ascii="宋体" w:hAnsi="宋体"/>
          <w:b/>
          <w:bCs/>
          <w:color w:val="000000"/>
          <w:kern w:val="0"/>
          <w:szCs w:val="21"/>
        </w:rPr>
        <w:t>11.</w:t>
      </w:r>
      <w:r w:rsidRPr="00356FA6">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3B2832">
        <w:tc>
          <w:tcPr>
            <w:tcW w:w="993" w:type="dxa"/>
            <w:vMerge w:val="restart"/>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3B2832">
        <w:tc>
          <w:tcPr>
            <w:tcW w:w="993" w:type="dxa"/>
            <w:vMerge/>
            <w:vAlign w:val="center"/>
          </w:tcPr>
          <w:p w:rsidR="00AB4EB9" w:rsidRPr="00356FA6" w:rsidRDefault="00AB4EB9" w:rsidP="003B283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A65D54">
        <w:tc>
          <w:tcPr>
            <w:tcW w:w="993" w:type="dxa"/>
            <w:vMerge w:val="restart"/>
          </w:tcPr>
          <w:p w:rsidR="00A65D54" w:rsidRDefault="00A65D54"/>
          <w:p w:rsidR="00A65D54" w:rsidRDefault="00484537">
            <w:r>
              <w:rPr>
                <w:rFonts w:ascii="宋体" w:hAnsi="宋体" w:hint="eastAsia"/>
                <w:bCs/>
                <w:color w:val="000000"/>
                <w:kern w:val="0"/>
                <w:szCs w:val="21"/>
              </w:rPr>
              <w:t>机构</w:t>
            </w:r>
          </w:p>
        </w:tc>
        <w:tc>
          <w:tcPr>
            <w:tcW w:w="992" w:type="dxa"/>
            <w:vAlign w:val="center"/>
          </w:tcPr>
          <w:p w:rsidR="00A65D54" w:rsidRDefault="00484537">
            <w:pPr>
              <w:jc w:val="center"/>
            </w:pPr>
            <w:r>
              <w:rPr>
                <w:rFonts w:ascii="宋体" w:hAnsi="宋体"/>
                <w:color w:val="000000"/>
                <w:kern w:val="0"/>
                <w:szCs w:val="21"/>
              </w:rPr>
              <w:t>1</w:t>
            </w:r>
          </w:p>
        </w:tc>
        <w:tc>
          <w:tcPr>
            <w:tcW w:w="1843" w:type="dxa"/>
            <w:vAlign w:val="center"/>
          </w:tcPr>
          <w:p w:rsidR="00A65D54" w:rsidRDefault="00484537">
            <w:pPr>
              <w:jc w:val="center"/>
            </w:pPr>
            <w:r>
              <w:rPr>
                <w:rFonts w:ascii="宋体" w:hAnsi="宋体"/>
                <w:color w:val="000000"/>
                <w:kern w:val="0"/>
                <w:szCs w:val="21"/>
              </w:rPr>
              <w:t>2019/1/1-2019/6/30</w:t>
            </w:r>
          </w:p>
        </w:tc>
        <w:tc>
          <w:tcPr>
            <w:tcW w:w="851" w:type="dxa"/>
            <w:vAlign w:val="center"/>
          </w:tcPr>
          <w:p w:rsidR="00A65D54" w:rsidRDefault="00484537">
            <w:pPr>
              <w:jc w:val="center"/>
            </w:pPr>
            <w:r>
              <w:rPr>
                <w:rFonts w:ascii="宋体" w:hAnsi="宋体"/>
                <w:color w:val="000000"/>
                <w:kern w:val="0"/>
                <w:szCs w:val="21"/>
              </w:rPr>
              <w:t>1,373,362,626.27</w:t>
            </w:r>
          </w:p>
        </w:tc>
        <w:tc>
          <w:tcPr>
            <w:tcW w:w="850" w:type="dxa"/>
            <w:vAlign w:val="center"/>
          </w:tcPr>
          <w:p w:rsidR="00A65D54" w:rsidRDefault="00484537">
            <w:pPr>
              <w:jc w:val="center"/>
            </w:pPr>
            <w:r>
              <w:rPr>
                <w:rFonts w:ascii="宋体" w:hAnsi="宋体"/>
                <w:color w:val="000000"/>
                <w:kern w:val="0"/>
                <w:szCs w:val="21"/>
              </w:rPr>
              <w:t>16,226,602.93</w:t>
            </w:r>
          </w:p>
        </w:tc>
        <w:tc>
          <w:tcPr>
            <w:tcW w:w="1134" w:type="dxa"/>
            <w:vAlign w:val="center"/>
          </w:tcPr>
          <w:p w:rsidR="00A65D54" w:rsidRDefault="00484537">
            <w:pPr>
              <w:jc w:val="center"/>
            </w:pPr>
            <w:r>
              <w:rPr>
                <w:rFonts w:ascii="宋体" w:hAnsi="宋体"/>
                <w:color w:val="000000"/>
                <w:kern w:val="0"/>
                <w:szCs w:val="21"/>
              </w:rPr>
              <w:t>650,000,000.00</w:t>
            </w:r>
          </w:p>
        </w:tc>
        <w:tc>
          <w:tcPr>
            <w:tcW w:w="1419" w:type="dxa"/>
            <w:vAlign w:val="center"/>
          </w:tcPr>
          <w:p w:rsidR="00A65D54" w:rsidRDefault="00484537">
            <w:pPr>
              <w:jc w:val="center"/>
            </w:pPr>
            <w:r>
              <w:rPr>
                <w:rFonts w:ascii="宋体" w:hAnsi="宋体"/>
                <w:color w:val="000000"/>
                <w:kern w:val="0"/>
                <w:szCs w:val="21"/>
              </w:rPr>
              <w:t>739,589,229.20</w:t>
            </w:r>
          </w:p>
        </w:tc>
        <w:tc>
          <w:tcPr>
            <w:tcW w:w="1130" w:type="dxa"/>
            <w:vAlign w:val="center"/>
          </w:tcPr>
          <w:p w:rsidR="00A65D54" w:rsidRDefault="00484537">
            <w:pPr>
              <w:jc w:val="center"/>
            </w:pPr>
            <w:r>
              <w:rPr>
                <w:rFonts w:ascii="宋体" w:hAnsi="宋体"/>
                <w:color w:val="000000"/>
                <w:kern w:val="0"/>
                <w:szCs w:val="21"/>
              </w:rPr>
              <w:t>16.08%</w:t>
            </w:r>
          </w:p>
        </w:tc>
      </w:tr>
      <w:tr w:rsidR="00A65D54">
        <w:tc>
          <w:tcPr>
            <w:tcW w:w="993" w:type="dxa"/>
            <w:vMerge/>
          </w:tcPr>
          <w:p w:rsidR="00A65D54" w:rsidRDefault="00A65D54"/>
        </w:tc>
        <w:tc>
          <w:tcPr>
            <w:tcW w:w="992" w:type="dxa"/>
            <w:vAlign w:val="center"/>
          </w:tcPr>
          <w:p w:rsidR="00A65D54" w:rsidRDefault="00484537">
            <w:pPr>
              <w:jc w:val="center"/>
            </w:pPr>
            <w:r>
              <w:rPr>
                <w:rFonts w:ascii="宋体" w:hAnsi="宋体"/>
                <w:color w:val="000000"/>
                <w:kern w:val="0"/>
                <w:szCs w:val="21"/>
              </w:rPr>
              <w:t>2</w:t>
            </w:r>
          </w:p>
        </w:tc>
        <w:tc>
          <w:tcPr>
            <w:tcW w:w="1843" w:type="dxa"/>
            <w:vAlign w:val="center"/>
          </w:tcPr>
          <w:p w:rsidR="00A65D54" w:rsidRDefault="00484537">
            <w:pPr>
              <w:jc w:val="center"/>
            </w:pPr>
            <w:r>
              <w:rPr>
                <w:rFonts w:ascii="宋体" w:hAnsi="宋体"/>
                <w:color w:val="000000"/>
                <w:kern w:val="0"/>
                <w:szCs w:val="21"/>
              </w:rPr>
              <w:t>2019/1/1-2019/6/30</w:t>
            </w:r>
          </w:p>
        </w:tc>
        <w:tc>
          <w:tcPr>
            <w:tcW w:w="851" w:type="dxa"/>
            <w:vAlign w:val="center"/>
          </w:tcPr>
          <w:p w:rsidR="00A65D54" w:rsidRDefault="00484537">
            <w:pPr>
              <w:jc w:val="center"/>
            </w:pPr>
            <w:r>
              <w:rPr>
                <w:rFonts w:ascii="宋体" w:hAnsi="宋体"/>
                <w:color w:val="000000"/>
                <w:kern w:val="0"/>
                <w:szCs w:val="21"/>
              </w:rPr>
              <w:t>1,111,040,730.34</w:t>
            </w:r>
          </w:p>
        </w:tc>
        <w:tc>
          <w:tcPr>
            <w:tcW w:w="850" w:type="dxa"/>
            <w:vAlign w:val="center"/>
          </w:tcPr>
          <w:p w:rsidR="00A65D54" w:rsidRDefault="00484537">
            <w:pPr>
              <w:jc w:val="center"/>
            </w:pPr>
            <w:r>
              <w:rPr>
                <w:rFonts w:ascii="宋体" w:hAnsi="宋体"/>
                <w:color w:val="000000"/>
                <w:kern w:val="0"/>
                <w:szCs w:val="21"/>
              </w:rPr>
              <w:t>9,758,937.83</w:t>
            </w:r>
          </w:p>
        </w:tc>
        <w:tc>
          <w:tcPr>
            <w:tcW w:w="1134" w:type="dxa"/>
            <w:vAlign w:val="center"/>
          </w:tcPr>
          <w:p w:rsidR="00A65D54" w:rsidRDefault="00484537">
            <w:pPr>
              <w:jc w:val="center"/>
            </w:pPr>
            <w:r>
              <w:rPr>
                <w:rFonts w:ascii="宋体" w:hAnsi="宋体"/>
                <w:color w:val="000000"/>
                <w:kern w:val="0"/>
                <w:szCs w:val="21"/>
              </w:rPr>
              <w:t>800,000,000.00</w:t>
            </w:r>
          </w:p>
        </w:tc>
        <w:tc>
          <w:tcPr>
            <w:tcW w:w="1419" w:type="dxa"/>
            <w:vAlign w:val="center"/>
          </w:tcPr>
          <w:p w:rsidR="00A65D54" w:rsidRDefault="00484537">
            <w:pPr>
              <w:jc w:val="center"/>
            </w:pPr>
            <w:r>
              <w:rPr>
                <w:rFonts w:ascii="宋体" w:hAnsi="宋体"/>
                <w:color w:val="000000"/>
                <w:kern w:val="0"/>
                <w:szCs w:val="21"/>
              </w:rPr>
              <w:t>320,799,668.17</w:t>
            </w:r>
          </w:p>
        </w:tc>
        <w:tc>
          <w:tcPr>
            <w:tcW w:w="1130" w:type="dxa"/>
            <w:vAlign w:val="center"/>
          </w:tcPr>
          <w:p w:rsidR="00A65D54" w:rsidRDefault="00484537">
            <w:pPr>
              <w:jc w:val="center"/>
            </w:pPr>
            <w:r>
              <w:rPr>
                <w:rFonts w:ascii="宋体" w:hAnsi="宋体"/>
                <w:color w:val="000000"/>
                <w:kern w:val="0"/>
                <w:szCs w:val="21"/>
              </w:rPr>
              <w:t>6.98%</w:t>
            </w:r>
          </w:p>
        </w:tc>
      </w:tr>
      <w:tr w:rsidR="00A65D54">
        <w:tc>
          <w:tcPr>
            <w:tcW w:w="993" w:type="dxa"/>
            <w:vMerge/>
          </w:tcPr>
          <w:p w:rsidR="00A65D54" w:rsidRDefault="00A65D54"/>
        </w:tc>
        <w:tc>
          <w:tcPr>
            <w:tcW w:w="992" w:type="dxa"/>
            <w:vAlign w:val="center"/>
          </w:tcPr>
          <w:p w:rsidR="00A65D54" w:rsidRDefault="00484537">
            <w:pPr>
              <w:jc w:val="center"/>
            </w:pPr>
            <w:r>
              <w:rPr>
                <w:rFonts w:ascii="宋体" w:hAnsi="宋体"/>
                <w:color w:val="000000"/>
                <w:kern w:val="0"/>
                <w:szCs w:val="21"/>
              </w:rPr>
              <w:t>3</w:t>
            </w:r>
          </w:p>
        </w:tc>
        <w:tc>
          <w:tcPr>
            <w:tcW w:w="1843" w:type="dxa"/>
            <w:vAlign w:val="center"/>
          </w:tcPr>
          <w:p w:rsidR="00A65D54" w:rsidRDefault="00484537">
            <w:pPr>
              <w:jc w:val="center"/>
            </w:pPr>
            <w:r>
              <w:rPr>
                <w:rFonts w:ascii="宋体" w:hAnsi="宋体"/>
                <w:color w:val="000000"/>
                <w:kern w:val="0"/>
                <w:szCs w:val="21"/>
              </w:rPr>
              <w:t>2019/1/1-2019/6/30</w:t>
            </w:r>
          </w:p>
        </w:tc>
        <w:tc>
          <w:tcPr>
            <w:tcW w:w="851" w:type="dxa"/>
            <w:vAlign w:val="center"/>
          </w:tcPr>
          <w:p w:rsidR="00A65D54" w:rsidRDefault="00484537">
            <w:pPr>
              <w:jc w:val="center"/>
            </w:pPr>
            <w:r>
              <w:rPr>
                <w:rFonts w:ascii="宋体" w:hAnsi="宋体"/>
                <w:color w:val="000000"/>
                <w:kern w:val="0"/>
                <w:szCs w:val="21"/>
              </w:rPr>
              <w:t>1,002,530,858.57</w:t>
            </w:r>
          </w:p>
        </w:tc>
        <w:tc>
          <w:tcPr>
            <w:tcW w:w="850" w:type="dxa"/>
            <w:vAlign w:val="center"/>
          </w:tcPr>
          <w:p w:rsidR="00A65D54" w:rsidRDefault="00484537">
            <w:pPr>
              <w:jc w:val="center"/>
            </w:pPr>
            <w:r>
              <w:rPr>
                <w:rFonts w:ascii="宋体" w:hAnsi="宋体"/>
                <w:color w:val="000000"/>
                <w:kern w:val="0"/>
                <w:szCs w:val="21"/>
              </w:rPr>
              <w:t>13,861,343.11</w:t>
            </w:r>
          </w:p>
        </w:tc>
        <w:tc>
          <w:tcPr>
            <w:tcW w:w="1134" w:type="dxa"/>
            <w:vAlign w:val="center"/>
          </w:tcPr>
          <w:p w:rsidR="00A65D54" w:rsidRDefault="00484537">
            <w:pPr>
              <w:jc w:val="center"/>
            </w:pPr>
            <w:r>
              <w:rPr>
                <w:rFonts w:ascii="宋体" w:hAnsi="宋体"/>
                <w:color w:val="000000"/>
                <w:kern w:val="0"/>
                <w:szCs w:val="21"/>
              </w:rPr>
              <w:t>516,100,000.00</w:t>
            </w:r>
          </w:p>
        </w:tc>
        <w:tc>
          <w:tcPr>
            <w:tcW w:w="1419" w:type="dxa"/>
            <w:vAlign w:val="center"/>
          </w:tcPr>
          <w:p w:rsidR="00A65D54" w:rsidRDefault="00484537">
            <w:pPr>
              <w:jc w:val="center"/>
            </w:pPr>
            <w:r>
              <w:rPr>
                <w:rFonts w:ascii="宋体" w:hAnsi="宋体"/>
                <w:color w:val="000000"/>
                <w:kern w:val="0"/>
                <w:szCs w:val="21"/>
              </w:rPr>
              <w:t>500,292,201.68</w:t>
            </w:r>
          </w:p>
        </w:tc>
        <w:tc>
          <w:tcPr>
            <w:tcW w:w="1130" w:type="dxa"/>
            <w:vAlign w:val="center"/>
          </w:tcPr>
          <w:p w:rsidR="00A65D54" w:rsidRDefault="00484537">
            <w:pPr>
              <w:jc w:val="center"/>
            </w:pPr>
            <w:r>
              <w:rPr>
                <w:rFonts w:ascii="宋体" w:hAnsi="宋体"/>
                <w:color w:val="000000"/>
                <w:kern w:val="0"/>
                <w:szCs w:val="21"/>
              </w:rPr>
              <w:t>10.88%</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04" w:name="_Toc331410126"/>
      <w:bookmarkStart w:id="105" w:name="_Toc225500055"/>
      <w:bookmarkStart w:id="106" w:name="_Toc374607375"/>
      <w:r w:rsidRPr="00356FA6">
        <w:rPr>
          <w:b/>
          <w:bCs/>
          <w:szCs w:val="24"/>
          <w:lang w:val="en-US"/>
        </w:rPr>
        <w:t>§12</w:t>
      </w:r>
      <w:r w:rsidRPr="00356FA6">
        <w:rPr>
          <w:b/>
          <w:bCs/>
          <w:szCs w:val="24"/>
          <w:lang w:val="en-US"/>
        </w:rPr>
        <w:t>备查文件目录</w:t>
      </w:r>
      <w:bookmarkEnd w:id="104"/>
      <w:bookmarkEnd w:id="105"/>
      <w:bookmarkEnd w:id="106"/>
    </w:p>
    <w:p w:rsidR="006D141C" w:rsidRPr="00356FA6" w:rsidRDefault="008C3BC2" w:rsidP="006C67B5">
      <w:pPr>
        <w:pStyle w:val="20"/>
        <w:spacing w:before="29" w:after="0" w:line="288" w:lineRule="auto"/>
        <w:rPr>
          <w:rFonts w:ascii="Times New Roman" w:hAnsi="Times New Roman" w:cs="Times New Roman"/>
          <w:kern w:val="0"/>
          <w:szCs w:val="24"/>
        </w:rPr>
      </w:pPr>
      <w:bookmarkStart w:id="107" w:name="_Toc331410127"/>
      <w:bookmarkStart w:id="108" w:name="_Toc374607376"/>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07"/>
      <w:bookmarkEnd w:id="108"/>
    </w:p>
    <w:p w:rsidR="00A65D54" w:rsidRDefault="00484537">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、中国证监会准予交银施罗德天益宝货币市场基金募集注册的文件；</w:t>
      </w:r>
      <w:r>
        <w:rPr>
          <w:kern w:val="0"/>
          <w:sz w:val="24"/>
        </w:rPr>
        <w:t xml:space="preserve"> </w:t>
      </w:r>
    </w:p>
    <w:p w:rsidR="00A65D54" w:rsidRDefault="00484537">
      <w:pPr>
        <w:tabs>
          <w:tab w:val="left" w:pos="426"/>
        </w:tabs>
        <w:spacing w:before="29" w:line="288" w:lineRule="auto"/>
        <w:ind w:firstLineChars="200" w:firstLine="480"/>
        <w:rPr>
          <w:kern w:val="0"/>
          <w:sz w:val="24"/>
        </w:rPr>
      </w:pPr>
      <w:r>
        <w:rPr>
          <w:kern w:val="0"/>
          <w:sz w:val="24"/>
        </w:rPr>
        <w:t>2</w:t>
      </w:r>
      <w:r>
        <w:rPr>
          <w:kern w:val="0"/>
          <w:sz w:val="24"/>
        </w:rPr>
        <w:t>、《交银施罗德天益宝货币市场基金基金合同》；</w:t>
      </w:r>
      <w:r>
        <w:rPr>
          <w:kern w:val="0"/>
          <w:sz w:val="24"/>
        </w:rPr>
        <w:t xml:space="preserve"> </w:t>
      </w:r>
    </w:p>
    <w:p w:rsidR="00A65D54" w:rsidRDefault="00484537">
      <w:pPr>
        <w:tabs>
          <w:tab w:val="left" w:pos="426"/>
        </w:tabs>
        <w:spacing w:before="29" w:line="288" w:lineRule="auto"/>
        <w:ind w:firstLineChars="200" w:firstLine="480"/>
        <w:rPr>
          <w:kern w:val="0"/>
          <w:sz w:val="24"/>
        </w:rPr>
      </w:pPr>
      <w:r>
        <w:rPr>
          <w:kern w:val="0"/>
          <w:sz w:val="24"/>
        </w:rPr>
        <w:t>3</w:t>
      </w:r>
      <w:r>
        <w:rPr>
          <w:kern w:val="0"/>
          <w:sz w:val="24"/>
        </w:rPr>
        <w:t>、《交银施罗德天益宝货币市场基金招募说明书》；</w:t>
      </w:r>
      <w:r>
        <w:rPr>
          <w:kern w:val="0"/>
          <w:sz w:val="24"/>
        </w:rPr>
        <w:t xml:space="preserve"> </w:t>
      </w:r>
    </w:p>
    <w:p w:rsidR="00A65D54" w:rsidRDefault="00484537">
      <w:pPr>
        <w:tabs>
          <w:tab w:val="left" w:pos="426"/>
        </w:tabs>
        <w:spacing w:before="29" w:line="288" w:lineRule="auto"/>
        <w:ind w:firstLineChars="200" w:firstLine="480"/>
        <w:rPr>
          <w:kern w:val="0"/>
          <w:sz w:val="24"/>
        </w:rPr>
      </w:pPr>
      <w:r>
        <w:rPr>
          <w:kern w:val="0"/>
          <w:sz w:val="24"/>
        </w:rPr>
        <w:t>4</w:t>
      </w:r>
      <w:r>
        <w:rPr>
          <w:kern w:val="0"/>
          <w:sz w:val="24"/>
        </w:rPr>
        <w:t>、《交银施罗德天益宝货币市场基金托管协议》；</w:t>
      </w:r>
      <w:r>
        <w:rPr>
          <w:kern w:val="0"/>
          <w:sz w:val="24"/>
        </w:rPr>
        <w:t xml:space="preserve"> </w:t>
      </w:r>
    </w:p>
    <w:p w:rsidR="00A65D54" w:rsidRDefault="00484537">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、关于申请募集注册交银施罗德天益宝货币市场基金的法律意见书；</w:t>
      </w:r>
      <w:r>
        <w:rPr>
          <w:kern w:val="0"/>
          <w:sz w:val="24"/>
        </w:rPr>
        <w:t xml:space="preserve"> </w:t>
      </w:r>
    </w:p>
    <w:p w:rsidR="00A65D54" w:rsidRDefault="00484537">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65D54" w:rsidRDefault="00484537">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A65D54" w:rsidRDefault="00484537">
      <w:pPr>
        <w:tabs>
          <w:tab w:val="left" w:pos="426"/>
        </w:tabs>
        <w:spacing w:before="29" w:line="288" w:lineRule="auto"/>
        <w:ind w:firstLineChars="200" w:firstLine="480"/>
        <w:rPr>
          <w:kern w:val="0"/>
          <w:sz w:val="24"/>
        </w:rPr>
      </w:pPr>
      <w:r>
        <w:rPr>
          <w:kern w:val="0"/>
          <w:sz w:val="24"/>
        </w:rPr>
        <w:t>8</w:t>
      </w:r>
      <w:r>
        <w:rPr>
          <w:kern w:val="0"/>
          <w:sz w:val="24"/>
        </w:rPr>
        <w:t>、报告期内交银施罗德天益宝货币市场基金在指定报刊上各项公告的原稿。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09" w:name="_Toc331410128"/>
      <w:bookmarkStart w:id="110" w:name="_Toc374607377"/>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09"/>
      <w:bookmarkEnd w:id="110"/>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1" w:name="_Toc331410129"/>
      <w:bookmarkStart w:id="112" w:name="_Toc374607378"/>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1"/>
      <w:bookmarkEnd w:id="112"/>
    </w:p>
    <w:p w:rsidR="00A65D54" w:rsidRDefault="00484537">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52F" w:rsidRDefault="0071752F">
      <w:r>
        <w:separator/>
      </w:r>
    </w:p>
  </w:endnote>
  <w:endnote w:type="continuationSeparator" w:id="0">
    <w:p w:rsidR="0071752F" w:rsidRDefault="0071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784707">
      <w:rPr>
        <w:noProof/>
        <w:kern w:val="0"/>
        <w:szCs w:val="21"/>
      </w:rPr>
      <w:t>28</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784707">
      <w:rPr>
        <w:noProof/>
        <w:kern w:val="0"/>
        <w:szCs w:val="21"/>
      </w:rPr>
      <w:t>48</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52F" w:rsidRDefault="0071752F">
      <w:r>
        <w:separator/>
      </w:r>
    </w:p>
  </w:footnote>
  <w:footnote w:type="continuationSeparator" w:id="0">
    <w:p w:rsidR="0071752F" w:rsidRDefault="00717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交银施罗德天益宝货币市场基金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2AA9"/>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FE4"/>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537"/>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742"/>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52F"/>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38A4"/>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707"/>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046"/>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0A18"/>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53F"/>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5D54"/>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0AE"/>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3C5"/>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22D"/>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893"/>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0FD2"/>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7C00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53563256">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60793975">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B89A-BEC7-458A-9DDF-757650C2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48</Pages>
  <Words>5755</Words>
  <Characters>32809</Characters>
  <Application>Microsoft Office Word</Application>
  <DocSecurity>0</DocSecurity>
  <Lines>273</Lines>
  <Paragraphs>76</Paragraphs>
  <ScaleCrop>false</ScaleCrop>
  <Company/>
  <LinksUpToDate>false</LinksUpToDate>
  <CharactersWithSpaces>38488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51</cp:revision>
  <cp:lastPrinted>2007-07-19T00:46:00Z</cp:lastPrinted>
  <dcterms:created xsi:type="dcterms:W3CDTF">2017-08-23T02:14:00Z</dcterms:created>
  <dcterms:modified xsi:type="dcterms:W3CDTF">2019-08-23T06:36:00Z</dcterms:modified>
</cp:coreProperties>
</file>