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交银施罗德持续成长主题混合型证券投资基金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中国工商银行股份有限公司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交银持续成长主题混合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005001</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005001</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2018年1月12日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中国工商银行股份有限公司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1,443,281,161.81</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75%×沪深300指数收益率+25%×中证综合债券指数收益率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213,293,374.94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382,575,837.20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0.2384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26.30%</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0.1548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1,759,153,445.54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1.2189</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6.90%</w:t>
            </w:r>
          </w:p>
        </w:tc>
        <w:tc>
          <w:tcPr>
            <w:vAlign w:val="center"/>
          </w:tcPr>
          <w:p>
            <w:pPr>
              <w:jc w:val="center"/>
            </w:pPr>
            <w:r>
              <w:rPr>
                <w:color w:val="000000"/>
                <w:sz w:val="24"/>
              </w:rPr>
              <w:t>1.35%</w:t>
            </w:r>
          </w:p>
        </w:tc>
        <w:tc>
          <w:tcPr>
            <w:vAlign w:val="center"/>
          </w:tcPr>
          <w:p>
            <w:pPr>
              <w:jc w:val="center"/>
            </w:pPr>
            <w:r>
              <w:rPr>
                <w:color w:val="000000"/>
                <w:sz w:val="24"/>
              </w:rPr>
              <w:t>4.18%</w:t>
            </w:r>
          </w:p>
        </w:tc>
        <w:tc>
          <w:tcPr>
            <w:vAlign w:val="center"/>
          </w:tcPr>
          <w:p>
            <w:pPr>
              <w:jc w:val="center"/>
            </w:pPr>
            <w:r>
              <w:rPr>
                <w:color w:val="000000"/>
                <w:sz w:val="24"/>
              </w:rPr>
              <w:t>0.87%</w:t>
            </w:r>
          </w:p>
        </w:tc>
        <w:tc>
          <w:tcPr>
            <w:vAlign w:val="center"/>
          </w:tcPr>
          <w:p>
            <w:pPr>
              <w:jc w:val="center"/>
            </w:pPr>
            <w:r>
              <w:rPr>
                <w:color w:val="000000"/>
                <w:sz w:val="24"/>
              </w:rPr>
              <w:t>2.72%</w:t>
            </w:r>
          </w:p>
        </w:tc>
        <w:tc>
          <w:tcPr>
            <w:vAlign w:val="center"/>
          </w:tcPr>
          <w:p>
            <w:pPr>
              <w:jc w:val="center"/>
            </w:pPr>
            <w:r>
              <w:rPr>
                <w:color w:val="000000"/>
                <w:sz w:val="24"/>
              </w:rPr>
              <w:t>0.48%</w:t>
            </w:r>
          </w:p>
        </w:tc>
      </w:tr>
      <w:tr>
        <w:tc>
          <w:tcPr>
            <w:vAlign w:val="center"/>
          </w:tcPr>
          <w:p>
            <w:pPr>
              <w:jc w:val="left"/>
            </w:pPr>
            <w:r>
              <w:rPr>
                <w:color w:val="000000"/>
                <w:sz w:val="24"/>
              </w:rPr>
              <w:t>过去三个月</w:t>
            </w:r>
          </w:p>
        </w:tc>
        <w:tc>
          <w:tcPr>
            <w:vAlign w:val="center"/>
          </w:tcPr>
          <w:p>
            <w:pPr>
              <w:jc w:val="center"/>
            </w:pPr>
            <w:r>
              <w:rPr>
                <w:color w:val="000000"/>
                <w:sz w:val="24"/>
              </w:rPr>
              <w:t>-4.30%</w:t>
            </w:r>
          </w:p>
        </w:tc>
        <w:tc>
          <w:tcPr>
            <w:vAlign w:val="center"/>
          </w:tcPr>
          <w:p>
            <w:pPr>
              <w:jc w:val="center"/>
            </w:pPr>
            <w:r>
              <w:rPr>
                <w:color w:val="000000"/>
                <w:sz w:val="24"/>
              </w:rPr>
              <w:t>1.55%</w:t>
            </w:r>
          </w:p>
        </w:tc>
        <w:tc>
          <w:tcPr>
            <w:vAlign w:val="center"/>
          </w:tcPr>
          <w:p>
            <w:pPr>
              <w:jc w:val="center"/>
            </w:pPr>
            <w:r>
              <w:rPr>
                <w:color w:val="000000"/>
                <w:sz w:val="24"/>
              </w:rPr>
              <w:t>-0.61%</w:t>
            </w:r>
          </w:p>
        </w:tc>
        <w:tc>
          <w:tcPr>
            <w:vAlign w:val="center"/>
          </w:tcPr>
          <w:p>
            <w:pPr>
              <w:jc w:val="center"/>
            </w:pPr>
            <w:r>
              <w:rPr>
                <w:color w:val="000000"/>
                <w:sz w:val="24"/>
              </w:rPr>
              <w:t>1.14%</w:t>
            </w:r>
          </w:p>
        </w:tc>
        <w:tc>
          <w:tcPr>
            <w:vAlign w:val="center"/>
          </w:tcPr>
          <w:p>
            <w:pPr>
              <w:jc w:val="center"/>
            </w:pPr>
            <w:r>
              <w:rPr>
                <w:color w:val="000000"/>
                <w:sz w:val="24"/>
              </w:rPr>
              <w:t>-3.69%</w:t>
            </w:r>
          </w:p>
        </w:tc>
        <w:tc>
          <w:tcPr>
            <w:vAlign w:val="center"/>
          </w:tcPr>
          <w:p>
            <w:pPr>
              <w:jc w:val="center"/>
            </w:pPr>
            <w:r>
              <w:rPr>
                <w:color w:val="000000"/>
                <w:sz w:val="24"/>
              </w:rPr>
              <w:t>0.41%</w:t>
            </w:r>
          </w:p>
        </w:tc>
      </w:tr>
      <w:tr>
        <w:tc>
          <w:tcPr>
            <w:vAlign w:val="center"/>
          </w:tcPr>
          <w:p>
            <w:pPr>
              <w:jc w:val="left"/>
            </w:pPr>
            <w:r>
              <w:rPr>
                <w:color w:val="000000"/>
                <w:sz w:val="24"/>
              </w:rPr>
              <w:t>过去六个月</w:t>
            </w:r>
          </w:p>
        </w:tc>
        <w:tc>
          <w:tcPr>
            <w:vAlign w:val="center"/>
          </w:tcPr>
          <w:p>
            <w:pPr>
              <w:jc w:val="center"/>
            </w:pPr>
            <w:r>
              <w:rPr>
                <w:color w:val="000000"/>
                <w:sz w:val="24"/>
              </w:rPr>
              <w:t>26.30%</w:t>
            </w:r>
          </w:p>
        </w:tc>
        <w:tc>
          <w:tcPr>
            <w:vAlign w:val="center"/>
          </w:tcPr>
          <w:p>
            <w:pPr>
              <w:jc w:val="center"/>
            </w:pPr>
            <w:r>
              <w:rPr>
                <w:color w:val="000000"/>
                <w:sz w:val="24"/>
              </w:rPr>
              <w:t>1.59%</w:t>
            </w:r>
          </w:p>
        </w:tc>
        <w:tc>
          <w:tcPr>
            <w:vAlign w:val="center"/>
          </w:tcPr>
          <w:p>
            <w:pPr>
              <w:jc w:val="center"/>
            </w:pPr>
            <w:r>
              <w:rPr>
                <w:color w:val="000000"/>
                <w:sz w:val="24"/>
              </w:rPr>
              <w:t>20.61%</w:t>
            </w:r>
          </w:p>
        </w:tc>
        <w:tc>
          <w:tcPr>
            <w:vAlign w:val="center"/>
          </w:tcPr>
          <w:p>
            <w:pPr>
              <w:jc w:val="center"/>
            </w:pPr>
            <w:r>
              <w:rPr>
                <w:color w:val="000000"/>
                <w:sz w:val="24"/>
              </w:rPr>
              <w:t>1.16%</w:t>
            </w:r>
          </w:p>
        </w:tc>
        <w:tc>
          <w:tcPr>
            <w:vAlign w:val="center"/>
          </w:tcPr>
          <w:p>
            <w:pPr>
              <w:jc w:val="center"/>
            </w:pPr>
            <w:r>
              <w:rPr>
                <w:color w:val="000000"/>
                <w:sz w:val="24"/>
              </w:rPr>
              <w:t>5.69%</w:t>
            </w:r>
          </w:p>
        </w:tc>
        <w:tc>
          <w:tcPr>
            <w:vAlign w:val="center"/>
          </w:tcPr>
          <w:p>
            <w:pPr>
              <w:jc w:val="center"/>
            </w:pPr>
            <w:r>
              <w:rPr>
                <w:color w:val="000000"/>
                <w:sz w:val="24"/>
              </w:rPr>
              <w:t>0.43%</w:t>
            </w:r>
          </w:p>
        </w:tc>
      </w:tr>
      <w:tr>
        <w:tc>
          <w:tcPr>
            <w:vAlign w:val="center"/>
          </w:tcPr>
          <w:p>
            <w:pPr>
              <w:jc w:val="left"/>
            </w:pPr>
            <w:r>
              <w:rPr>
                <w:color w:val="000000"/>
                <w:sz w:val="24"/>
              </w:rPr>
              <w:t>过去一年</w:t>
            </w:r>
          </w:p>
        </w:tc>
        <w:tc>
          <w:tcPr>
            <w:vAlign w:val="center"/>
          </w:tcPr>
          <w:p>
            <w:pPr>
              <w:jc w:val="center"/>
            </w:pPr>
            <w:r>
              <w:rPr>
                <w:color w:val="000000"/>
                <w:sz w:val="24"/>
              </w:rPr>
              <w:t>11.69%</w:t>
            </w:r>
          </w:p>
        </w:tc>
        <w:tc>
          <w:tcPr>
            <w:vAlign w:val="center"/>
          </w:tcPr>
          <w:p>
            <w:pPr>
              <w:jc w:val="center"/>
            </w:pPr>
            <w:r>
              <w:rPr>
                <w:color w:val="000000"/>
                <w:sz w:val="24"/>
              </w:rPr>
              <w:t>1.53%</w:t>
            </w:r>
          </w:p>
        </w:tc>
        <w:tc>
          <w:tcPr>
            <w:vAlign w:val="center"/>
          </w:tcPr>
          <w:p>
            <w:pPr>
              <w:jc w:val="center"/>
            </w:pPr>
            <w:r>
              <w:rPr>
                <w:color w:val="000000"/>
                <w:sz w:val="24"/>
              </w:rPr>
              <w:t>8.81%</w:t>
            </w:r>
          </w:p>
        </w:tc>
        <w:tc>
          <w:tcPr>
            <w:vAlign w:val="center"/>
          </w:tcPr>
          <w:p>
            <w:pPr>
              <w:jc w:val="center"/>
            </w:pPr>
            <w:r>
              <w:rPr>
                <w:color w:val="000000"/>
                <w:sz w:val="24"/>
              </w:rPr>
              <w:t>1.14%</w:t>
            </w:r>
          </w:p>
        </w:tc>
        <w:tc>
          <w:tcPr>
            <w:vAlign w:val="center"/>
          </w:tcPr>
          <w:p>
            <w:pPr>
              <w:jc w:val="center"/>
            </w:pPr>
            <w:r>
              <w:rPr>
                <w:color w:val="000000"/>
                <w:sz w:val="24"/>
              </w:rPr>
              <w:t>2.88%</w:t>
            </w:r>
          </w:p>
        </w:tc>
        <w:tc>
          <w:tcPr>
            <w:vAlign w:val="center"/>
          </w:tcPr>
          <w:p>
            <w:pPr>
              <w:jc w:val="center"/>
            </w:pPr>
            <w:r>
              <w:rPr>
                <w:color w:val="000000"/>
                <w:sz w:val="24"/>
              </w:rPr>
              <w:t>0.39%</w:t>
            </w:r>
          </w:p>
        </w:tc>
      </w:tr>
      <w:tr>
        <w:tc>
          <w:tcPr>
            <w:vAlign w:val="center"/>
          </w:tcPr>
          <w:p>
            <w:pPr>
              <w:jc w:val="left"/>
            </w:pPr>
            <w:r>
              <w:rPr>
                <w:color w:val="000000"/>
                <w:sz w:val="24"/>
              </w:rPr>
              <w:t>自基金合同生效至今</w:t>
            </w:r>
          </w:p>
        </w:tc>
        <w:tc>
          <w:tcPr>
            <w:vAlign w:val="center"/>
          </w:tcPr>
          <w:p>
            <w:pPr>
              <w:jc w:val="center"/>
            </w:pPr>
            <w:r>
              <w:rPr>
                <w:color w:val="000000"/>
                <w:sz w:val="24"/>
              </w:rPr>
              <w:t>21.89%</w:t>
            </w:r>
          </w:p>
        </w:tc>
        <w:tc>
          <w:tcPr>
            <w:vAlign w:val="center"/>
          </w:tcPr>
          <w:p>
            <w:pPr>
              <w:jc w:val="center"/>
            </w:pPr>
            <w:r>
              <w:rPr>
                <w:color w:val="000000"/>
                <w:sz w:val="24"/>
              </w:rPr>
              <w:t>1.40%</w:t>
            </w:r>
          </w:p>
        </w:tc>
        <w:tc>
          <w:tcPr>
            <w:vAlign w:val="center"/>
          </w:tcPr>
          <w:p>
            <w:pPr>
              <w:jc w:val="center"/>
            </w:pPr>
            <w:r>
              <w:rPr>
                <w:color w:val="000000"/>
                <w:sz w:val="24"/>
              </w:rPr>
              <w:t>-3.90%</w:t>
            </w:r>
          </w:p>
        </w:tc>
        <w:tc>
          <w:tcPr>
            <w:vAlign w:val="center"/>
          </w:tcPr>
          <w:p>
            <w:pPr>
              <w:jc w:val="center"/>
            </w:pPr>
            <w:r>
              <w:rPr>
                <w:color w:val="000000"/>
                <w:sz w:val="24"/>
              </w:rPr>
              <w:t>1.07%</w:t>
            </w:r>
          </w:p>
        </w:tc>
        <w:tc>
          <w:tcPr>
            <w:vAlign w:val="center"/>
          </w:tcPr>
          <w:p>
            <w:pPr>
              <w:jc w:val="center"/>
            </w:pPr>
            <w:r>
              <w:rPr>
                <w:color w:val="000000"/>
                <w:sz w:val="24"/>
              </w:rPr>
              <w:t>25.79%</w:t>
            </w:r>
          </w:p>
        </w:tc>
        <w:tc>
          <w:tcPr>
            <w:vAlign w:val="center"/>
          </w:tcPr>
          <w:p>
            <w:pPr>
              <w:jc w:val="center"/>
            </w:pPr>
            <w:r>
              <w:rPr>
                <w:color w:val="000000"/>
                <w:sz w:val="24"/>
              </w:rPr>
              <w:t>0.33%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注：本基金的业绩比较基准为75%×沪深300指数收益率+25%×中证综合债券指数收益率，每日进行再平衡过程。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交银施罗德持续成长主题混合型证券投资基金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2018年1月12日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基金合同生效日为2018年1月12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何帅</w:t>
            </w:r>
          </w:p>
        </w:tc>
        <w:tc>
          <w:tcPr>
            <w:vAlign w:val="center"/>
          </w:tcPr>
          <w:p>
            <w:pPr>
              <w:jc w:val="center"/>
            </w:pPr>
            <w:r>
              <w:rPr>
                <w:color w:val="000000"/>
                <w:sz w:val="24"/>
              </w:rPr>
              <w:t>交银优势行业混合、交银阿尔法核心混合、交银持续成长主题混合的基金经理</w:t>
            </w:r>
          </w:p>
        </w:tc>
        <w:tc>
          <w:tcPr>
            <w:vAlign w:val="center"/>
          </w:tcPr>
          <w:p>
            <w:pPr>
              <w:jc w:val="center"/>
            </w:pPr>
            <w:r>
              <w:rPr>
                <w:color w:val="000000"/>
                <w:sz w:val="24"/>
              </w:rPr>
              <w:t>2018-01-12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何帅先生，上海财经大学硕士。历任国联安基金管理有限公司研究员。2012年加入交银施罗德基金管理有限公司，历任行业分析师。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A股市场经历了明显的波动，年初上证指数最高时上涨32%，随后由于外围不稳定因素的担忧，又在一个月之内下跌了15%，整体而言，上半年以食品饮料为代表的“核心资产”上涨明显，而“成长类”个股依然低迷。</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本基金在上半年跑赢业绩比较基准  ，虽然持仓结构基本为“成长类”，但医疗服务及部分的软件行业个股表现尚可。</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站在目前的时点上，经历了年初以来市场较大幅度的上涨及二季度的回调，市场中不同行业或者标的的市场关注度及隐含回报率发生了较大分化。对于宏观经济基本面预期，短期数据表现不错，但后续几个季度还需要继续观察。预计在整体指数相对平稳的状态下，持续成长型公司可能将陆续涌现。特别是进入下半年后，一些公司随着业绩的不断上升，其性价比也会上升。我们希望通过深度研究，找到需求可持续增长的行业，竞争力可持续拓宽的公司，享受公司价值的可持续成长，并希望以此能够持续为持有人获得超额收益。</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本基金托管人在对交银施罗德持续成长主题混合型证券投资基金的托管过程中，严格遵守《证券投资基金法》及其他法律法规和基金合同的有关规定，不存在任何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交银施罗德持续成长主题混合型证券投资基金的管理人——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未进行利润分配。</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依法对交银施罗德基金管理有限公司编制和披露的交银施罗德持续成长主题混合型证券投资基金2019年半年度报告中财务指标、净值表现、利润分配情况、财务会计报告、投资组合报告等内容进行了核查，以上内容真实、准确和完整。</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交银施罗德持续成长主题混合型证券投资基金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297,596,744.74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132,151,166.65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1,976,644.06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2,820,617.28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739,284.70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654,626.50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1,467,469,628.64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1,446,341,999.46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1,437,622,628.64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1,346,941,999.46</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29,847,000.00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99,400,000.00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150,000,465.00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10,596,748.77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8,033,050.08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175,310.61</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409,431.67</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520,865.04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887,470.22</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1,779,075,226.56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1,741,298,826.86</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11,667,614.77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18,350,313.69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3,782,341.20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1,305,228.15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2,080,239.47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2,235,339.80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346,706.56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372,556.61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1,920,278.80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2,195,688.16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3,295.59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124,600.22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412,724.44</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19,921,781.02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24,875,146.44</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1,443,281,161.81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1,778,522,713.83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315,872,283.73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-62,099,033.41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1,759,153,445.54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1,716,423,680.42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1,779,075,226.56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1,741,298,826.86</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报告截止日2019年6月30日，基金份额净值1.2189元，基金份额总额1,443,281,161.81份。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交银施罗德持续成长主题混合型证券投资基金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2018年1月12日（基金合同生效日）至2018年6月30日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405,454,165.95</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197,977,774.34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1,570,056.63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13,024,110.02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747,134.92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7,994,044.08</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805,435.19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17,486.52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5,030,065.94</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232,690,728.08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91,510,230.45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225,546,790.11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82,722,162.32</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109,051.33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7,034,886.64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8,788,068.13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169,282,462.26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89,179,265.75</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1,910,918.98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4,264,168.12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22,878,328.75</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21,723,855.12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13,630,560.68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12,693,127.79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2,271,760.08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2,115,521.23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6,847,906.48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6,705,956.86</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59.18</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13,590.98</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128,042.33</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195,658.26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382,575,837.20</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176,253,919.22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382,575,837.20</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176,253,919.22</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交银施罗德持续成长主题混合型证券投资基金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1,778,522,713.83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-62,099,033.41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1,716,423,680.42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382,575,837.20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382,575,837.20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-335,241,552.02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-4,604,520.06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-339,846,072.08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691,819,648.01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161,943,762.30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853,763,410.31</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-1,027,061,200.03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-166,548,282.36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-1,193,609,482.39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1,443,281,161.81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315,872,283.73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1,759,153,445.54</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2018年1月12日（基金合同生效日）至2018年6月30日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2,089,207,529.50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2,089,207,529.50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176,253,919.22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176,253,919.22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-705,323,280.32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-49,943,904.48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-755,267,184.80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637,205,770.18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43,520,845.28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680,726,615.46</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-1,342,529,050.50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-93,464,749.76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-1,435,993,800.26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1,383,884,249.18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126,310,014.74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1,510,194,263.92</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交银施罗德持续成长主题混合型证券投资基金 (以下简称“本基金”)经中国证券监督管理委员会 (以下简称“中国证监会”)证监许可[2017]第1156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2,087,279,685.20元，业经普华永道中天会计师事务所(特殊普通合伙)普华永道中天验字 (2018)第0010号验资报告予以验证。经向中国证监会备案，《交银施罗德持续成长主题混合型证券投资基金基金合同》于2018年1月12日正式生效，基金合同生效日的基金份额总额为2,089,207,529.50份基金份额，其中认购资金利息折合1,927,844.30份基金份额。本基金的基金管理人为交银施罗德基金管理有限公司，基金托管人为中国工商银行股份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含中小板、创业板及其他经中国证监会核准上市的股票)、债券 (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比例为50%-95%；本基金投资于持续成长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本基金的业绩比较基准为：75%x沪深300指数收益率+25%x中证综合债券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持续成长主题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中国工商银行股份有限公司(“中国工商银行”)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2018年1月12日（基金合同生效日）至2018年6月30日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13,630,560.68</w:t>
            </w:r>
          </w:p>
        </w:tc>
        <w:tc>
          <w:tcPr>
            <w:tcW w:type="dxa" w:w="2657"/>
            <w:vAlign w:val="center"/>
          </w:tcPr>
          <w:p w:rsidP="00AC6DDA" w:rsidR="001548F9" w:rsidRDefault="001548F9" w:rsidRPr="005C672D">
            <w:pPr>
              <w:spacing w:before="29" w:line="288" w:lineRule="auto"/>
              <w:jc w:val="right"/>
              <w:rPr>
                <w:sz w:val="24"/>
              </w:rPr>
            </w:pPr>
            <w:r w:rsidRPr="005C672D">
              <w:rPr>
                <w:sz w:val="24"/>
              </w:rPr>
              <w:t>12,693,127.79</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2,617,530.61</w:t>
            </w:r>
          </w:p>
        </w:tc>
        <w:tc>
          <w:tcPr>
            <w:tcW w:type="dxa" w:w="2657"/>
            <w:vAlign w:val="center"/>
          </w:tcPr>
          <w:p w:rsidP="00AC6DDA" w:rsidR="001548F9" w:rsidRDefault="001548F9" w:rsidRPr="005C672D">
            <w:pPr>
              <w:spacing w:before="29" w:line="288" w:lineRule="auto"/>
              <w:jc w:val="right"/>
              <w:rPr>
                <w:sz w:val="24"/>
              </w:rPr>
            </w:pPr>
            <w:r w:rsidRPr="005C672D">
              <w:rPr>
                <w:sz w:val="24"/>
              </w:rPr>
              <w:t>4,680,130.63</w:t>
            </w:r>
          </w:p>
        </w:tc>
      </w:tr>
    </w:tbl>
    <w:p>
      <w:pPr>
        <w:tabs>
          <w:tab w:pos="426" w:val="left"/>
        </w:tabs>
        <w:spacing w:before="29" w:line="288" w:lineRule="auto"/>
        <w:jc w:val="left"/>
        <w:rPr>
          <w:kern w:val="0"/>
          <w:sz w:val="24"/>
        </w:rPr>
      </w:pPr>
      <w:r>
        <w:rPr>
          <w:kern w:val="0"/>
          <w:sz w:val="24"/>
        </w:rPr>
        <w:t>注：支付基金管理人的管理人报酬按前一日基金资产净值1.50%的年费率计提，逐日累计至每月月底，按月支付。 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2018年1月12日（基金合同生效日）至2018年6月30日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2,271,760.08</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2,115,521.23</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本基金的基金管理人于本基金本报告期内及上年度可比期间未运用固有资金投资本基金。</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2018年1月12日（基金合同生效日）至2018年6月30日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中国工商银行股份有限公司</w:t>
            </w:r>
          </w:p>
        </w:tc>
        <w:tc>
          <w:tcPr>
            <w:vAlign w:val="center"/>
          </w:tcPr>
          <w:p>
            <w:pPr>
              <w:jc w:val="right"/>
            </w:pPr>
            <w:r>
              <w:rPr>
                <w:sz w:val="24"/>
              </w:rPr>
              <w:t>297,596,744.74</w:t>
            </w:r>
          </w:p>
        </w:tc>
        <w:tc>
          <w:tcPr>
            <w:vAlign w:val="center"/>
          </w:tcPr>
          <w:p>
            <w:pPr>
              <w:jc w:val="right"/>
            </w:pPr>
            <w:r>
              <w:rPr>
                <w:sz w:val="24"/>
              </w:rPr>
              <w:t>695,553.94</w:t>
            </w:r>
          </w:p>
        </w:tc>
        <w:tc>
          <w:tcPr>
            <w:vAlign w:val="center"/>
          </w:tcPr>
          <w:p>
            <w:pPr>
              <w:jc w:val="right"/>
            </w:pPr>
            <w:r>
              <w:rPr>
                <w:sz w:val="24"/>
              </w:rPr>
              <w:t>88,973,404.53</w:t>
            </w:r>
          </w:p>
        </w:tc>
        <w:tc>
          <w:tcPr>
            <w:vAlign w:val="center"/>
          </w:tcPr>
          <w:p>
            <w:pPr>
              <w:jc w:val="right"/>
            </w:pPr>
            <w:r>
              <w:rPr>
                <w:sz w:val="24"/>
              </w:rPr>
              <w:t>1,808,012.15</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560,000</w:t>
            </w:r>
          </w:p>
        </w:tc>
        <w:tc>
          <w:tcPr>
            <w:vAlign w:val="center"/>
          </w:tcPr>
          <w:p>
            <w:pPr>
              <w:jc w:val="right"/>
            </w:pPr>
            <w:r>
              <w:rPr>
                <w:sz w:val="24"/>
              </w:rPr>
              <w:t>7,565,600.00</w:t>
            </w:r>
          </w:p>
        </w:tc>
        <w:tc>
          <w:tcPr>
            <w:vAlign w:val="center"/>
          </w:tcPr>
          <w:p>
            <w:pPr>
              <w:jc w:val="right"/>
            </w:pPr>
            <w:r>
              <w:rPr>
                <w:sz w:val="24"/>
              </w:rPr>
              <w:t>6,602,400.00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 xml:space="preserve">    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1,437,622,628.64</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80.81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1,437,622,628.64</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80.81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29,847,000.00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29,847,000.00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299,573,388.80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16.84</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12,032,209.12</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0.68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1,779,075,226.56</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262,729,047.63</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14.93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73,039,946.13</w:t>
            </w:r>
          </w:p>
        </w:tc>
        <w:tc>
          <w:tcPr>
            <w:tcW w:type="dxa" w:w="2160"/>
            <w:vAlign w:val="center"/>
          </w:tcPr>
          <w:p w:rsidP="00AC6DDA" w:rsidR="001548F9" w:rsidRDefault="001548F9" w:rsidRPr="005C672D">
            <w:pPr>
              <w:spacing w:before="29" w:line="288" w:lineRule="auto"/>
              <w:jc w:val="right"/>
              <w:rPr>
                <w:sz w:val="24"/>
              </w:rPr>
            </w:pPr>
            <w:r w:rsidRPr="005C672D">
              <w:rPr>
                <w:sz w:val="24"/>
              </w:rPr>
              <w:t>4.15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828,431,535.13</w:t>
            </w:r>
          </w:p>
        </w:tc>
        <w:tc>
          <w:tcPr>
            <w:tcW w:type="dxa" w:w="2160"/>
            <w:vAlign w:val="center"/>
          </w:tcPr>
          <w:p w:rsidP="00AC6DDA" w:rsidR="001548F9" w:rsidRDefault="001548F9" w:rsidRPr="005C672D">
            <w:pPr>
              <w:spacing w:before="29" w:line="288" w:lineRule="auto"/>
              <w:jc w:val="right"/>
              <w:rPr>
                <w:sz w:val="24"/>
              </w:rPr>
            </w:pPr>
            <w:r w:rsidRPr="005C672D">
              <w:rPr>
                <w:sz w:val="24"/>
              </w:rPr>
              <w:t>47.09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33,869.94</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55,957,515.68</w:t>
            </w:r>
          </w:p>
        </w:tc>
        <w:tc>
          <w:tcPr>
            <w:tcW w:type="dxa" w:w="2160"/>
            <w:vAlign w:val="center"/>
          </w:tcPr>
          <w:p w:rsidP="00AC6DDA" w:rsidR="001548F9" w:rsidRDefault="001548F9" w:rsidRPr="005C672D">
            <w:pPr>
              <w:spacing w:before="29" w:line="288" w:lineRule="auto"/>
              <w:jc w:val="right"/>
              <w:rPr>
                <w:sz w:val="24"/>
              </w:rPr>
            </w:pPr>
            <w:r w:rsidRPr="005C672D">
              <w:rPr>
                <w:sz w:val="24"/>
              </w:rPr>
              <w:t>3.18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85,869,957.60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4.88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11,518,275.00</w:t>
            </w:r>
          </w:p>
        </w:tc>
        <w:tc>
          <w:tcPr>
            <w:tcW w:type="dxa" w:w="2160"/>
            <w:vAlign w:val="center"/>
          </w:tcPr>
          <w:p w:rsidP="00AC6DDA" w:rsidR="001548F9" w:rsidRDefault="001548F9" w:rsidRPr="005C672D">
            <w:pPr>
              <w:spacing w:before="29" w:line="288" w:lineRule="auto"/>
              <w:jc w:val="right"/>
              <w:rPr>
                <w:sz w:val="24"/>
              </w:rPr>
            </w:pPr>
            <w:r w:rsidRPr="005C672D">
              <w:rPr>
                <w:sz w:val="24"/>
              </w:rPr>
              <w:t>0.65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119,655,943.68</w:t>
            </w:r>
          </w:p>
        </w:tc>
        <w:tc>
          <w:tcPr>
            <w:tcW w:type="dxa" w:w="2160"/>
            <w:vAlign w:val="center"/>
          </w:tcPr>
          <w:p w:rsidP="00AC6DDA" w:rsidR="001548F9" w:rsidRDefault="001548F9" w:rsidRPr="005C672D">
            <w:pPr>
              <w:spacing w:before="29" w:line="288" w:lineRule="auto"/>
              <w:jc w:val="right"/>
              <w:rPr>
                <w:sz w:val="24"/>
              </w:rPr>
            </w:pPr>
            <w:r w:rsidRPr="005C672D">
              <w:rPr>
                <w:sz w:val="24"/>
              </w:rPr>
              <w:t>6.80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1,437,622,628.64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81.72</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9,307,381</w:t>
            </w:r>
          </w:p>
        </w:tc>
        <w:tc>
          <w:tcPr>
            <w:vAlign w:val="center"/>
          </w:tcPr>
          <w:p>
            <w:pPr>
              <w:jc w:val="right"/>
            </w:pPr>
            <w:r>
              <w:rPr>
                <w:color w:val="000000"/>
                <w:sz w:val="24"/>
              </w:rPr>
              <w:t>165,950,603.23</w:t>
            </w:r>
          </w:p>
        </w:tc>
        <w:tc>
          <w:tcPr>
            <w:vAlign w:val="center"/>
          </w:tcPr>
          <w:p>
            <w:pPr>
              <w:jc w:val="right"/>
            </w:pPr>
            <w:r>
              <w:rPr>
                <w:color w:val="000000"/>
                <w:sz w:val="24"/>
              </w:rPr>
              <w:t>9.43</w:t>
            </w:r>
          </w:p>
        </w:tc>
      </w:tr>
      <w:tr>
        <w:tc>
          <w:tcPr>
            <w:vAlign w:val="center"/>
          </w:tcPr>
          <w:p>
            <w:pPr>
              <w:jc w:val="center"/>
            </w:pPr>
            <w:r>
              <w:rPr>
                <w:color w:val="000000"/>
                <w:sz w:val="24"/>
              </w:rPr>
              <w:t>2</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7,672,082</w:t>
            </w:r>
          </w:p>
        </w:tc>
        <w:tc>
          <w:tcPr>
            <w:vAlign w:val="center"/>
          </w:tcPr>
          <w:p>
            <w:pPr>
              <w:jc w:val="right"/>
            </w:pPr>
            <w:r>
              <w:rPr>
                <w:color w:val="000000"/>
                <w:sz w:val="24"/>
              </w:rPr>
              <w:t>124,364,449.22</w:t>
            </w:r>
          </w:p>
        </w:tc>
        <w:tc>
          <w:tcPr>
            <w:vAlign w:val="center"/>
          </w:tcPr>
          <w:p>
            <w:pPr>
              <w:jc w:val="right"/>
            </w:pPr>
            <w:r>
              <w:rPr>
                <w:color w:val="000000"/>
                <w:sz w:val="24"/>
              </w:rPr>
              <w:t>7.07</w:t>
            </w:r>
          </w:p>
        </w:tc>
      </w:tr>
      <w:tr>
        <w:tc>
          <w:tcPr>
            <w:vAlign w:val="center"/>
          </w:tcPr>
          <w:p>
            <w:pPr>
              <w:jc w:val="center"/>
            </w:pPr>
            <w:r>
              <w:rPr>
                <w:color w:val="000000"/>
                <w:sz w:val="24"/>
              </w:rPr>
              <w:t>3</w:t>
            </w:r>
          </w:p>
        </w:tc>
        <w:tc>
          <w:tcPr>
            <w:vAlign w:val="center"/>
          </w:tcPr>
          <w:p>
            <w:pPr>
              <w:jc w:val="center"/>
            </w:pPr>
            <w:r>
              <w:rPr>
                <w:color w:val="000000"/>
                <w:sz w:val="24"/>
              </w:rPr>
              <w:t>300078</w:t>
            </w:r>
          </w:p>
        </w:tc>
        <w:tc>
          <w:tcPr>
            <w:vAlign w:val="center"/>
          </w:tcPr>
          <w:p>
            <w:pPr>
              <w:jc w:val="center"/>
            </w:pPr>
            <w:r>
              <w:rPr>
                <w:color w:val="000000"/>
                <w:sz w:val="24"/>
              </w:rPr>
              <w:t>思创医惠</w:t>
            </w:r>
          </w:p>
        </w:tc>
        <w:tc>
          <w:tcPr>
            <w:vAlign w:val="center"/>
          </w:tcPr>
          <w:p>
            <w:pPr>
              <w:jc w:val="right"/>
            </w:pPr>
            <w:r>
              <w:rPr>
                <w:color w:val="000000"/>
                <w:sz w:val="24"/>
              </w:rPr>
              <w:t>10,189,313</w:t>
            </w:r>
          </w:p>
        </w:tc>
        <w:tc>
          <w:tcPr>
            <w:vAlign w:val="center"/>
          </w:tcPr>
          <w:p>
            <w:pPr>
              <w:jc w:val="right"/>
            </w:pPr>
            <w:r>
              <w:rPr>
                <w:color w:val="000000"/>
                <w:sz w:val="24"/>
              </w:rPr>
              <w:t>104,032,885.73</w:t>
            </w:r>
          </w:p>
        </w:tc>
        <w:tc>
          <w:tcPr>
            <w:vAlign w:val="center"/>
          </w:tcPr>
          <w:p>
            <w:pPr>
              <w:jc w:val="right"/>
            </w:pPr>
            <w:r>
              <w:rPr>
                <w:color w:val="000000"/>
                <w:sz w:val="24"/>
              </w:rPr>
              <w:t>5.91</w:t>
            </w:r>
          </w:p>
        </w:tc>
      </w:tr>
      <w:tr>
        <w:tc>
          <w:tcPr>
            <w:vAlign w:val="center"/>
          </w:tcPr>
          <w:p>
            <w:pPr>
              <w:jc w:val="center"/>
            </w:pPr>
            <w:r>
              <w:rPr>
                <w:color w:val="000000"/>
                <w:sz w:val="24"/>
              </w:rPr>
              <w:t>4</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7,869,098</w:t>
            </w:r>
          </w:p>
        </w:tc>
        <w:tc>
          <w:tcPr>
            <w:vAlign w:val="center"/>
          </w:tcPr>
          <w:p>
            <w:pPr>
              <w:jc w:val="right"/>
            </w:pPr>
            <w:r>
              <w:rPr>
                <w:color w:val="000000"/>
                <w:sz w:val="24"/>
              </w:rPr>
              <w:t>97,527,579.12</w:t>
            </w:r>
          </w:p>
        </w:tc>
        <w:tc>
          <w:tcPr>
            <w:vAlign w:val="center"/>
          </w:tcPr>
          <w:p>
            <w:pPr>
              <w:jc w:val="right"/>
            </w:pPr>
            <w:r>
              <w:rPr>
                <w:color w:val="000000"/>
                <w:sz w:val="24"/>
              </w:rPr>
              <w:t>5.54</w:t>
            </w:r>
          </w:p>
        </w:tc>
      </w:tr>
      <w:tr>
        <w:tc>
          <w:tcPr>
            <w:vAlign w:val="center"/>
          </w:tcPr>
          <w:p>
            <w:pPr>
              <w:jc w:val="center"/>
            </w:pPr>
            <w:r>
              <w:rPr>
                <w:color w:val="000000"/>
                <w:sz w:val="24"/>
              </w:rPr>
              <w:t>5</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7,950,922</w:t>
            </w:r>
          </w:p>
        </w:tc>
        <w:tc>
          <w:tcPr>
            <w:vAlign w:val="center"/>
          </w:tcPr>
          <w:p>
            <w:pPr>
              <w:jc w:val="right"/>
            </w:pPr>
            <w:r>
              <w:rPr>
                <w:color w:val="000000"/>
                <w:sz w:val="24"/>
              </w:rPr>
              <w:t>85,869,957.60</w:t>
            </w:r>
          </w:p>
        </w:tc>
        <w:tc>
          <w:tcPr>
            <w:vAlign w:val="center"/>
          </w:tcPr>
          <w:p>
            <w:pPr>
              <w:jc w:val="right"/>
            </w:pPr>
            <w:r>
              <w:rPr>
                <w:color w:val="000000"/>
                <w:sz w:val="24"/>
              </w:rPr>
              <w:t>4.88</w:t>
            </w:r>
          </w:p>
        </w:tc>
      </w:tr>
      <w:tr>
        <w:tc>
          <w:tcPr>
            <w:vAlign w:val="center"/>
          </w:tcPr>
          <w:p>
            <w:pPr>
              <w:jc w:val="center"/>
            </w:pPr>
            <w:r>
              <w:rPr>
                <w:color w:val="000000"/>
                <w:sz w:val="24"/>
              </w:rPr>
              <w:t>6</w:t>
            </w:r>
          </w:p>
        </w:tc>
        <w:tc>
          <w:tcPr>
            <w:vAlign w:val="center"/>
          </w:tcPr>
          <w:p>
            <w:pPr>
              <w:jc w:val="center"/>
            </w:pPr>
            <w:r>
              <w:rPr>
                <w:color w:val="000000"/>
                <w:sz w:val="24"/>
              </w:rPr>
              <w:t>603039</w:t>
            </w:r>
          </w:p>
        </w:tc>
        <w:tc>
          <w:tcPr>
            <w:vAlign w:val="center"/>
          </w:tcPr>
          <w:p>
            <w:pPr>
              <w:jc w:val="center"/>
            </w:pPr>
            <w:r>
              <w:rPr>
                <w:color w:val="000000"/>
                <w:sz w:val="24"/>
              </w:rPr>
              <w:t>泛微网络</w:t>
            </w:r>
          </w:p>
        </w:tc>
        <w:tc>
          <w:tcPr>
            <w:vAlign w:val="center"/>
          </w:tcPr>
          <w:p>
            <w:pPr>
              <w:jc w:val="right"/>
            </w:pPr>
            <w:r>
              <w:rPr>
                <w:color w:val="000000"/>
                <w:sz w:val="24"/>
              </w:rPr>
              <w:t>1,007,557</w:t>
            </w:r>
          </w:p>
        </w:tc>
        <w:tc>
          <w:tcPr>
            <w:vAlign w:val="center"/>
          </w:tcPr>
          <w:p>
            <w:pPr>
              <w:jc w:val="right"/>
            </w:pPr>
            <w:r>
              <w:rPr>
                <w:color w:val="000000"/>
                <w:sz w:val="24"/>
              </w:rPr>
              <w:t>74,760,729.40</w:t>
            </w:r>
          </w:p>
        </w:tc>
        <w:tc>
          <w:tcPr>
            <w:vAlign w:val="center"/>
          </w:tcPr>
          <w:p>
            <w:pPr>
              <w:jc w:val="right"/>
            </w:pPr>
            <w:r>
              <w:rPr>
                <w:color w:val="000000"/>
                <w:sz w:val="24"/>
              </w:rPr>
              <w:t>4.25</w:t>
            </w:r>
          </w:p>
        </w:tc>
      </w:tr>
      <w:tr>
        <w:tc>
          <w:tcPr>
            <w:vAlign w:val="center"/>
          </w:tcPr>
          <w:p>
            <w:pPr>
              <w:jc w:val="center"/>
            </w:pPr>
            <w:r>
              <w:rPr>
                <w:color w:val="000000"/>
                <w:sz w:val="24"/>
              </w:rPr>
              <w:t>7</w:t>
            </w:r>
          </w:p>
        </w:tc>
        <w:tc>
          <w:tcPr>
            <w:vAlign w:val="center"/>
          </w:tcPr>
          <w:p>
            <w:pPr>
              <w:jc w:val="center"/>
            </w:pPr>
            <w:r>
              <w:rPr>
                <w:color w:val="000000"/>
                <w:sz w:val="24"/>
              </w:rPr>
              <w:t>300271</w:t>
            </w:r>
          </w:p>
        </w:tc>
        <w:tc>
          <w:tcPr>
            <w:vAlign w:val="center"/>
          </w:tcPr>
          <w:p>
            <w:pPr>
              <w:jc w:val="center"/>
            </w:pPr>
            <w:r>
              <w:rPr>
                <w:color w:val="000000"/>
                <w:sz w:val="24"/>
              </w:rPr>
              <w:t>华宇软件</w:t>
            </w:r>
          </w:p>
        </w:tc>
        <w:tc>
          <w:tcPr>
            <w:vAlign w:val="center"/>
          </w:tcPr>
          <w:p>
            <w:pPr>
              <w:jc w:val="right"/>
            </w:pPr>
            <w:r>
              <w:rPr>
                <w:color w:val="000000"/>
                <w:sz w:val="24"/>
              </w:rPr>
              <w:t>3,487,898</w:t>
            </w:r>
          </w:p>
        </w:tc>
        <w:tc>
          <w:tcPr>
            <w:vAlign w:val="center"/>
          </w:tcPr>
          <w:p>
            <w:pPr>
              <w:jc w:val="right"/>
            </w:pPr>
            <w:r>
              <w:rPr>
                <w:color w:val="000000"/>
                <w:sz w:val="24"/>
              </w:rPr>
              <w:t>66,270,062.00</w:t>
            </w:r>
          </w:p>
        </w:tc>
        <w:tc>
          <w:tcPr>
            <w:vAlign w:val="center"/>
          </w:tcPr>
          <w:p>
            <w:pPr>
              <w:jc w:val="right"/>
            </w:pPr>
            <w:r>
              <w:rPr>
                <w:color w:val="000000"/>
                <w:sz w:val="24"/>
              </w:rPr>
              <w:t>3.77</w:t>
            </w:r>
          </w:p>
        </w:tc>
      </w:tr>
      <w:tr>
        <w:tc>
          <w:tcPr>
            <w:vAlign w:val="center"/>
          </w:tcPr>
          <w:p>
            <w:pPr>
              <w:jc w:val="center"/>
            </w:pPr>
            <w:r>
              <w:rPr>
                <w:color w:val="000000"/>
                <w:sz w:val="24"/>
              </w:rPr>
              <w:t>8</w:t>
            </w:r>
          </w:p>
        </w:tc>
        <w:tc>
          <w:tcPr>
            <w:vAlign w:val="center"/>
          </w:tcPr>
          <w:p>
            <w:pPr>
              <w:jc w:val="center"/>
            </w:pPr>
            <w:r>
              <w:rPr>
                <w:color w:val="000000"/>
                <w:sz w:val="24"/>
              </w:rPr>
              <w:t>300609</w:t>
            </w:r>
          </w:p>
        </w:tc>
        <w:tc>
          <w:tcPr>
            <w:vAlign w:val="center"/>
          </w:tcPr>
          <w:p>
            <w:pPr>
              <w:jc w:val="center"/>
            </w:pPr>
            <w:r>
              <w:rPr>
                <w:color w:val="000000"/>
                <w:sz w:val="24"/>
              </w:rPr>
              <w:t>汇纳科技</w:t>
            </w:r>
          </w:p>
        </w:tc>
        <w:tc>
          <w:tcPr>
            <w:vAlign w:val="center"/>
          </w:tcPr>
          <w:p>
            <w:pPr>
              <w:jc w:val="right"/>
            </w:pPr>
            <w:r>
              <w:rPr>
                <w:color w:val="000000"/>
                <w:sz w:val="24"/>
              </w:rPr>
              <w:t>1,761,299</w:t>
            </w:r>
          </w:p>
        </w:tc>
        <w:tc>
          <w:tcPr>
            <w:vAlign w:val="center"/>
          </w:tcPr>
          <w:p>
            <w:pPr>
              <w:jc w:val="right"/>
            </w:pPr>
            <w:r>
              <w:rPr>
                <w:color w:val="000000"/>
                <w:sz w:val="24"/>
              </w:rPr>
              <w:t>61,751,142.94</w:t>
            </w:r>
          </w:p>
        </w:tc>
        <w:tc>
          <w:tcPr>
            <w:vAlign w:val="center"/>
          </w:tcPr>
          <w:p>
            <w:pPr>
              <w:jc w:val="right"/>
            </w:pPr>
            <w:r>
              <w:rPr>
                <w:color w:val="000000"/>
                <w:sz w:val="24"/>
              </w:rPr>
              <w:t>3.51</w:t>
            </w:r>
          </w:p>
        </w:tc>
      </w:tr>
      <w:tr>
        <w:tc>
          <w:tcPr>
            <w:vAlign w:val="center"/>
          </w:tcPr>
          <w:p>
            <w:pPr>
              <w:jc w:val="center"/>
            </w:pPr>
            <w:r>
              <w:rPr>
                <w:color w:val="000000"/>
                <w:sz w:val="24"/>
              </w:rPr>
              <w:t>9</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1,782,893</w:t>
            </w:r>
          </w:p>
        </w:tc>
        <w:tc>
          <w:tcPr>
            <w:vAlign w:val="center"/>
          </w:tcPr>
          <w:p>
            <w:pPr>
              <w:jc w:val="right"/>
            </w:pPr>
            <w:r>
              <w:rPr>
                <w:color w:val="000000"/>
                <w:sz w:val="24"/>
              </w:rPr>
              <w:t>58,639,350.77</w:t>
            </w:r>
          </w:p>
        </w:tc>
        <w:tc>
          <w:tcPr>
            <w:vAlign w:val="center"/>
          </w:tcPr>
          <w:p>
            <w:pPr>
              <w:jc w:val="right"/>
            </w:pPr>
            <w:r>
              <w:rPr>
                <w:color w:val="000000"/>
                <w:sz w:val="24"/>
              </w:rPr>
              <w:t>3.33</w:t>
            </w:r>
          </w:p>
        </w:tc>
      </w:tr>
      <w:tr>
        <w:tc>
          <w:tcPr>
            <w:vAlign w:val="center"/>
          </w:tcPr>
          <w:p>
            <w:pPr>
              <w:jc w:val="center"/>
            </w:pPr>
            <w:r>
              <w:rPr>
                <w:color w:val="000000"/>
                <w:sz w:val="24"/>
              </w:rPr>
              <w:t>10</w:t>
            </w:r>
          </w:p>
        </w:tc>
        <w:tc>
          <w:tcPr>
            <w:vAlign w:val="center"/>
          </w:tcPr>
          <w:p>
            <w:pPr>
              <w:jc w:val="center"/>
            </w:pPr>
            <w:r>
              <w:rPr>
                <w:color w:val="000000"/>
                <w:sz w:val="24"/>
              </w:rPr>
              <w:t>603232</w:t>
            </w:r>
          </w:p>
        </w:tc>
        <w:tc>
          <w:tcPr>
            <w:vAlign w:val="center"/>
          </w:tcPr>
          <w:p>
            <w:pPr>
              <w:jc w:val="center"/>
            </w:pPr>
            <w:r>
              <w:rPr>
                <w:color w:val="000000"/>
                <w:sz w:val="24"/>
              </w:rPr>
              <w:t>格尔软件</w:t>
            </w:r>
          </w:p>
        </w:tc>
        <w:tc>
          <w:tcPr>
            <w:vAlign w:val="center"/>
          </w:tcPr>
          <w:p>
            <w:pPr>
              <w:jc w:val="right"/>
            </w:pPr>
            <w:r>
              <w:rPr>
                <w:color w:val="000000"/>
                <w:sz w:val="24"/>
              </w:rPr>
              <w:t>1,995,705</w:t>
            </w:r>
          </w:p>
        </w:tc>
        <w:tc>
          <w:tcPr>
            <w:vAlign w:val="center"/>
          </w:tcPr>
          <w:p>
            <w:pPr>
              <w:jc w:val="right"/>
            </w:pPr>
            <w:r>
              <w:rPr>
                <w:color w:val="000000"/>
                <w:sz w:val="24"/>
              </w:rPr>
              <w:t>54,841,973.40</w:t>
            </w:r>
          </w:p>
        </w:tc>
        <w:tc>
          <w:tcPr>
            <w:vAlign w:val="center"/>
          </w:tcPr>
          <w:p>
            <w:pPr>
              <w:jc w:val="right"/>
            </w:pPr>
            <w:r>
              <w:rPr>
                <w:color w:val="000000"/>
                <w:sz w:val="24"/>
              </w:rPr>
              <w:t>3.12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97,323,674.35</w:t>
            </w:r>
          </w:p>
        </w:tc>
        <w:tc>
          <w:tcPr>
            <w:vAlign w:val="center"/>
          </w:tcPr>
          <w:p>
            <w:pPr>
              <w:jc w:val="right"/>
            </w:pPr>
            <w:r>
              <w:rPr>
                <w:sz w:val="24"/>
              </w:rPr>
              <w:t>5.67</w:t>
            </w:r>
          </w:p>
        </w:tc>
      </w:tr>
      <w:tr>
        <w:tc>
          <w:tcPr>
            <w:vAlign w:val="center"/>
          </w:tcPr>
          <w:p>
            <w:pPr>
              <w:jc w:val="center"/>
            </w:pPr>
            <w:r>
              <w:rPr>
                <w:sz w:val="24"/>
              </w:rPr>
              <w:t>2</w:t>
            </w:r>
          </w:p>
        </w:tc>
        <w:tc>
          <w:tcPr>
            <w:vAlign w:val="center"/>
          </w:tcPr>
          <w:p>
            <w:pPr>
              <w:jc w:val="center"/>
            </w:pPr>
            <w:r>
              <w:rPr>
                <w:sz w:val="24"/>
              </w:rPr>
              <w:t>300078</w:t>
            </w:r>
          </w:p>
        </w:tc>
        <w:tc>
          <w:tcPr>
            <w:vAlign w:val="center"/>
          </w:tcPr>
          <w:p>
            <w:pPr>
              <w:jc w:val="center"/>
            </w:pPr>
            <w:r>
              <w:rPr>
                <w:sz w:val="24"/>
              </w:rPr>
              <w:t>思创医惠</w:t>
            </w:r>
          </w:p>
        </w:tc>
        <w:tc>
          <w:tcPr>
            <w:vAlign w:val="center"/>
          </w:tcPr>
          <w:p>
            <w:pPr>
              <w:jc w:val="right"/>
            </w:pPr>
            <w:r>
              <w:rPr>
                <w:sz w:val="24"/>
              </w:rPr>
              <w:t>77,947,693.99</w:t>
            </w:r>
          </w:p>
        </w:tc>
        <w:tc>
          <w:tcPr>
            <w:vAlign w:val="center"/>
          </w:tcPr>
          <w:p>
            <w:pPr>
              <w:jc w:val="right"/>
            </w:pPr>
            <w:r>
              <w:rPr>
                <w:sz w:val="24"/>
              </w:rPr>
              <w:t>4.54</w:t>
            </w:r>
          </w:p>
        </w:tc>
      </w:tr>
      <w:tr>
        <w:tc>
          <w:tcPr>
            <w:vAlign w:val="center"/>
          </w:tcPr>
          <w:p>
            <w:pPr>
              <w:jc w:val="center"/>
            </w:pPr>
            <w:r>
              <w:rPr>
                <w:sz w:val="24"/>
              </w:rPr>
              <w:t>3</w:t>
            </w:r>
          </w:p>
        </w:tc>
        <w:tc>
          <w:tcPr>
            <w:vAlign w:val="center"/>
          </w:tcPr>
          <w:p>
            <w:pPr>
              <w:jc w:val="center"/>
            </w:pPr>
            <w:r>
              <w:rPr>
                <w:sz w:val="24"/>
              </w:rPr>
              <w:t>300271</w:t>
            </w:r>
          </w:p>
        </w:tc>
        <w:tc>
          <w:tcPr>
            <w:vAlign w:val="center"/>
          </w:tcPr>
          <w:p>
            <w:pPr>
              <w:jc w:val="center"/>
            </w:pPr>
            <w:r>
              <w:rPr>
                <w:sz w:val="24"/>
              </w:rPr>
              <w:t>华宇软件</w:t>
            </w:r>
          </w:p>
        </w:tc>
        <w:tc>
          <w:tcPr>
            <w:vAlign w:val="center"/>
          </w:tcPr>
          <w:p>
            <w:pPr>
              <w:jc w:val="right"/>
            </w:pPr>
            <w:r>
              <w:rPr>
                <w:sz w:val="24"/>
              </w:rPr>
              <w:t>72,250,328.05</w:t>
            </w:r>
          </w:p>
        </w:tc>
        <w:tc>
          <w:tcPr>
            <w:vAlign w:val="center"/>
          </w:tcPr>
          <w:p>
            <w:pPr>
              <w:jc w:val="right"/>
            </w:pPr>
            <w:r>
              <w:rPr>
                <w:sz w:val="24"/>
              </w:rPr>
              <w:t>4.21</w:t>
            </w:r>
          </w:p>
        </w:tc>
      </w:tr>
      <w:tr>
        <w:tc>
          <w:tcPr>
            <w:vAlign w:val="center"/>
          </w:tcPr>
          <w:p>
            <w:pPr>
              <w:jc w:val="center"/>
            </w:pPr>
            <w:r>
              <w:rPr>
                <w:sz w:val="24"/>
              </w:rPr>
              <w:t>4</w:t>
            </w:r>
          </w:p>
        </w:tc>
        <w:tc>
          <w:tcPr>
            <w:vAlign w:val="center"/>
          </w:tcPr>
          <w:p>
            <w:pPr>
              <w:jc w:val="center"/>
            </w:pPr>
            <w:r>
              <w:rPr>
                <w:sz w:val="24"/>
              </w:rPr>
              <w:t>600406</w:t>
            </w:r>
          </w:p>
        </w:tc>
        <w:tc>
          <w:tcPr>
            <w:vAlign w:val="center"/>
          </w:tcPr>
          <w:p>
            <w:pPr>
              <w:jc w:val="center"/>
            </w:pPr>
            <w:r>
              <w:rPr>
                <w:sz w:val="24"/>
              </w:rPr>
              <w:t>国电南瑞</w:t>
            </w:r>
          </w:p>
        </w:tc>
        <w:tc>
          <w:tcPr>
            <w:vAlign w:val="center"/>
          </w:tcPr>
          <w:p>
            <w:pPr>
              <w:jc w:val="right"/>
            </w:pPr>
            <w:r>
              <w:rPr>
                <w:sz w:val="24"/>
              </w:rPr>
              <w:t>72,218,659.92</w:t>
            </w:r>
          </w:p>
        </w:tc>
        <w:tc>
          <w:tcPr>
            <w:vAlign w:val="center"/>
          </w:tcPr>
          <w:p>
            <w:pPr>
              <w:jc w:val="right"/>
            </w:pPr>
            <w:r>
              <w:rPr>
                <w:sz w:val="24"/>
              </w:rPr>
              <w:t>4.21</w:t>
            </w:r>
          </w:p>
        </w:tc>
      </w:tr>
      <w:tr>
        <w:tc>
          <w:tcPr>
            <w:vAlign w:val="center"/>
          </w:tcPr>
          <w:p>
            <w:pPr>
              <w:jc w:val="center"/>
            </w:pPr>
            <w:r>
              <w:rPr>
                <w:sz w:val="24"/>
              </w:rPr>
              <w:t>5</w:t>
            </w:r>
          </w:p>
        </w:tc>
        <w:tc>
          <w:tcPr>
            <w:vAlign w:val="center"/>
          </w:tcPr>
          <w:p>
            <w:pPr>
              <w:jc w:val="center"/>
            </w:pPr>
            <w:r>
              <w:rPr>
                <w:sz w:val="24"/>
              </w:rPr>
              <w:t>002410</w:t>
            </w:r>
          </w:p>
        </w:tc>
        <w:tc>
          <w:tcPr>
            <w:vAlign w:val="center"/>
          </w:tcPr>
          <w:p>
            <w:pPr>
              <w:jc w:val="center"/>
            </w:pPr>
            <w:r>
              <w:rPr>
                <w:sz w:val="24"/>
              </w:rPr>
              <w:t>广联达</w:t>
            </w:r>
          </w:p>
        </w:tc>
        <w:tc>
          <w:tcPr>
            <w:vAlign w:val="center"/>
          </w:tcPr>
          <w:p>
            <w:pPr>
              <w:jc w:val="right"/>
            </w:pPr>
            <w:r>
              <w:rPr>
                <w:sz w:val="24"/>
              </w:rPr>
              <w:t>67,605,175.80</w:t>
            </w:r>
          </w:p>
        </w:tc>
        <w:tc>
          <w:tcPr>
            <w:vAlign w:val="center"/>
          </w:tcPr>
          <w:p>
            <w:pPr>
              <w:jc w:val="right"/>
            </w:pPr>
            <w:r>
              <w:rPr>
                <w:sz w:val="24"/>
              </w:rPr>
              <w:t>3.94</w:t>
            </w:r>
          </w:p>
        </w:tc>
      </w:tr>
      <w:tr>
        <w:tc>
          <w:tcPr>
            <w:vAlign w:val="center"/>
          </w:tcPr>
          <w:p>
            <w:pPr>
              <w:jc w:val="center"/>
            </w:pPr>
            <w:r>
              <w:rPr>
                <w:sz w:val="24"/>
              </w:rPr>
              <w:t>6</w:t>
            </w:r>
          </w:p>
        </w:tc>
        <w:tc>
          <w:tcPr>
            <w:vAlign w:val="center"/>
          </w:tcPr>
          <w:p>
            <w:pPr>
              <w:jc w:val="center"/>
            </w:pPr>
            <w:r>
              <w:rPr>
                <w:sz w:val="24"/>
              </w:rPr>
              <w:t>002044</w:t>
            </w:r>
          </w:p>
        </w:tc>
        <w:tc>
          <w:tcPr>
            <w:vAlign w:val="center"/>
          </w:tcPr>
          <w:p>
            <w:pPr>
              <w:jc w:val="center"/>
            </w:pPr>
            <w:r>
              <w:rPr>
                <w:sz w:val="24"/>
              </w:rPr>
              <w:t>美年健康</w:t>
            </w:r>
          </w:p>
        </w:tc>
        <w:tc>
          <w:tcPr>
            <w:vAlign w:val="center"/>
          </w:tcPr>
          <w:p>
            <w:pPr>
              <w:jc w:val="right"/>
            </w:pPr>
            <w:r>
              <w:rPr>
                <w:sz w:val="24"/>
              </w:rPr>
              <w:t>64,428,715.53</w:t>
            </w:r>
          </w:p>
        </w:tc>
        <w:tc>
          <w:tcPr>
            <w:vAlign w:val="center"/>
          </w:tcPr>
          <w:p>
            <w:pPr>
              <w:jc w:val="right"/>
            </w:pPr>
            <w:r>
              <w:rPr>
                <w:sz w:val="24"/>
              </w:rPr>
              <w:t>3.75</w:t>
            </w:r>
          </w:p>
        </w:tc>
      </w:tr>
      <w:tr>
        <w:tc>
          <w:tcPr>
            <w:vAlign w:val="center"/>
          </w:tcPr>
          <w:p>
            <w:pPr>
              <w:jc w:val="center"/>
            </w:pPr>
            <w:r>
              <w:rPr>
                <w:sz w:val="24"/>
              </w:rPr>
              <w:t>7</w:t>
            </w:r>
          </w:p>
        </w:tc>
        <w:tc>
          <w:tcPr>
            <w:vAlign w:val="center"/>
          </w:tcPr>
          <w:p>
            <w:pPr>
              <w:jc w:val="center"/>
            </w:pPr>
            <w:r>
              <w:rPr>
                <w:sz w:val="24"/>
              </w:rPr>
              <w:t>002439</w:t>
            </w:r>
          </w:p>
        </w:tc>
        <w:tc>
          <w:tcPr>
            <w:vAlign w:val="center"/>
          </w:tcPr>
          <w:p>
            <w:pPr>
              <w:jc w:val="center"/>
            </w:pPr>
            <w:r>
              <w:rPr>
                <w:sz w:val="24"/>
              </w:rPr>
              <w:t>启明星辰</w:t>
            </w:r>
          </w:p>
        </w:tc>
        <w:tc>
          <w:tcPr>
            <w:vAlign w:val="center"/>
          </w:tcPr>
          <w:p>
            <w:pPr>
              <w:jc w:val="right"/>
            </w:pPr>
            <w:r>
              <w:rPr>
                <w:sz w:val="24"/>
              </w:rPr>
              <w:t>61,870,412.53</w:t>
            </w:r>
          </w:p>
        </w:tc>
        <w:tc>
          <w:tcPr>
            <w:vAlign w:val="center"/>
          </w:tcPr>
          <w:p>
            <w:pPr>
              <w:jc w:val="right"/>
            </w:pPr>
            <w:r>
              <w:rPr>
                <w:sz w:val="24"/>
              </w:rPr>
              <w:t>3.60</w:t>
            </w:r>
          </w:p>
        </w:tc>
      </w:tr>
      <w:tr>
        <w:tc>
          <w:tcPr>
            <w:vAlign w:val="center"/>
          </w:tcPr>
          <w:p>
            <w:pPr>
              <w:jc w:val="center"/>
            </w:pPr>
            <w:r>
              <w:rPr>
                <w:sz w:val="24"/>
              </w:rPr>
              <w:t>8</w:t>
            </w:r>
          </w:p>
        </w:tc>
        <w:tc>
          <w:tcPr>
            <w:vAlign w:val="center"/>
          </w:tcPr>
          <w:p>
            <w:pPr>
              <w:jc w:val="center"/>
            </w:pPr>
            <w:r>
              <w:rPr>
                <w:sz w:val="24"/>
              </w:rPr>
              <w:t>002212</w:t>
            </w:r>
          </w:p>
        </w:tc>
        <w:tc>
          <w:tcPr>
            <w:vAlign w:val="center"/>
          </w:tcPr>
          <w:p>
            <w:pPr>
              <w:jc w:val="center"/>
            </w:pPr>
            <w:r>
              <w:rPr>
                <w:sz w:val="24"/>
              </w:rPr>
              <w:t>南洋股份</w:t>
            </w:r>
          </w:p>
        </w:tc>
        <w:tc>
          <w:tcPr>
            <w:vAlign w:val="center"/>
          </w:tcPr>
          <w:p>
            <w:pPr>
              <w:jc w:val="right"/>
            </w:pPr>
            <w:r>
              <w:rPr>
                <w:sz w:val="24"/>
              </w:rPr>
              <w:t>61,571,942.86</w:t>
            </w:r>
          </w:p>
        </w:tc>
        <w:tc>
          <w:tcPr>
            <w:vAlign w:val="center"/>
          </w:tcPr>
          <w:p>
            <w:pPr>
              <w:jc w:val="right"/>
            </w:pPr>
            <w:r>
              <w:rPr>
                <w:sz w:val="24"/>
              </w:rPr>
              <w:t>3.59</w:t>
            </w:r>
          </w:p>
        </w:tc>
      </w:tr>
      <w:tr>
        <w:tc>
          <w:tcPr>
            <w:vAlign w:val="center"/>
          </w:tcPr>
          <w:p>
            <w:pPr>
              <w:jc w:val="center"/>
            </w:pPr>
            <w:r>
              <w:rPr>
                <w:sz w:val="24"/>
              </w:rPr>
              <w:t>9</w:t>
            </w:r>
          </w:p>
        </w:tc>
        <w:tc>
          <w:tcPr>
            <w:vAlign w:val="center"/>
          </w:tcPr>
          <w:p>
            <w:pPr>
              <w:jc w:val="center"/>
            </w:pPr>
            <w:r>
              <w:rPr>
                <w:sz w:val="24"/>
              </w:rPr>
              <w:t>300188</w:t>
            </w:r>
          </w:p>
        </w:tc>
        <w:tc>
          <w:tcPr>
            <w:vAlign w:val="center"/>
          </w:tcPr>
          <w:p>
            <w:pPr>
              <w:jc w:val="center"/>
            </w:pPr>
            <w:r>
              <w:rPr>
                <w:sz w:val="24"/>
              </w:rPr>
              <w:t>美亚柏科</w:t>
            </w:r>
          </w:p>
        </w:tc>
        <w:tc>
          <w:tcPr>
            <w:vAlign w:val="center"/>
          </w:tcPr>
          <w:p>
            <w:pPr>
              <w:jc w:val="right"/>
            </w:pPr>
            <w:r>
              <w:rPr>
                <w:sz w:val="24"/>
              </w:rPr>
              <w:t>61,083,253.97</w:t>
            </w:r>
          </w:p>
        </w:tc>
        <w:tc>
          <w:tcPr>
            <w:vAlign w:val="center"/>
          </w:tcPr>
          <w:p>
            <w:pPr>
              <w:jc w:val="right"/>
            </w:pPr>
            <w:r>
              <w:rPr>
                <w:sz w:val="24"/>
              </w:rPr>
              <w:t>3.56</w:t>
            </w:r>
          </w:p>
        </w:tc>
      </w:tr>
      <w:tr>
        <w:tc>
          <w:tcPr>
            <w:vAlign w:val="center"/>
          </w:tcPr>
          <w:p>
            <w:pPr>
              <w:jc w:val="center"/>
            </w:pPr>
            <w:r>
              <w:rPr>
                <w:sz w:val="24"/>
              </w:rPr>
              <w:t>10</w:t>
            </w:r>
          </w:p>
        </w:tc>
        <w:tc>
          <w:tcPr>
            <w:vAlign w:val="center"/>
          </w:tcPr>
          <w:p>
            <w:pPr>
              <w:jc w:val="center"/>
            </w:pPr>
            <w:r>
              <w:rPr>
                <w:sz w:val="24"/>
              </w:rPr>
              <w:t>603232</w:t>
            </w:r>
          </w:p>
        </w:tc>
        <w:tc>
          <w:tcPr>
            <w:vAlign w:val="center"/>
          </w:tcPr>
          <w:p>
            <w:pPr>
              <w:jc w:val="center"/>
            </w:pPr>
            <w:r>
              <w:rPr>
                <w:sz w:val="24"/>
              </w:rPr>
              <w:t>格尔软件</w:t>
            </w:r>
          </w:p>
        </w:tc>
        <w:tc>
          <w:tcPr>
            <w:vAlign w:val="center"/>
          </w:tcPr>
          <w:p>
            <w:pPr>
              <w:jc w:val="right"/>
            </w:pPr>
            <w:r>
              <w:rPr>
                <w:sz w:val="24"/>
              </w:rPr>
              <w:t>56,271,554.17</w:t>
            </w:r>
          </w:p>
        </w:tc>
        <w:tc>
          <w:tcPr>
            <w:vAlign w:val="center"/>
          </w:tcPr>
          <w:p>
            <w:pPr>
              <w:jc w:val="right"/>
            </w:pPr>
            <w:r>
              <w:rPr>
                <w:sz w:val="24"/>
              </w:rPr>
              <w:t>3.28</w:t>
            </w:r>
          </w:p>
        </w:tc>
      </w:tr>
      <w:tr>
        <w:tc>
          <w:tcPr>
            <w:vAlign w:val="center"/>
          </w:tcPr>
          <w:p>
            <w:pPr>
              <w:jc w:val="center"/>
            </w:pPr>
            <w:r>
              <w:rPr>
                <w:sz w:val="24"/>
              </w:rPr>
              <w:t>11</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54,194,718.07</w:t>
            </w:r>
          </w:p>
        </w:tc>
        <w:tc>
          <w:tcPr>
            <w:vAlign w:val="center"/>
          </w:tcPr>
          <w:p>
            <w:pPr>
              <w:jc w:val="right"/>
            </w:pPr>
            <w:r>
              <w:rPr>
                <w:sz w:val="24"/>
              </w:rPr>
              <w:t>3.16</w:t>
            </w:r>
          </w:p>
        </w:tc>
      </w:tr>
      <w:tr>
        <w:tc>
          <w:tcPr>
            <w:vAlign w:val="center"/>
          </w:tcPr>
          <w:p>
            <w:pPr>
              <w:jc w:val="center"/>
            </w:pPr>
            <w:r>
              <w:rPr>
                <w:sz w:val="24"/>
              </w:rPr>
              <w:t>12</w:t>
            </w:r>
          </w:p>
        </w:tc>
        <w:tc>
          <w:tcPr>
            <w:vAlign w:val="center"/>
          </w:tcPr>
          <w:p>
            <w:pPr>
              <w:jc w:val="center"/>
            </w:pPr>
            <w:r>
              <w:rPr>
                <w:sz w:val="24"/>
              </w:rPr>
              <w:t>600030</w:t>
            </w:r>
          </w:p>
        </w:tc>
        <w:tc>
          <w:tcPr>
            <w:vAlign w:val="center"/>
          </w:tcPr>
          <w:p>
            <w:pPr>
              <w:jc w:val="center"/>
            </w:pPr>
            <w:r>
              <w:rPr>
                <w:sz w:val="24"/>
              </w:rPr>
              <w:t>中信证券</w:t>
            </w:r>
          </w:p>
        </w:tc>
        <w:tc>
          <w:tcPr>
            <w:vAlign w:val="center"/>
          </w:tcPr>
          <w:p>
            <w:pPr>
              <w:jc w:val="right"/>
            </w:pPr>
            <w:r>
              <w:rPr>
                <w:sz w:val="24"/>
              </w:rPr>
              <w:t>53,323,134.00</w:t>
            </w:r>
          </w:p>
        </w:tc>
        <w:tc>
          <w:tcPr>
            <w:vAlign w:val="center"/>
          </w:tcPr>
          <w:p>
            <w:pPr>
              <w:jc w:val="right"/>
            </w:pPr>
            <w:r>
              <w:rPr>
                <w:sz w:val="24"/>
              </w:rPr>
              <w:t>3.11</w:t>
            </w:r>
          </w:p>
        </w:tc>
      </w:tr>
      <w:tr>
        <w:tc>
          <w:tcPr>
            <w:vAlign w:val="center"/>
          </w:tcPr>
          <w:p>
            <w:pPr>
              <w:jc w:val="center"/>
            </w:pPr>
            <w:r>
              <w:rPr>
                <w:sz w:val="24"/>
              </w:rPr>
              <w:t>13</w:t>
            </w:r>
          </w:p>
        </w:tc>
        <w:tc>
          <w:tcPr>
            <w:vAlign w:val="center"/>
          </w:tcPr>
          <w:p>
            <w:pPr>
              <w:jc w:val="center"/>
            </w:pPr>
            <w:r>
              <w:rPr>
                <w:sz w:val="24"/>
              </w:rPr>
              <w:t>300609</w:t>
            </w:r>
          </w:p>
        </w:tc>
        <w:tc>
          <w:tcPr>
            <w:vAlign w:val="center"/>
          </w:tcPr>
          <w:p>
            <w:pPr>
              <w:jc w:val="center"/>
            </w:pPr>
            <w:r>
              <w:rPr>
                <w:sz w:val="24"/>
              </w:rPr>
              <w:t>汇纳科技</w:t>
            </w:r>
          </w:p>
        </w:tc>
        <w:tc>
          <w:tcPr>
            <w:vAlign w:val="center"/>
          </w:tcPr>
          <w:p>
            <w:pPr>
              <w:jc w:val="right"/>
            </w:pPr>
            <w:r>
              <w:rPr>
                <w:sz w:val="24"/>
              </w:rPr>
              <w:t>51,226,012.56</w:t>
            </w:r>
          </w:p>
        </w:tc>
        <w:tc>
          <w:tcPr>
            <w:vAlign w:val="center"/>
          </w:tcPr>
          <w:p>
            <w:pPr>
              <w:jc w:val="right"/>
            </w:pPr>
            <w:r>
              <w:rPr>
                <w:sz w:val="24"/>
              </w:rPr>
              <w:t>2.98</w:t>
            </w:r>
          </w:p>
        </w:tc>
      </w:tr>
      <w:tr>
        <w:tc>
          <w:tcPr>
            <w:vAlign w:val="center"/>
          </w:tcPr>
          <w:p>
            <w:pPr>
              <w:jc w:val="center"/>
            </w:pPr>
            <w:r>
              <w:rPr>
                <w:sz w:val="24"/>
              </w:rPr>
              <w:t>14</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50,451,557.37</w:t>
            </w:r>
          </w:p>
        </w:tc>
        <w:tc>
          <w:tcPr>
            <w:vAlign w:val="center"/>
          </w:tcPr>
          <w:p>
            <w:pPr>
              <w:jc w:val="right"/>
            </w:pPr>
            <w:r>
              <w:rPr>
                <w:sz w:val="24"/>
              </w:rPr>
              <w:t>2.94</w:t>
            </w:r>
          </w:p>
        </w:tc>
      </w:tr>
      <w:tr>
        <w:tc>
          <w:tcPr>
            <w:vAlign w:val="center"/>
          </w:tcPr>
          <w:p>
            <w:pPr>
              <w:jc w:val="center"/>
            </w:pPr>
            <w:r>
              <w:rPr>
                <w:sz w:val="24"/>
              </w:rPr>
              <w:t>15</w:t>
            </w:r>
          </w:p>
        </w:tc>
        <w:tc>
          <w:tcPr>
            <w:vAlign w:val="center"/>
          </w:tcPr>
          <w:p>
            <w:pPr>
              <w:jc w:val="center"/>
            </w:pPr>
            <w:r>
              <w:rPr>
                <w:sz w:val="24"/>
              </w:rPr>
              <w:t>002268</w:t>
            </w:r>
          </w:p>
        </w:tc>
        <w:tc>
          <w:tcPr>
            <w:vAlign w:val="center"/>
          </w:tcPr>
          <w:p>
            <w:pPr>
              <w:jc w:val="center"/>
            </w:pPr>
            <w:r>
              <w:rPr>
                <w:sz w:val="24"/>
              </w:rPr>
              <w:t>卫士通</w:t>
            </w:r>
          </w:p>
        </w:tc>
        <w:tc>
          <w:tcPr>
            <w:vAlign w:val="center"/>
          </w:tcPr>
          <w:p>
            <w:pPr>
              <w:jc w:val="right"/>
            </w:pPr>
            <w:r>
              <w:rPr>
                <w:sz w:val="24"/>
              </w:rPr>
              <w:t>49,756,231.54</w:t>
            </w:r>
          </w:p>
        </w:tc>
        <w:tc>
          <w:tcPr>
            <w:vAlign w:val="center"/>
          </w:tcPr>
          <w:p>
            <w:pPr>
              <w:jc w:val="right"/>
            </w:pPr>
            <w:r>
              <w:rPr>
                <w:sz w:val="24"/>
              </w:rPr>
              <w:t>2.90</w:t>
            </w:r>
          </w:p>
        </w:tc>
      </w:tr>
      <w:tr>
        <w:tc>
          <w:tcPr>
            <w:vAlign w:val="center"/>
          </w:tcPr>
          <w:p>
            <w:pPr>
              <w:jc w:val="center"/>
            </w:pPr>
            <w:r>
              <w:rPr>
                <w:sz w:val="24"/>
              </w:rPr>
              <w:t>16</w:t>
            </w:r>
          </w:p>
        </w:tc>
        <w:tc>
          <w:tcPr>
            <w:vAlign w:val="center"/>
          </w:tcPr>
          <w:p>
            <w:pPr>
              <w:jc w:val="center"/>
            </w:pPr>
            <w:r>
              <w:rPr>
                <w:sz w:val="24"/>
              </w:rPr>
              <w:t>000501</w:t>
            </w:r>
          </w:p>
        </w:tc>
        <w:tc>
          <w:tcPr>
            <w:vAlign w:val="center"/>
          </w:tcPr>
          <w:p>
            <w:pPr>
              <w:jc w:val="center"/>
            </w:pPr>
            <w:r>
              <w:rPr>
                <w:sz w:val="24"/>
              </w:rPr>
              <w:t>鄂武商A</w:t>
            </w:r>
          </w:p>
        </w:tc>
        <w:tc>
          <w:tcPr>
            <w:vAlign w:val="center"/>
          </w:tcPr>
          <w:p>
            <w:pPr>
              <w:jc w:val="right"/>
            </w:pPr>
            <w:r>
              <w:rPr>
                <w:sz w:val="24"/>
              </w:rPr>
              <w:t>47,418,503.11</w:t>
            </w:r>
          </w:p>
        </w:tc>
        <w:tc>
          <w:tcPr>
            <w:vAlign w:val="center"/>
          </w:tcPr>
          <w:p>
            <w:pPr>
              <w:jc w:val="right"/>
            </w:pPr>
            <w:r>
              <w:rPr>
                <w:sz w:val="24"/>
              </w:rPr>
              <w:t>2.76</w:t>
            </w:r>
          </w:p>
        </w:tc>
      </w:tr>
      <w:tr>
        <w:tc>
          <w:tcPr>
            <w:vAlign w:val="center"/>
          </w:tcPr>
          <w:p>
            <w:pPr>
              <w:jc w:val="center"/>
            </w:pPr>
            <w:r>
              <w:rPr>
                <w:sz w:val="24"/>
              </w:rPr>
              <w:t>17</w:t>
            </w:r>
          </w:p>
        </w:tc>
        <w:tc>
          <w:tcPr>
            <w:vAlign w:val="center"/>
          </w:tcPr>
          <w:p>
            <w:pPr>
              <w:jc w:val="center"/>
            </w:pPr>
            <w:r>
              <w:rPr>
                <w:sz w:val="24"/>
              </w:rPr>
              <w:t>000031</w:t>
            </w:r>
          </w:p>
        </w:tc>
        <w:tc>
          <w:tcPr>
            <w:vAlign w:val="center"/>
          </w:tcPr>
          <w:p>
            <w:pPr>
              <w:jc w:val="center"/>
            </w:pPr>
            <w:r>
              <w:rPr>
                <w:sz w:val="24"/>
              </w:rPr>
              <w:t>大悦城</w:t>
            </w:r>
          </w:p>
        </w:tc>
        <w:tc>
          <w:tcPr>
            <w:vAlign w:val="center"/>
          </w:tcPr>
          <w:p>
            <w:pPr>
              <w:jc w:val="right"/>
            </w:pPr>
            <w:r>
              <w:rPr>
                <w:sz w:val="24"/>
              </w:rPr>
              <w:t>43,584,957.37</w:t>
            </w:r>
          </w:p>
        </w:tc>
        <w:tc>
          <w:tcPr>
            <w:vAlign w:val="center"/>
          </w:tcPr>
          <w:p>
            <w:pPr>
              <w:jc w:val="right"/>
            </w:pPr>
            <w:r>
              <w:rPr>
                <w:sz w:val="24"/>
              </w:rPr>
              <w:t>2.54</w:t>
            </w:r>
          </w:p>
        </w:tc>
      </w:tr>
      <w:tr>
        <w:tc>
          <w:tcPr>
            <w:vAlign w:val="center"/>
          </w:tcPr>
          <w:p>
            <w:pPr>
              <w:jc w:val="center"/>
            </w:pPr>
            <w:r>
              <w:rPr>
                <w:sz w:val="24"/>
              </w:rPr>
              <w:t>18</w:t>
            </w:r>
          </w:p>
        </w:tc>
        <w:tc>
          <w:tcPr>
            <w:vAlign w:val="center"/>
          </w:tcPr>
          <w:p>
            <w:pPr>
              <w:jc w:val="center"/>
            </w:pPr>
            <w:r>
              <w:rPr>
                <w:sz w:val="24"/>
              </w:rPr>
              <w:t>600383</w:t>
            </w:r>
          </w:p>
        </w:tc>
        <w:tc>
          <w:tcPr>
            <w:vAlign w:val="center"/>
          </w:tcPr>
          <w:p>
            <w:pPr>
              <w:jc w:val="center"/>
            </w:pPr>
            <w:r>
              <w:rPr>
                <w:sz w:val="24"/>
              </w:rPr>
              <w:t>金地集团</w:t>
            </w:r>
          </w:p>
        </w:tc>
        <w:tc>
          <w:tcPr>
            <w:vAlign w:val="center"/>
          </w:tcPr>
          <w:p>
            <w:pPr>
              <w:jc w:val="right"/>
            </w:pPr>
            <w:r>
              <w:rPr>
                <w:sz w:val="24"/>
              </w:rPr>
              <w:t>42,694,404.43</w:t>
            </w:r>
          </w:p>
        </w:tc>
        <w:tc>
          <w:tcPr>
            <w:vAlign w:val="center"/>
          </w:tcPr>
          <w:p>
            <w:pPr>
              <w:jc w:val="right"/>
            </w:pPr>
            <w:r>
              <w:rPr>
                <w:sz w:val="24"/>
              </w:rPr>
              <w:t>2.49</w:t>
            </w:r>
          </w:p>
        </w:tc>
      </w:tr>
      <w:tr>
        <w:tc>
          <w:tcPr>
            <w:vAlign w:val="center"/>
          </w:tcPr>
          <w:p>
            <w:pPr>
              <w:jc w:val="center"/>
            </w:pPr>
            <w:r>
              <w:rPr>
                <w:sz w:val="24"/>
              </w:rPr>
              <w:t>19</w:t>
            </w:r>
          </w:p>
        </w:tc>
        <w:tc>
          <w:tcPr>
            <w:vAlign w:val="center"/>
          </w:tcPr>
          <w:p>
            <w:pPr>
              <w:jc w:val="center"/>
            </w:pPr>
            <w:r>
              <w:rPr>
                <w:sz w:val="24"/>
              </w:rPr>
              <w:t>300579</w:t>
            </w:r>
          </w:p>
        </w:tc>
        <w:tc>
          <w:tcPr>
            <w:vAlign w:val="center"/>
          </w:tcPr>
          <w:p>
            <w:pPr>
              <w:jc w:val="center"/>
            </w:pPr>
            <w:r>
              <w:rPr>
                <w:sz w:val="24"/>
              </w:rPr>
              <w:t>数字认证</w:t>
            </w:r>
          </w:p>
        </w:tc>
        <w:tc>
          <w:tcPr>
            <w:vAlign w:val="center"/>
          </w:tcPr>
          <w:p>
            <w:pPr>
              <w:jc w:val="right"/>
            </w:pPr>
            <w:r>
              <w:rPr>
                <w:sz w:val="24"/>
              </w:rPr>
              <w:t>39,511,716.78</w:t>
            </w:r>
          </w:p>
        </w:tc>
        <w:tc>
          <w:tcPr>
            <w:vAlign w:val="center"/>
          </w:tcPr>
          <w:p>
            <w:pPr>
              <w:jc w:val="right"/>
            </w:pPr>
            <w:r>
              <w:rPr>
                <w:sz w:val="24"/>
              </w:rPr>
              <w:t>2.30</w:t>
            </w:r>
          </w:p>
        </w:tc>
      </w:tr>
      <w:tr>
        <w:tc>
          <w:tcPr>
            <w:vAlign w:val="center"/>
          </w:tcPr>
          <w:p>
            <w:pPr>
              <w:jc w:val="center"/>
            </w:pPr>
            <w:r>
              <w:rPr>
                <w:sz w:val="24"/>
              </w:rPr>
              <w:t>20</w:t>
            </w:r>
          </w:p>
        </w:tc>
        <w:tc>
          <w:tcPr>
            <w:vAlign w:val="center"/>
          </w:tcPr>
          <w:p>
            <w:pPr>
              <w:jc w:val="center"/>
            </w:pPr>
            <w:r>
              <w:rPr>
                <w:sz w:val="24"/>
              </w:rPr>
              <w:t>002475</w:t>
            </w:r>
          </w:p>
        </w:tc>
        <w:tc>
          <w:tcPr>
            <w:vAlign w:val="center"/>
          </w:tcPr>
          <w:p>
            <w:pPr>
              <w:jc w:val="center"/>
            </w:pPr>
            <w:r>
              <w:rPr>
                <w:sz w:val="24"/>
              </w:rPr>
              <w:t>立讯精密</w:t>
            </w:r>
          </w:p>
        </w:tc>
        <w:tc>
          <w:tcPr>
            <w:vAlign w:val="center"/>
          </w:tcPr>
          <w:p>
            <w:pPr>
              <w:jc w:val="right"/>
            </w:pPr>
            <w:r>
              <w:rPr>
                <w:sz w:val="24"/>
              </w:rPr>
              <w:t>39,208,044.28</w:t>
            </w:r>
          </w:p>
        </w:tc>
        <w:tc>
          <w:tcPr>
            <w:vAlign w:val="center"/>
          </w:tcPr>
          <w:p>
            <w:pPr>
              <w:jc w:val="right"/>
            </w:pPr>
            <w:r>
              <w:rPr>
                <w:sz w:val="24"/>
              </w:rPr>
              <w:t>2.28</w:t>
            </w:r>
          </w:p>
        </w:tc>
      </w:tr>
      <w:tr>
        <w:tc>
          <w:tcPr>
            <w:vAlign w:val="center"/>
          </w:tcPr>
          <w:p>
            <w:pPr>
              <w:jc w:val="center"/>
            </w:pPr>
            <w:r>
              <w:rPr>
                <w:sz w:val="24"/>
              </w:rPr>
              <w:t>21</w:t>
            </w:r>
          </w:p>
        </w:tc>
        <w:tc>
          <w:tcPr>
            <w:vAlign w:val="center"/>
          </w:tcPr>
          <w:p>
            <w:pPr>
              <w:jc w:val="center"/>
            </w:pPr>
            <w:r>
              <w:rPr>
                <w:sz w:val="24"/>
              </w:rPr>
              <w:t>300360</w:t>
            </w:r>
          </w:p>
        </w:tc>
        <w:tc>
          <w:tcPr>
            <w:vAlign w:val="center"/>
          </w:tcPr>
          <w:p>
            <w:pPr>
              <w:jc w:val="center"/>
            </w:pPr>
            <w:r>
              <w:rPr>
                <w:sz w:val="24"/>
              </w:rPr>
              <w:t>炬华科技</w:t>
            </w:r>
          </w:p>
        </w:tc>
        <w:tc>
          <w:tcPr>
            <w:vAlign w:val="center"/>
          </w:tcPr>
          <w:p>
            <w:pPr>
              <w:jc w:val="right"/>
            </w:pPr>
            <w:r>
              <w:rPr>
                <w:sz w:val="24"/>
              </w:rPr>
              <w:t>37,364,708.92</w:t>
            </w:r>
          </w:p>
        </w:tc>
        <w:tc>
          <w:tcPr>
            <w:vAlign w:val="center"/>
          </w:tcPr>
          <w:p>
            <w:pPr>
              <w:jc w:val="right"/>
            </w:pPr>
            <w:r>
              <w:rPr>
                <w:sz w:val="24"/>
              </w:rPr>
              <w:t>2.18</w:t>
            </w:r>
          </w:p>
        </w:tc>
      </w:tr>
      <w:tr>
        <w:tc>
          <w:tcPr>
            <w:vAlign w:val="center"/>
          </w:tcPr>
          <w:p>
            <w:pPr>
              <w:jc w:val="center"/>
            </w:pPr>
            <w:r>
              <w:rPr>
                <w:sz w:val="24"/>
              </w:rPr>
              <w:t>22</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36,713,768.54</w:t>
            </w:r>
          </w:p>
        </w:tc>
        <w:tc>
          <w:tcPr>
            <w:vAlign w:val="center"/>
          </w:tcPr>
          <w:p>
            <w:pPr>
              <w:jc w:val="right"/>
            </w:pPr>
            <w:r>
              <w:rPr>
                <w:sz w:val="24"/>
              </w:rPr>
              <w:t>2.14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131,556,416.91</w:t>
            </w:r>
          </w:p>
        </w:tc>
        <w:tc>
          <w:tcPr>
            <w:vAlign w:val="center"/>
          </w:tcPr>
          <w:p>
            <w:pPr>
              <w:jc w:val="right"/>
            </w:pPr>
            <w:r>
              <w:rPr>
                <w:rFonts w:ascii="Times New Roman" w:hAnsi="Times New Roman"/>
                <w:kern w:val="2"/>
              </w:rPr>
              <w:t>7.66</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123,575,360.93</w:t>
            </w:r>
          </w:p>
        </w:tc>
        <w:tc>
          <w:tcPr>
            <w:vAlign w:val="center"/>
          </w:tcPr>
          <w:p>
            <w:pPr>
              <w:jc w:val="right"/>
            </w:pPr>
            <w:r>
              <w:rPr>
                <w:rFonts w:ascii="Times New Roman" w:hAnsi="Times New Roman"/>
                <w:kern w:val="2"/>
              </w:rPr>
              <w:t>7.20</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600763</w:t>
            </w:r>
          </w:p>
        </w:tc>
        <w:tc>
          <w:tcPr>
            <w:vAlign w:val="center"/>
          </w:tcPr>
          <w:p>
            <w:pPr>
              <w:jc w:val="center"/>
            </w:pPr>
            <w:r>
              <w:rPr>
                <w:rFonts w:ascii="Times New Roman" w:hAnsi="Times New Roman"/>
                <w:kern w:val="2"/>
              </w:rPr>
              <w:t>通策医疗</w:t>
            </w:r>
          </w:p>
        </w:tc>
        <w:tc>
          <w:tcPr>
            <w:vAlign w:val="center"/>
          </w:tcPr>
          <w:p>
            <w:pPr>
              <w:jc w:val="right"/>
            </w:pPr>
            <w:r>
              <w:rPr>
                <w:rFonts w:ascii="Times New Roman" w:hAnsi="Times New Roman"/>
                <w:kern w:val="2"/>
              </w:rPr>
              <w:t>122,542,883.42</w:t>
            </w:r>
          </w:p>
        </w:tc>
        <w:tc>
          <w:tcPr>
            <w:vAlign w:val="center"/>
          </w:tcPr>
          <w:p>
            <w:pPr>
              <w:jc w:val="right"/>
            </w:pPr>
            <w:r>
              <w:rPr>
                <w:rFonts w:ascii="Times New Roman" w:hAnsi="Times New Roman"/>
                <w:kern w:val="2"/>
              </w:rPr>
              <w:t>7.14</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118,693,864.66</w:t>
            </w:r>
          </w:p>
        </w:tc>
        <w:tc>
          <w:tcPr>
            <w:vAlign w:val="center"/>
          </w:tcPr>
          <w:p>
            <w:pPr>
              <w:jc w:val="right"/>
            </w:pPr>
            <w:r>
              <w:rPr>
                <w:rFonts w:ascii="Times New Roman" w:hAnsi="Times New Roman"/>
                <w:kern w:val="2"/>
              </w:rPr>
              <w:t>6.92</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300529</w:t>
            </w:r>
          </w:p>
        </w:tc>
        <w:tc>
          <w:tcPr>
            <w:vAlign w:val="center"/>
          </w:tcPr>
          <w:p>
            <w:pPr>
              <w:jc w:val="center"/>
            </w:pPr>
            <w:r>
              <w:rPr>
                <w:rFonts w:ascii="Times New Roman" w:hAnsi="Times New Roman"/>
                <w:kern w:val="2"/>
              </w:rPr>
              <w:t>健帆生物</w:t>
            </w:r>
          </w:p>
        </w:tc>
        <w:tc>
          <w:tcPr>
            <w:vAlign w:val="center"/>
          </w:tcPr>
          <w:p>
            <w:pPr>
              <w:jc w:val="right"/>
            </w:pPr>
            <w:r>
              <w:rPr>
                <w:rFonts w:ascii="Times New Roman" w:hAnsi="Times New Roman"/>
                <w:kern w:val="2"/>
              </w:rPr>
              <w:t>87,589,326.31</w:t>
            </w:r>
          </w:p>
        </w:tc>
        <w:tc>
          <w:tcPr>
            <w:vAlign w:val="center"/>
          </w:tcPr>
          <w:p>
            <w:pPr>
              <w:jc w:val="right"/>
            </w:pPr>
            <w:r>
              <w:rPr>
                <w:rFonts w:ascii="Times New Roman" w:hAnsi="Times New Roman"/>
                <w:kern w:val="2"/>
              </w:rPr>
              <w:t>5.10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300188</w:t>
            </w:r>
          </w:p>
        </w:tc>
        <w:tc>
          <w:tcPr>
            <w:vAlign w:val="center"/>
          </w:tcPr>
          <w:p>
            <w:pPr>
              <w:jc w:val="center"/>
            </w:pPr>
            <w:r>
              <w:rPr>
                <w:rFonts w:ascii="Times New Roman" w:hAnsi="Times New Roman"/>
                <w:kern w:val="2"/>
              </w:rPr>
              <w:t>美亚柏科</w:t>
            </w:r>
          </w:p>
        </w:tc>
        <w:tc>
          <w:tcPr>
            <w:vAlign w:val="center"/>
          </w:tcPr>
          <w:p>
            <w:pPr>
              <w:jc w:val="right"/>
            </w:pPr>
            <w:r>
              <w:rPr>
                <w:rFonts w:ascii="Times New Roman" w:hAnsi="Times New Roman"/>
                <w:kern w:val="2"/>
              </w:rPr>
              <w:t>77,773,592.56</w:t>
            </w:r>
          </w:p>
        </w:tc>
        <w:tc>
          <w:tcPr>
            <w:vAlign w:val="center"/>
          </w:tcPr>
          <w:p>
            <w:pPr>
              <w:jc w:val="right"/>
            </w:pPr>
            <w:r>
              <w:rPr>
                <w:rFonts w:ascii="Times New Roman" w:hAnsi="Times New Roman"/>
                <w:kern w:val="2"/>
              </w:rPr>
              <w:t>4.53</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74,130,930.94</w:t>
            </w:r>
          </w:p>
        </w:tc>
        <w:tc>
          <w:tcPr>
            <w:vAlign w:val="center"/>
          </w:tcPr>
          <w:p>
            <w:pPr>
              <w:jc w:val="right"/>
            </w:pPr>
            <w:r>
              <w:rPr>
                <w:rFonts w:ascii="Times New Roman" w:hAnsi="Times New Roman"/>
                <w:kern w:val="2"/>
              </w:rPr>
              <w:t>4.32</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73,473,276.05</w:t>
            </w:r>
          </w:p>
        </w:tc>
        <w:tc>
          <w:tcPr>
            <w:vAlign w:val="center"/>
          </w:tcPr>
          <w:p>
            <w:pPr>
              <w:jc w:val="right"/>
            </w:pPr>
            <w:r>
              <w:rPr>
                <w:rFonts w:ascii="Times New Roman" w:hAnsi="Times New Roman"/>
                <w:kern w:val="2"/>
              </w:rPr>
              <w:t>4.28</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002690</w:t>
            </w:r>
          </w:p>
        </w:tc>
        <w:tc>
          <w:tcPr>
            <w:vAlign w:val="center"/>
          </w:tcPr>
          <w:p>
            <w:pPr>
              <w:jc w:val="center"/>
            </w:pPr>
            <w:r>
              <w:rPr>
                <w:rFonts w:ascii="Times New Roman" w:hAnsi="Times New Roman"/>
                <w:kern w:val="2"/>
              </w:rPr>
              <w:t>美亚光电</w:t>
            </w:r>
          </w:p>
        </w:tc>
        <w:tc>
          <w:tcPr>
            <w:vAlign w:val="center"/>
          </w:tcPr>
          <w:p>
            <w:pPr>
              <w:jc w:val="right"/>
            </w:pPr>
            <w:r>
              <w:rPr>
                <w:rFonts w:ascii="Times New Roman" w:hAnsi="Times New Roman"/>
                <w:kern w:val="2"/>
              </w:rPr>
              <w:t>73,321,390.45</w:t>
            </w:r>
          </w:p>
        </w:tc>
        <w:tc>
          <w:tcPr>
            <w:vAlign w:val="center"/>
          </w:tcPr>
          <w:p>
            <w:pPr>
              <w:jc w:val="right"/>
            </w:pPr>
            <w:r>
              <w:rPr>
                <w:rFonts w:ascii="Times New Roman" w:hAnsi="Times New Roman"/>
                <w:kern w:val="2"/>
              </w:rPr>
              <w:t>4.27</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69,116,322.83</w:t>
            </w:r>
          </w:p>
        </w:tc>
        <w:tc>
          <w:tcPr>
            <w:vAlign w:val="center"/>
          </w:tcPr>
          <w:p>
            <w:pPr>
              <w:jc w:val="right"/>
            </w:pPr>
            <w:r>
              <w:rPr>
                <w:rFonts w:ascii="Times New Roman" w:hAnsi="Times New Roman"/>
                <w:kern w:val="2"/>
              </w:rPr>
              <w:t>4.03</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000681</w:t>
            </w:r>
          </w:p>
        </w:tc>
        <w:tc>
          <w:tcPr>
            <w:vAlign w:val="center"/>
          </w:tcPr>
          <w:p>
            <w:pPr>
              <w:jc w:val="center"/>
            </w:pPr>
            <w:r>
              <w:rPr>
                <w:rFonts w:ascii="Times New Roman" w:hAnsi="Times New Roman"/>
                <w:kern w:val="2"/>
              </w:rPr>
              <w:t>视觉中国</w:t>
            </w:r>
          </w:p>
        </w:tc>
        <w:tc>
          <w:tcPr>
            <w:vAlign w:val="center"/>
          </w:tcPr>
          <w:p>
            <w:pPr>
              <w:jc w:val="right"/>
            </w:pPr>
            <w:r>
              <w:rPr>
                <w:rFonts w:ascii="Times New Roman" w:hAnsi="Times New Roman"/>
                <w:kern w:val="2"/>
              </w:rPr>
              <w:t>66,411,369.05</w:t>
            </w:r>
          </w:p>
        </w:tc>
        <w:tc>
          <w:tcPr>
            <w:vAlign w:val="center"/>
          </w:tcPr>
          <w:p>
            <w:pPr>
              <w:jc w:val="right"/>
            </w:pPr>
            <w:r>
              <w:rPr>
                <w:rFonts w:ascii="Times New Roman" w:hAnsi="Times New Roman"/>
                <w:kern w:val="2"/>
              </w:rPr>
              <w:t>3.87</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603383</w:t>
            </w:r>
          </w:p>
        </w:tc>
        <w:tc>
          <w:tcPr>
            <w:vAlign w:val="center"/>
          </w:tcPr>
          <w:p>
            <w:pPr>
              <w:jc w:val="center"/>
            </w:pPr>
            <w:r>
              <w:rPr>
                <w:rFonts w:ascii="Times New Roman" w:hAnsi="Times New Roman"/>
                <w:kern w:val="2"/>
              </w:rPr>
              <w:t>顶点软件</w:t>
            </w:r>
          </w:p>
        </w:tc>
        <w:tc>
          <w:tcPr>
            <w:vAlign w:val="center"/>
          </w:tcPr>
          <w:p>
            <w:pPr>
              <w:jc w:val="right"/>
            </w:pPr>
            <w:r>
              <w:rPr>
                <w:rFonts w:ascii="Times New Roman" w:hAnsi="Times New Roman"/>
                <w:kern w:val="2"/>
              </w:rPr>
              <w:t>62,895,195.98</w:t>
            </w:r>
          </w:p>
        </w:tc>
        <w:tc>
          <w:tcPr>
            <w:vAlign w:val="center"/>
          </w:tcPr>
          <w:p>
            <w:pPr>
              <w:jc w:val="right"/>
            </w:pPr>
            <w:r>
              <w:rPr>
                <w:rFonts w:ascii="Times New Roman" w:hAnsi="Times New Roman"/>
                <w:kern w:val="2"/>
              </w:rPr>
              <w:t>3.66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300207</w:t>
            </w:r>
          </w:p>
        </w:tc>
        <w:tc>
          <w:tcPr>
            <w:vAlign w:val="center"/>
          </w:tcPr>
          <w:p>
            <w:pPr>
              <w:jc w:val="center"/>
            </w:pPr>
            <w:r>
              <w:rPr>
                <w:rFonts w:ascii="Times New Roman" w:hAnsi="Times New Roman"/>
                <w:kern w:val="2"/>
              </w:rPr>
              <w:t>欣旺达</w:t>
            </w:r>
          </w:p>
        </w:tc>
        <w:tc>
          <w:tcPr>
            <w:vAlign w:val="center"/>
          </w:tcPr>
          <w:p>
            <w:pPr>
              <w:jc w:val="right"/>
            </w:pPr>
            <w:r>
              <w:rPr>
                <w:rFonts w:ascii="Times New Roman" w:hAnsi="Times New Roman"/>
                <w:kern w:val="2"/>
              </w:rPr>
              <w:t>58,808,523.96</w:t>
            </w:r>
          </w:p>
        </w:tc>
        <w:tc>
          <w:tcPr>
            <w:vAlign w:val="center"/>
          </w:tcPr>
          <w:p>
            <w:pPr>
              <w:jc w:val="right"/>
            </w:pPr>
            <w:r>
              <w:rPr>
                <w:rFonts w:ascii="Times New Roman" w:hAnsi="Times New Roman"/>
                <w:kern w:val="2"/>
              </w:rPr>
              <w:t>3.43</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57,718,072.98</w:t>
            </w:r>
          </w:p>
        </w:tc>
        <w:tc>
          <w:tcPr>
            <w:vAlign w:val="center"/>
          </w:tcPr>
          <w:p>
            <w:pPr>
              <w:jc w:val="right"/>
            </w:pPr>
            <w:r>
              <w:rPr>
                <w:rFonts w:ascii="Times New Roman" w:hAnsi="Times New Roman"/>
                <w:kern w:val="2"/>
              </w:rPr>
              <w:t>3.36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46,891,503.47</w:t>
            </w:r>
          </w:p>
        </w:tc>
        <w:tc>
          <w:tcPr>
            <w:vAlign w:val="center"/>
          </w:tcPr>
          <w:p>
            <w:pPr>
              <w:jc w:val="right"/>
            </w:pPr>
            <w:r>
              <w:rPr>
                <w:rFonts w:ascii="Times New Roman" w:hAnsi="Times New Roman"/>
                <w:kern w:val="2"/>
              </w:rPr>
              <w:t>2.73</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600383</w:t>
            </w:r>
          </w:p>
        </w:tc>
        <w:tc>
          <w:tcPr>
            <w:vAlign w:val="center"/>
          </w:tcPr>
          <w:p>
            <w:pPr>
              <w:jc w:val="center"/>
            </w:pPr>
            <w:r>
              <w:rPr>
                <w:rFonts w:ascii="Times New Roman" w:hAnsi="Times New Roman"/>
                <w:kern w:val="2"/>
              </w:rPr>
              <w:t>金地集团</w:t>
            </w:r>
          </w:p>
        </w:tc>
        <w:tc>
          <w:tcPr>
            <w:vAlign w:val="center"/>
          </w:tcPr>
          <w:p>
            <w:pPr>
              <w:jc w:val="right"/>
            </w:pPr>
            <w:r>
              <w:rPr>
                <w:rFonts w:ascii="Times New Roman" w:hAnsi="Times New Roman"/>
                <w:kern w:val="2"/>
              </w:rPr>
              <w:t>46,751,942.32</w:t>
            </w:r>
          </w:p>
        </w:tc>
        <w:tc>
          <w:tcPr>
            <w:vAlign w:val="center"/>
          </w:tcPr>
          <w:p>
            <w:pPr>
              <w:jc w:val="right"/>
            </w:pPr>
            <w:r>
              <w:rPr>
                <w:rFonts w:ascii="Times New Roman" w:hAnsi="Times New Roman"/>
                <w:kern w:val="2"/>
              </w:rPr>
              <w:t>2.72</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46,248,209.14</w:t>
            </w:r>
          </w:p>
        </w:tc>
        <w:tc>
          <w:tcPr>
            <w:vAlign w:val="center"/>
          </w:tcPr>
          <w:p>
            <w:pPr>
              <w:jc w:val="right"/>
            </w:pPr>
            <w:r>
              <w:rPr>
                <w:rFonts w:ascii="Times New Roman" w:hAnsi="Times New Roman"/>
                <w:kern w:val="2"/>
              </w:rPr>
              <w:t>2.69</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600406</w:t>
            </w:r>
          </w:p>
        </w:tc>
        <w:tc>
          <w:tcPr>
            <w:vAlign w:val="center"/>
          </w:tcPr>
          <w:p>
            <w:pPr>
              <w:jc w:val="center"/>
            </w:pPr>
            <w:r>
              <w:rPr>
                <w:rFonts w:ascii="Times New Roman" w:hAnsi="Times New Roman"/>
                <w:kern w:val="2"/>
              </w:rPr>
              <w:t>国电南瑞</w:t>
            </w:r>
          </w:p>
        </w:tc>
        <w:tc>
          <w:tcPr>
            <w:vAlign w:val="center"/>
          </w:tcPr>
          <w:p>
            <w:pPr>
              <w:jc w:val="right"/>
            </w:pPr>
            <w:r>
              <w:rPr>
                <w:rFonts w:ascii="Times New Roman" w:hAnsi="Times New Roman"/>
                <w:kern w:val="2"/>
              </w:rPr>
              <w:t>44,471,366.55</w:t>
            </w:r>
          </w:p>
        </w:tc>
        <w:tc>
          <w:tcPr>
            <w:vAlign w:val="center"/>
          </w:tcPr>
          <w:p>
            <w:pPr>
              <w:jc w:val="right"/>
            </w:pPr>
            <w:r>
              <w:rPr>
                <w:rFonts w:ascii="Times New Roman" w:hAnsi="Times New Roman"/>
                <w:kern w:val="2"/>
              </w:rPr>
              <w:t>2.59</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002475</w:t>
            </w:r>
          </w:p>
        </w:tc>
        <w:tc>
          <w:tcPr>
            <w:vAlign w:val="center"/>
          </w:tcPr>
          <w:p>
            <w:pPr>
              <w:jc w:val="center"/>
            </w:pPr>
            <w:r>
              <w:rPr>
                <w:rFonts w:ascii="Times New Roman" w:hAnsi="Times New Roman"/>
                <w:kern w:val="2"/>
              </w:rPr>
              <w:t>立讯精密</w:t>
            </w:r>
          </w:p>
        </w:tc>
        <w:tc>
          <w:tcPr>
            <w:vAlign w:val="center"/>
          </w:tcPr>
          <w:p>
            <w:pPr>
              <w:jc w:val="right"/>
            </w:pPr>
            <w:r>
              <w:rPr>
                <w:rFonts w:ascii="Times New Roman" w:hAnsi="Times New Roman"/>
                <w:kern w:val="2"/>
              </w:rPr>
              <w:t>44,331,319.61</w:t>
            </w:r>
          </w:p>
        </w:tc>
        <w:tc>
          <w:tcPr>
            <w:vAlign w:val="center"/>
          </w:tcPr>
          <w:p>
            <w:pPr>
              <w:jc w:val="right"/>
            </w:pPr>
            <w:r>
              <w:rPr>
                <w:rFonts w:ascii="Times New Roman" w:hAnsi="Times New Roman"/>
                <w:kern w:val="2"/>
              </w:rPr>
              <w:t>2.58</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43,185,994.23</w:t>
            </w:r>
          </w:p>
        </w:tc>
        <w:tc>
          <w:tcPr>
            <w:vAlign w:val="center"/>
          </w:tcPr>
          <w:p>
            <w:pPr>
              <w:jc w:val="right"/>
            </w:pPr>
            <w:r>
              <w:rPr>
                <w:rFonts w:ascii="Times New Roman" w:hAnsi="Times New Roman"/>
                <w:kern w:val="2"/>
              </w:rPr>
              <w:t>2.52</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300012</w:t>
            </w:r>
          </w:p>
        </w:tc>
        <w:tc>
          <w:tcPr>
            <w:vAlign w:val="center"/>
          </w:tcPr>
          <w:p>
            <w:pPr>
              <w:jc w:val="center"/>
            </w:pPr>
            <w:r>
              <w:rPr>
                <w:rFonts w:ascii="Times New Roman" w:hAnsi="Times New Roman"/>
                <w:kern w:val="2"/>
              </w:rPr>
              <w:t>华测检测</w:t>
            </w:r>
          </w:p>
        </w:tc>
        <w:tc>
          <w:tcPr>
            <w:vAlign w:val="center"/>
          </w:tcPr>
          <w:p>
            <w:pPr>
              <w:jc w:val="right"/>
            </w:pPr>
            <w:r>
              <w:rPr>
                <w:rFonts w:ascii="Times New Roman" w:hAnsi="Times New Roman"/>
                <w:kern w:val="2"/>
              </w:rPr>
              <w:t>40,843,417.98</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000031</w:t>
            </w:r>
          </w:p>
        </w:tc>
        <w:tc>
          <w:tcPr>
            <w:vAlign w:val="center"/>
          </w:tcPr>
          <w:p>
            <w:pPr>
              <w:jc w:val="center"/>
            </w:pPr>
            <w:r>
              <w:rPr>
                <w:rFonts w:ascii="Times New Roman" w:hAnsi="Times New Roman"/>
                <w:kern w:val="2"/>
              </w:rPr>
              <w:t>大悦城</w:t>
            </w:r>
          </w:p>
        </w:tc>
        <w:tc>
          <w:tcPr>
            <w:vAlign w:val="center"/>
          </w:tcPr>
          <w:p>
            <w:pPr>
              <w:jc w:val="right"/>
            </w:pPr>
            <w:r>
              <w:rPr>
                <w:rFonts w:ascii="Times New Roman" w:hAnsi="Times New Roman"/>
                <w:kern w:val="2"/>
              </w:rPr>
              <w:t>40,072,528.86</w:t>
            </w:r>
          </w:p>
        </w:tc>
        <w:tc>
          <w:tcPr>
            <w:vAlign w:val="center"/>
          </w:tcPr>
          <w:p>
            <w:pPr>
              <w:jc w:val="right"/>
            </w:pPr>
            <w:r>
              <w:rPr>
                <w:rFonts w:ascii="Times New Roman" w:hAnsi="Times New Roman"/>
                <w:kern w:val="2"/>
              </w:rPr>
              <w:t>2.33</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300360</w:t>
            </w:r>
          </w:p>
        </w:tc>
        <w:tc>
          <w:tcPr>
            <w:vAlign w:val="center"/>
          </w:tcPr>
          <w:p>
            <w:pPr>
              <w:jc w:val="center"/>
            </w:pPr>
            <w:r>
              <w:rPr>
                <w:rFonts w:ascii="Times New Roman" w:hAnsi="Times New Roman"/>
                <w:kern w:val="2"/>
              </w:rPr>
              <w:t>炬华科技</w:t>
            </w:r>
          </w:p>
        </w:tc>
        <w:tc>
          <w:tcPr>
            <w:vAlign w:val="center"/>
          </w:tcPr>
          <w:p>
            <w:pPr>
              <w:jc w:val="right"/>
            </w:pPr>
            <w:r>
              <w:rPr>
                <w:rFonts w:ascii="Times New Roman" w:hAnsi="Times New Roman"/>
                <w:kern w:val="2"/>
              </w:rPr>
              <w:t>36,242,500.38</w:t>
            </w:r>
          </w:p>
        </w:tc>
        <w:tc>
          <w:tcPr>
            <w:vAlign w:val="center"/>
          </w:tcPr>
          <w:p>
            <w:pPr>
              <w:jc w:val="right"/>
            </w:pPr>
            <w:r>
              <w:rPr>
                <w:rFonts w:ascii="Times New Roman" w:hAnsi="Times New Roman"/>
                <w:kern w:val="2"/>
              </w:rPr>
              <w:t>2.11</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002439</w:t>
            </w:r>
          </w:p>
        </w:tc>
        <w:tc>
          <w:tcPr>
            <w:vAlign w:val="center"/>
          </w:tcPr>
          <w:p>
            <w:pPr>
              <w:jc w:val="center"/>
            </w:pPr>
            <w:r>
              <w:rPr>
                <w:rFonts w:ascii="Times New Roman" w:hAnsi="Times New Roman"/>
                <w:kern w:val="2"/>
              </w:rPr>
              <w:t>启明星辰</w:t>
            </w:r>
          </w:p>
        </w:tc>
        <w:tc>
          <w:tcPr>
            <w:vAlign w:val="center"/>
          </w:tcPr>
          <w:p>
            <w:pPr>
              <w:jc w:val="right"/>
            </w:pPr>
            <w:r>
              <w:rPr>
                <w:rFonts w:ascii="Times New Roman" w:hAnsi="Times New Roman"/>
                <w:kern w:val="2"/>
              </w:rPr>
              <w:t>34,529,009.43</w:t>
            </w:r>
          </w:p>
        </w:tc>
        <w:tc>
          <w:tcPr>
            <w:vAlign w:val="center"/>
          </w:tcPr>
          <w:p>
            <w:pPr>
              <w:jc w:val="right"/>
            </w:pPr>
            <w:r>
              <w:rPr>
                <w:rFonts w:ascii="Times New Roman" w:hAnsi="Times New Roman"/>
                <w:kern w:val="2"/>
              </w:rPr>
              <w:t>2.01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2,051,014,155.44</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2,355,115,538.63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29,847,000.00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1.70</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29,847,000.00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1.70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199914</w:t>
            </w:r>
          </w:p>
        </w:tc>
        <w:tc>
          <w:tcPr>
            <w:vAlign w:val="center"/>
          </w:tcPr>
          <w:p>
            <w:pPr>
              <w:jc w:val="center"/>
            </w:pPr>
            <w:r>
              <w:rPr>
                <w:color w:val="000000"/>
                <w:sz w:val="24"/>
              </w:rPr>
              <w:t>19贴现国债14</w:t>
            </w:r>
          </w:p>
        </w:tc>
        <w:tc>
          <w:tcPr>
            <w:vAlign w:val="center"/>
          </w:tcPr>
          <w:p>
            <w:pPr>
              <w:jc w:val="right"/>
            </w:pPr>
            <w:r>
              <w:rPr>
                <w:color w:val="000000"/>
                <w:sz w:val="24"/>
              </w:rPr>
              <w:t>300,000</w:t>
            </w:r>
          </w:p>
        </w:tc>
        <w:tc>
          <w:tcPr>
            <w:vAlign w:val="center"/>
          </w:tcPr>
          <w:p>
            <w:pPr>
              <w:jc w:val="right"/>
            </w:pPr>
            <w:r>
              <w:rPr>
                <w:color w:val="000000"/>
                <w:sz w:val="24"/>
              </w:rPr>
              <w:t>29,847,000.00</w:t>
            </w:r>
          </w:p>
        </w:tc>
        <w:tc>
          <w:tcPr>
            <w:vAlign w:val="center"/>
          </w:tcPr>
          <w:p>
            <w:pPr>
              <w:jc w:val="right"/>
            </w:pPr>
            <w:r>
              <w:rPr>
                <w:color w:val="000000"/>
                <w:sz w:val="24"/>
              </w:rPr>
              <w:t>1.70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739,284.70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10,596,748.77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175,310.61</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520,865.04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12,032,209.12</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6,602,400.00</w:t>
            </w:r>
          </w:p>
        </w:tc>
        <w:tc>
          <w:tcPr>
            <w:vAlign w:val="center"/>
          </w:tcPr>
          <w:p>
            <w:pPr>
              <w:jc w:val="right"/>
            </w:pPr>
            <w:r>
              <w:rPr>
                <w:color w:val="000000"/>
                <w:sz w:val="24"/>
              </w:rPr>
              <w:t>0.38</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14,613</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14,613</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98,766.93</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979,827,463.36</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67.89%</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463,453,698.45</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32.11%</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907,346.65</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0.06%</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2018年1月12日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2,089,207,529.50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1,778,522,713.83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691,819,648.01</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1,027,061,200.03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1,443,281,161.81</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2、基金托管人的基金托管部门的重大人事变动：本基金托管人的专门基金托管部门本报告期内未发生重大人事变动。</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973,248,076.02</w:t>
            </w:r>
          </w:p>
        </w:tc>
        <w:tc>
          <w:tcPr>
            <w:vAlign w:val="center"/>
          </w:tcPr>
          <w:p>
            <w:pPr>
              <w:jc w:val="right"/>
            </w:pPr>
            <w:r>
              <w:rPr>
                <w:color w:val="000000"/>
                <w:sz w:val="24"/>
              </w:rPr>
              <w:t>22.10%</w:t>
            </w:r>
          </w:p>
        </w:tc>
        <w:tc>
          <w:tcPr>
            <w:vAlign w:val="center"/>
          </w:tcPr>
          <w:p>
            <w:pPr>
              <w:jc w:val="right"/>
            </w:pPr>
            <w:r>
              <w:rPr>
                <w:color w:val="000000"/>
                <w:sz w:val="24"/>
              </w:rPr>
              <w:t>906,384.82</w:t>
            </w:r>
          </w:p>
        </w:tc>
        <w:tc>
          <w:tcPr>
            <w:vAlign w:val="center"/>
          </w:tcPr>
          <w:p>
            <w:pPr>
              <w:jc w:val="right"/>
            </w:pPr>
            <w:r>
              <w:rPr>
                <w:color w:val="000000"/>
                <w:sz w:val="24"/>
              </w:rPr>
              <w:t>22.10%</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83,907,495.10</w:t>
            </w:r>
          </w:p>
        </w:tc>
        <w:tc>
          <w:tcPr>
            <w:vAlign w:val="center"/>
          </w:tcPr>
          <w:p>
            <w:pPr>
              <w:jc w:val="right"/>
            </w:pPr>
            <w:r>
              <w:rPr>
                <w:color w:val="000000"/>
                <w:sz w:val="24"/>
              </w:rPr>
              <w:t>1.91%</w:t>
            </w:r>
          </w:p>
        </w:tc>
        <w:tc>
          <w:tcPr>
            <w:vAlign w:val="center"/>
          </w:tcPr>
          <w:p>
            <w:pPr>
              <w:jc w:val="right"/>
            </w:pPr>
            <w:r>
              <w:rPr>
                <w:color w:val="000000"/>
                <w:sz w:val="24"/>
              </w:rPr>
              <w:t>78,142.41</w:t>
            </w:r>
          </w:p>
        </w:tc>
        <w:tc>
          <w:tcPr>
            <w:vAlign w:val="center"/>
          </w:tcPr>
          <w:p>
            <w:pPr>
              <w:jc w:val="right"/>
            </w:pPr>
            <w:r>
              <w:rPr>
                <w:color w:val="000000"/>
                <w:sz w:val="24"/>
              </w:rPr>
              <w:t>1.91%</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1,788,647,050.02</w:t>
            </w:r>
          </w:p>
        </w:tc>
        <w:tc>
          <w:tcPr>
            <w:vAlign w:val="center"/>
          </w:tcPr>
          <w:p>
            <w:pPr>
              <w:jc w:val="right"/>
            </w:pPr>
            <w:r>
              <w:rPr>
                <w:color w:val="000000"/>
                <w:sz w:val="24"/>
              </w:rPr>
              <w:t>40.61%</w:t>
            </w:r>
          </w:p>
        </w:tc>
        <w:tc>
          <w:tcPr>
            <w:vAlign w:val="center"/>
          </w:tcPr>
          <w:p>
            <w:pPr>
              <w:jc w:val="right"/>
            </w:pPr>
            <w:r>
              <w:rPr>
                <w:color w:val="000000"/>
                <w:sz w:val="24"/>
              </w:rPr>
              <w:t>1,665,770.02</w:t>
            </w:r>
          </w:p>
        </w:tc>
        <w:tc>
          <w:tcPr>
            <w:vAlign w:val="center"/>
          </w:tcPr>
          <w:p>
            <w:pPr>
              <w:jc w:val="right"/>
            </w:pPr>
            <w:r>
              <w:rPr>
                <w:color w:val="000000"/>
                <w:sz w:val="24"/>
              </w:rPr>
              <w:t>40.61%</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1</w:t>
            </w:r>
          </w:p>
        </w:tc>
        <w:tc>
          <w:tcPr>
            <w:vAlign w:val="center"/>
          </w:tcPr>
          <w:p>
            <w:pPr>
              <w:jc w:val="right"/>
            </w:pPr>
            <w:r>
              <w:rPr>
                <w:color w:val="000000"/>
                <w:sz w:val="24"/>
              </w:rPr>
              <w:t>156,777,779.21</w:t>
            </w:r>
          </w:p>
        </w:tc>
        <w:tc>
          <w:tcPr>
            <w:vAlign w:val="center"/>
          </w:tcPr>
          <w:p>
            <w:pPr>
              <w:jc w:val="right"/>
            </w:pPr>
            <w:r>
              <w:rPr>
                <w:color w:val="000000"/>
                <w:sz w:val="24"/>
              </w:rPr>
              <w:t>3.56%</w:t>
            </w:r>
          </w:p>
        </w:tc>
        <w:tc>
          <w:tcPr>
            <w:vAlign w:val="center"/>
          </w:tcPr>
          <w:p>
            <w:pPr>
              <w:jc w:val="right"/>
            </w:pPr>
            <w:r>
              <w:rPr>
                <w:color w:val="000000"/>
                <w:sz w:val="24"/>
              </w:rPr>
              <w:t>146,119.07</w:t>
            </w:r>
          </w:p>
        </w:tc>
        <w:tc>
          <w:tcPr>
            <w:vAlign w:val="center"/>
          </w:tcPr>
          <w:p>
            <w:pPr>
              <w:jc w:val="right"/>
            </w:pPr>
            <w:r>
              <w:rPr>
                <w:color w:val="000000"/>
                <w:sz w:val="24"/>
              </w:rPr>
              <w:t>3.56%</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138,830,767.38</w:t>
            </w:r>
          </w:p>
        </w:tc>
        <w:tc>
          <w:tcPr>
            <w:vAlign w:val="center"/>
          </w:tcPr>
          <w:p>
            <w:pPr>
              <w:jc w:val="right"/>
            </w:pPr>
            <w:r>
              <w:rPr>
                <w:color w:val="000000"/>
                <w:sz w:val="24"/>
              </w:rPr>
              <w:t>3.15%</w:t>
            </w:r>
          </w:p>
        </w:tc>
        <w:tc>
          <w:tcPr>
            <w:vAlign w:val="center"/>
          </w:tcPr>
          <w:p>
            <w:pPr>
              <w:jc w:val="right"/>
            </w:pPr>
            <w:r>
              <w:rPr>
                <w:color w:val="000000"/>
                <w:sz w:val="24"/>
              </w:rPr>
              <w:t>129,292.84</w:t>
            </w:r>
          </w:p>
        </w:tc>
        <w:tc>
          <w:tcPr>
            <w:vAlign w:val="center"/>
          </w:tcPr>
          <w:p>
            <w:pPr>
              <w:jc w:val="right"/>
            </w:pPr>
            <w:r>
              <w:rPr>
                <w:color w:val="000000"/>
                <w:sz w:val="24"/>
              </w:rPr>
              <w:t>3.15%</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3</w:t>
            </w:r>
          </w:p>
        </w:tc>
        <w:tc>
          <w:tcPr>
            <w:vAlign w:val="center"/>
          </w:tcPr>
          <w:p>
            <w:pPr>
              <w:jc w:val="right"/>
            </w:pPr>
            <w:r>
              <w:rPr>
                <w:color w:val="000000"/>
                <w:sz w:val="24"/>
              </w:rPr>
              <w:t>1,262,675,067.26</w:t>
            </w:r>
          </w:p>
        </w:tc>
        <w:tc>
          <w:tcPr>
            <w:vAlign w:val="center"/>
          </w:tcPr>
          <w:p>
            <w:pPr>
              <w:jc w:val="right"/>
            </w:pPr>
            <w:r>
              <w:rPr>
                <w:color w:val="000000"/>
                <w:sz w:val="24"/>
              </w:rPr>
              <w:t>28.67%</w:t>
            </w:r>
          </w:p>
        </w:tc>
        <w:tc>
          <w:tcPr>
            <w:vAlign w:val="center"/>
          </w:tcPr>
          <w:p>
            <w:pPr>
              <w:jc w:val="right"/>
            </w:pPr>
            <w:r>
              <w:rPr>
                <w:color w:val="000000"/>
                <w:sz w:val="24"/>
              </w:rPr>
              <w:t>1,175,931.72</w:t>
            </w:r>
          </w:p>
        </w:tc>
        <w:tc>
          <w:tcPr>
            <w:vAlign w:val="center"/>
          </w:tcPr>
          <w:p>
            <w:pPr>
              <w:jc w:val="right"/>
            </w:pPr>
            <w:r>
              <w:rPr>
                <w:color w:val="000000"/>
                <w:sz w:val="24"/>
              </w:rPr>
              <w:t>28.67%</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太平洋证券股份有限公司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华创证券有限责任公司</w:t>
            </w:r>
          </w:p>
        </w:tc>
        <w:tc>
          <w:tcPr>
            <w:vAlign w:val="center"/>
          </w:tcPr>
          <w:p>
            <w:pPr>
              <w:jc w:val="right"/>
            </w:pPr>
            <w:r>
              <w:rPr>
                <w:color w:val="000000"/>
                <w:sz w:val="24"/>
              </w:rPr>
              <w:t>1,182,086.32</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 xml:space="preserve">注：1、报告期内，本基金新增加交易单元为太平洋证券股份有限公司，其它交易单元未发生变化； </w:t>
      </w:r>
    </w:p>
    <w:p>
      <w:pPr>
        <w:autoSpaceDE w:val="0"/>
        <w:autoSpaceDN w:val="0"/>
        <w:adjustRightInd w:val="0"/>
        <w:spacing w:before="29" w:line="288" w:lineRule="auto"/>
        <w:jc w:val="left"/>
        <w:rPr>
          <w:color w:val="000000"/>
          <w:sz w:val="24"/>
        </w:rPr>
      </w:pPr>
      <w:r>
        <w:rPr>
          <w:color w:val="000000"/>
          <w:sz w:val="24"/>
        </w:rPr>
        <w:t>2、租用证券公司专用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3、租用证券公司专用交易单元的程序：首先根据租用证券公司专用交易单元的选择标准进行综合评价，然后根据评价选择基金专用交易单元。研究部提交方案，并上报公司批准。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5547A0" w:rsidRPr="004F0662" w:rsidTr="00B86999">
        <w:tc>
          <w:tcPr>
            <w:tcW w:type="dxa" w:w="993"/>
            <w:vMerge w:val="restart"/>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type="dxa" w:w="993"/>
            <w:vMerge/>
            <w:vAlign w:val="center"/>
          </w:tcPr>
          <w:p w:rsidP="00B86999" w:rsidR="005547A0" w:rsidRDefault="005547A0" w:rsidRPr="004F0662">
            <w:pPr>
              <w:autoSpaceDE w:val="0"/>
              <w:autoSpaceDN w:val="0"/>
              <w:adjustRightInd w:val="0"/>
              <w:jc w:val="center"/>
              <w:rPr>
                <w:rFonts w:ascii="宋体" w:hAnsi="宋体"/>
                <w:b/>
                <w:bCs/>
                <w:color w:val="000000"/>
                <w:kern w:val="0"/>
                <w:szCs w:val="21"/>
              </w:rPr>
            </w:pPr>
          </w:p>
        </w:tc>
        <w:tc>
          <w:tcPr>
            <w:tcW w:type="dxa" w:w="99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356,850,462.03</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356,850,462.03</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5547A0" w:rsidRPr="004F0662" w:rsidTr="00B86999">
        <w:tc>
          <w:tcPr>
            <w:tcW w:type="dxa" w:w="9212"/>
            <w:vAlign w:val="center"/>
          </w:tcPr>
          <w:p w:rsidP="00B86999" w:rsidR="005547A0" w:rsidRDefault="005547A0"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5547A0" w:rsidRPr="004F0662" w:rsidTr="00B86999">
        <w:tc>
          <w:tcPr>
            <w:tcW w:type="dxa" w:w="9212"/>
            <w:vAlign w:val="center"/>
          </w:tcPr>
          <w:p w:rsidP="00B86999" w:rsidR="005547A0" w:rsidRDefault="005547A0"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11.2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交银施罗德持续成长主题混合型证券投资基金2019年半年度报告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