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交银施罗德致远量化智投策略定期开放混合型证券投资基金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中信银行股份有限公司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交银致远智投混合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005724</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005724</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2018年5月18日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中信银行股份有限公司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79,899,354.91</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本基金在控制风险的前提下，力争为投资者提供长期稳健的投资回报。</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75%×上证国债指数收益率+25%×沪深300指数收益率</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本基金是一只混合型基金，其预期风险和预期收益高于债券型基金和货币市场基金，低于股票型基金。</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李修滨</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lixiubin@citicbank.com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6,364,502.29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8,635,649.89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0.0442</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4.16%</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0.010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81,175,625.32</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1.0160</w:t>
            </w:r>
          </w:p>
        </w:tc>
      </w:tr>
    </w:tbl>
    <w:bookmarkEnd w:id="14"/>
    <w:bookmarkEnd w:id="15"/>
    <w:p>
      <w:pPr>
        <w:tabs>
          <w:tab w:pos="426" w:val="left"/>
        </w:tabs>
        <w:spacing w:before="29" w:line="288" w:lineRule="auto"/>
        <w:jc w:val="left"/>
        <w:rPr>
          <w:kern w:val="0"/>
          <w:sz w:val="24"/>
        </w:rPr>
      </w:pPr>
      <w:r>
        <w:rPr>
          <w:kern w:val="0"/>
          <w:sz w:val="24"/>
        </w:rPr>
        <w:t xml:space="preserve">注：1、上述基金业绩指标不包括持有人认购或交易基金的各项费用，计入费用后的实际收益水平要低于所列数字。 </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0.57%</w:t>
            </w:r>
          </w:p>
        </w:tc>
        <w:tc>
          <w:tcPr>
            <w:vAlign w:val="center"/>
          </w:tcPr>
          <w:p>
            <w:pPr>
              <w:jc w:val="center"/>
            </w:pPr>
            <w:r>
              <w:rPr>
                <w:color w:val="000000"/>
                <w:sz w:val="24"/>
              </w:rPr>
              <w:t>0.14%</w:t>
            </w:r>
          </w:p>
        </w:tc>
        <w:tc>
          <w:tcPr>
            <w:vAlign w:val="center"/>
          </w:tcPr>
          <w:p>
            <w:pPr>
              <w:jc w:val="center"/>
            </w:pPr>
            <w:r>
              <w:rPr>
                <w:color w:val="000000"/>
                <w:sz w:val="24"/>
              </w:rPr>
              <w:t>1.68%</w:t>
            </w:r>
          </w:p>
        </w:tc>
        <w:tc>
          <w:tcPr>
            <w:vAlign w:val="center"/>
          </w:tcPr>
          <w:p>
            <w:pPr>
              <w:jc w:val="center"/>
            </w:pPr>
            <w:r>
              <w:rPr>
                <w:color w:val="000000"/>
                <w:sz w:val="24"/>
              </w:rPr>
              <w:t>0.30%</w:t>
            </w:r>
          </w:p>
        </w:tc>
        <w:tc>
          <w:tcPr>
            <w:vAlign w:val="center"/>
          </w:tcPr>
          <w:p>
            <w:pPr>
              <w:jc w:val="center"/>
            </w:pPr>
            <w:r>
              <w:rPr>
                <w:color w:val="000000"/>
                <w:sz w:val="24"/>
              </w:rPr>
              <w:t>-1.11%</w:t>
            </w:r>
          </w:p>
        </w:tc>
        <w:tc>
          <w:tcPr>
            <w:vAlign w:val="center"/>
          </w:tcPr>
          <w:p>
            <w:pPr>
              <w:jc w:val="center"/>
            </w:pPr>
            <w:r>
              <w:rPr>
                <w:color w:val="000000"/>
                <w:sz w:val="24"/>
              </w:rPr>
              <w:t>-0.16%</w:t>
            </w:r>
          </w:p>
        </w:tc>
      </w:tr>
      <w:tr>
        <w:tc>
          <w:tcPr>
            <w:vAlign w:val="center"/>
          </w:tcPr>
          <w:p>
            <w:pPr>
              <w:jc w:val="left"/>
            </w:pPr>
            <w:r>
              <w:rPr>
                <w:color w:val="000000"/>
                <w:sz w:val="24"/>
              </w:rPr>
              <w:t>过去三个月</w:t>
            </w:r>
          </w:p>
        </w:tc>
        <w:tc>
          <w:tcPr>
            <w:vAlign w:val="center"/>
          </w:tcPr>
          <w:p>
            <w:pPr>
              <w:jc w:val="center"/>
            </w:pPr>
            <w:r>
              <w:rPr>
                <w:color w:val="000000"/>
                <w:sz w:val="24"/>
              </w:rPr>
              <w:t>-1.26%</w:t>
            </w:r>
          </w:p>
        </w:tc>
        <w:tc>
          <w:tcPr>
            <w:vAlign w:val="center"/>
          </w:tcPr>
          <w:p>
            <w:pPr>
              <w:jc w:val="center"/>
            </w:pPr>
            <w:r>
              <w:rPr>
                <w:color w:val="000000"/>
                <w:sz w:val="24"/>
              </w:rPr>
              <w:t>0.24%</w:t>
            </w:r>
          </w:p>
        </w:tc>
        <w:tc>
          <w:tcPr>
            <w:vAlign w:val="center"/>
          </w:tcPr>
          <w:p>
            <w:pPr>
              <w:jc w:val="center"/>
            </w:pPr>
            <w:r>
              <w:rPr>
                <w:color w:val="000000"/>
                <w:sz w:val="24"/>
              </w:rPr>
              <w:t>0.39%</w:t>
            </w:r>
          </w:p>
        </w:tc>
        <w:tc>
          <w:tcPr>
            <w:vAlign w:val="center"/>
          </w:tcPr>
          <w:p>
            <w:pPr>
              <w:jc w:val="center"/>
            </w:pPr>
            <w:r>
              <w:rPr>
                <w:color w:val="000000"/>
                <w:sz w:val="24"/>
              </w:rPr>
              <w:t>0.38%</w:t>
            </w:r>
          </w:p>
        </w:tc>
        <w:tc>
          <w:tcPr>
            <w:vAlign w:val="center"/>
          </w:tcPr>
          <w:p>
            <w:pPr>
              <w:jc w:val="center"/>
            </w:pPr>
            <w:r>
              <w:rPr>
                <w:color w:val="000000"/>
                <w:sz w:val="24"/>
              </w:rPr>
              <w:t>-1.65%</w:t>
            </w:r>
          </w:p>
        </w:tc>
        <w:tc>
          <w:tcPr>
            <w:vAlign w:val="center"/>
          </w:tcPr>
          <w:p>
            <w:pPr>
              <w:jc w:val="center"/>
            </w:pPr>
            <w:r>
              <w:rPr>
                <w:color w:val="000000"/>
                <w:sz w:val="24"/>
              </w:rPr>
              <w:t>-0.14%</w:t>
            </w:r>
          </w:p>
        </w:tc>
      </w:tr>
      <w:tr>
        <w:tc>
          <w:tcPr>
            <w:vAlign w:val="center"/>
          </w:tcPr>
          <w:p>
            <w:pPr>
              <w:jc w:val="left"/>
            </w:pPr>
            <w:r>
              <w:rPr>
                <w:color w:val="000000"/>
                <w:sz w:val="24"/>
              </w:rPr>
              <w:t>过去六个月</w:t>
            </w:r>
          </w:p>
        </w:tc>
        <w:tc>
          <w:tcPr>
            <w:vAlign w:val="center"/>
          </w:tcPr>
          <w:p>
            <w:pPr>
              <w:jc w:val="center"/>
            </w:pPr>
            <w:r>
              <w:rPr>
                <w:color w:val="000000"/>
                <w:sz w:val="24"/>
              </w:rPr>
              <w:t>4.16%</w:t>
            </w:r>
          </w:p>
        </w:tc>
        <w:tc>
          <w:tcPr>
            <w:vAlign w:val="center"/>
          </w:tcPr>
          <w:p>
            <w:pPr>
              <w:jc w:val="center"/>
            </w:pPr>
            <w:r>
              <w:rPr>
                <w:color w:val="000000"/>
                <w:sz w:val="24"/>
              </w:rPr>
              <w:t>0.29%</w:t>
            </w:r>
          </w:p>
        </w:tc>
        <w:tc>
          <w:tcPr>
            <w:vAlign w:val="center"/>
          </w:tcPr>
          <w:p>
            <w:pPr>
              <w:jc w:val="center"/>
            </w:pPr>
            <w:r>
              <w:rPr>
                <w:color w:val="000000"/>
                <w:sz w:val="24"/>
              </w:rPr>
              <w:t>8.07%</w:t>
            </w:r>
          </w:p>
        </w:tc>
        <w:tc>
          <w:tcPr>
            <w:vAlign w:val="center"/>
          </w:tcPr>
          <w:p>
            <w:pPr>
              <w:jc w:val="center"/>
            </w:pPr>
            <w:r>
              <w:rPr>
                <w:color w:val="000000"/>
                <w:sz w:val="24"/>
              </w:rPr>
              <w:t>0.39%</w:t>
            </w:r>
          </w:p>
        </w:tc>
        <w:tc>
          <w:tcPr>
            <w:vAlign w:val="center"/>
          </w:tcPr>
          <w:p>
            <w:pPr>
              <w:jc w:val="center"/>
            </w:pPr>
            <w:r>
              <w:rPr>
                <w:color w:val="000000"/>
                <w:sz w:val="24"/>
              </w:rPr>
              <w:t>-3.91%</w:t>
            </w:r>
          </w:p>
        </w:tc>
        <w:tc>
          <w:tcPr>
            <w:vAlign w:val="center"/>
          </w:tcPr>
          <w:p>
            <w:pPr>
              <w:jc w:val="center"/>
            </w:pPr>
            <w:r>
              <w:rPr>
                <w:color w:val="000000"/>
                <w:sz w:val="24"/>
              </w:rPr>
              <w:t>-0.10%</w:t>
            </w:r>
          </w:p>
        </w:tc>
      </w:tr>
      <w:tr>
        <w:tc>
          <w:tcPr>
            <w:vAlign w:val="center"/>
          </w:tcPr>
          <w:p>
            <w:pPr>
              <w:jc w:val="left"/>
            </w:pPr>
            <w:r>
              <w:rPr>
                <w:color w:val="000000"/>
                <w:sz w:val="24"/>
              </w:rPr>
              <w:t>过去一年</w:t>
            </w:r>
          </w:p>
        </w:tc>
        <w:tc>
          <w:tcPr>
            <w:vAlign w:val="center"/>
          </w:tcPr>
          <w:p>
            <w:pPr>
              <w:jc w:val="center"/>
            </w:pPr>
            <w:r>
              <w:rPr>
                <w:color w:val="000000"/>
                <w:sz w:val="24"/>
              </w:rPr>
              <w:t>1.66%</w:t>
            </w:r>
          </w:p>
        </w:tc>
        <w:tc>
          <w:tcPr>
            <w:vAlign w:val="center"/>
          </w:tcPr>
          <w:p>
            <w:pPr>
              <w:jc w:val="center"/>
            </w:pPr>
            <w:r>
              <w:rPr>
                <w:color w:val="000000"/>
                <w:sz w:val="24"/>
              </w:rPr>
              <w:t>0.27%</w:t>
            </w:r>
          </w:p>
        </w:tc>
        <w:tc>
          <w:tcPr>
            <w:vAlign w:val="center"/>
          </w:tcPr>
          <w:p>
            <w:pPr>
              <w:jc w:val="center"/>
            </w:pPr>
            <w:r>
              <w:rPr>
                <w:color w:val="000000"/>
                <w:sz w:val="24"/>
              </w:rPr>
              <w:t>6.36%</w:t>
            </w:r>
          </w:p>
        </w:tc>
        <w:tc>
          <w:tcPr>
            <w:vAlign w:val="center"/>
          </w:tcPr>
          <w:p>
            <w:pPr>
              <w:jc w:val="center"/>
            </w:pPr>
            <w:r>
              <w:rPr>
                <w:color w:val="000000"/>
                <w:sz w:val="24"/>
              </w:rPr>
              <w:t>0.38%</w:t>
            </w:r>
          </w:p>
        </w:tc>
        <w:tc>
          <w:tcPr>
            <w:vAlign w:val="center"/>
          </w:tcPr>
          <w:p>
            <w:pPr>
              <w:jc w:val="center"/>
            </w:pPr>
            <w:r>
              <w:rPr>
                <w:color w:val="000000"/>
                <w:sz w:val="24"/>
              </w:rPr>
              <w:t>-4.70%</w:t>
            </w:r>
          </w:p>
        </w:tc>
        <w:tc>
          <w:tcPr>
            <w:vAlign w:val="center"/>
          </w:tcPr>
          <w:p>
            <w:pPr>
              <w:jc w:val="center"/>
            </w:pPr>
            <w:r>
              <w:rPr>
                <w:color w:val="000000"/>
                <w:sz w:val="24"/>
              </w:rPr>
              <w:t>-0.11%</w:t>
            </w:r>
          </w:p>
        </w:tc>
      </w:tr>
      <w:tr>
        <w:tc>
          <w:tcPr>
            <w:vAlign w:val="center"/>
          </w:tcPr>
          <w:p>
            <w:pPr>
              <w:jc w:val="left"/>
            </w:pPr>
            <w:r>
              <w:rPr>
                <w:color w:val="000000"/>
                <w:sz w:val="24"/>
              </w:rPr>
              <w:t>自基金合同生效至今</w:t>
            </w:r>
          </w:p>
        </w:tc>
        <w:tc>
          <w:tcPr>
            <w:vAlign w:val="center"/>
          </w:tcPr>
          <w:p>
            <w:pPr>
              <w:jc w:val="center"/>
            </w:pPr>
            <w:r>
              <w:rPr>
                <w:color w:val="000000"/>
                <w:sz w:val="24"/>
              </w:rPr>
              <w:t>1.60%</w:t>
            </w:r>
          </w:p>
        </w:tc>
        <w:tc>
          <w:tcPr>
            <w:vAlign w:val="center"/>
          </w:tcPr>
          <w:p>
            <w:pPr>
              <w:jc w:val="center"/>
            </w:pPr>
            <w:r>
              <w:rPr>
                <w:color w:val="000000"/>
                <w:sz w:val="24"/>
              </w:rPr>
              <w:t>0.26%</w:t>
            </w:r>
          </w:p>
        </w:tc>
        <w:tc>
          <w:tcPr>
            <w:vAlign w:val="center"/>
          </w:tcPr>
          <w:p>
            <w:pPr>
              <w:jc w:val="center"/>
            </w:pPr>
            <w:r>
              <w:rPr>
                <w:color w:val="000000"/>
                <w:sz w:val="24"/>
              </w:rPr>
              <w:t>4.43%</w:t>
            </w:r>
          </w:p>
        </w:tc>
        <w:tc>
          <w:tcPr>
            <w:vAlign w:val="center"/>
          </w:tcPr>
          <w:p>
            <w:pPr>
              <w:jc w:val="center"/>
            </w:pPr>
            <w:r>
              <w:rPr>
                <w:color w:val="000000"/>
                <w:sz w:val="24"/>
              </w:rPr>
              <w:t>0.37%</w:t>
            </w:r>
          </w:p>
        </w:tc>
        <w:tc>
          <w:tcPr>
            <w:vAlign w:val="center"/>
          </w:tcPr>
          <w:p>
            <w:pPr>
              <w:jc w:val="center"/>
            </w:pPr>
            <w:r>
              <w:rPr>
                <w:color w:val="000000"/>
                <w:sz w:val="24"/>
              </w:rPr>
              <w:t>-2.83%</w:t>
            </w:r>
          </w:p>
        </w:tc>
        <w:tc>
          <w:tcPr>
            <w:vAlign w:val="center"/>
          </w:tcPr>
          <w:p>
            <w:pPr>
              <w:jc w:val="center"/>
            </w:pPr>
            <w:r>
              <w:rPr>
                <w:color w:val="000000"/>
                <w:sz w:val="24"/>
              </w:rPr>
              <w:t>-0.11%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注：本基金的业绩比较基准为75%×上证国债指数收益率+25%×沪深300指数收益率，每日进行再平衡过程。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交银施罗德致远量化智投策略定期开放混合型证券投资基金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2018年5月18日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基金合同生效日为2018年5月18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rPr>
              <w:t>2018-05-18</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rsidP="00AC6DDA" w:rsidR="00C02A8F" w:rsidRDefault="00C02A8F" w:rsidRPr="005C672D">
      <w:pPr>
        <w:spacing w:before="29" w:line="288" w:lineRule="auto"/>
        <w:ind w:firstLine="480" w:firstLineChars="200"/>
        <w:rPr>
          <w:color w:val="000000"/>
          <w:sz w:val="24"/>
        </w:rPr>
      </w:pPr>
      <w:r w:rsidRPr="005C672D">
        <w:rPr>
          <w:color w:val="000000"/>
          <w:sz w:val="24"/>
        </w:rPr>
        <w:t>2019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A股市场出现较大幅调整，投资者情绪回归冷静。直至六月中旬科创板宣布正式开板，市场信心才有所提振。债券市场方面，一季度债市呈震荡态势，自二季度初快速调整后逐步企稳回升。在上述市场环境下，本基金采取定期不定额的模式进行投资，固定收益部分配置了较高信用等级的固定收益资产作为收益增强，净值表现总体呈现先上行后震荡的走势。</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展望2019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A股市场仍维持谨慎乐观的看法。</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作为本基金的托管人，中信银行严格遵守了《证券投资基金法》及其他有关法律法规、基金合同和托管协议的规定，对交银施罗德致远量化智投策略定期开放混合型证券投资基金2019年上半年的投资运作，进行了认真、独立的会计核算和必要的投资监督，履行了托管人的义务，不存在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在交银施罗德致远量化智投策略定期开放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交银施罗德致远量化智投策略定期开放混合型证券投资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交银施罗德致远量化智投策略定期开放混合型证券投资基金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3,325,737.58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2,782,598.82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15,913,945.57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242,198.20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37,294.35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37,691.89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62,094,958.22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237,058,066.67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13,194,958.22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42,690,114.07</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48,900,000.00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194,367,952.60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80,832.46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4,715,215.50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81,452,768.18</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244,835,771.08</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21,023,848.46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79,708.14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228,470.71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13,284.69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38,078.44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84,455.58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76,238.69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2,004.54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1,165.13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28,631.02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97,689.91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309,300.00</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277,142.86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21,705,732.45</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79,899,354.91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228,753,120.21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1,276,270.41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-5,623,081.58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81,175,625.32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223,130,038.63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81,452,768.18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244,835,771.08</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报告截止日2019年6月30日，基金份额净值1.0160元，基金份额总额79,899,354.91份。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交银施罗德致远量化智投策略定期开放混合型证券投资基金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2018年5月18日（基金合同生效日）至2018年6月30日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10,502,484.68</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335,603.54</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2,987,876.56</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938,664.05</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101,668.29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32,034.85</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2,147,789.78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217,403.49</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738,418.49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689,225.71</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5,243,460.52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47,066.71</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5,061,017.27</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-19,934.73</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34,623.90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147,819.35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67,001.44</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2,271,147.60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-650,127.22</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1,866,834.79</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466,352.71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1,183,200.75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323,067.72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197,200.07</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53,844.62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238,008.96</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28,822.21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134,834.11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134,834.11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3,097.67</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2,481.22</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110,493.23</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58,136.94</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8,635,649.89</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-130,749.17</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8,635,649.89</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-130,749.17</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交银施罗德致远量化智投策略定期开放混合型证券投资基金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228,753,120.21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-5,623,081.58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223,130,038.63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8,635,649.89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8,635,649.89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-148,853,765.30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-1,736,297.90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-150,590,063.20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19.75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0.23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19.98</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-148,853,785.05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-1,736,298.13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-150,590,083.18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79,899,354.91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1,276,270.41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81,175,625.32</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2018年5月18日（基金合同生效日）至2018年6月30日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228,753,120.21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228,753,120.21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-130,749.17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-130,749.17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228,753,120.21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-130,749.17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228,622,371.04</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致远量化智投策略定期开放混合型证券投资基金(以下简称“本基金”)经中国证券监督管理委员会(以下简称“中国证监会”)证监许可[2018]110号《关于准予交银施罗德致远量化智投策略定期开放混合型证券投资基金注册的批复》核准，由交银施罗德基金管理有限公司依照《中华人民共和国证券投资基金法》和《交银施罗德致远量化智投策略定期开放混合型证券投资基金基金合同》负责公开募集。本基金为契约型开放式，存续期限不定，首次设立募集不包括认购资金利息共募集人民币228,498,058.06元，业经普华永道中天会计师事务所(特殊普通合伙)普华永道中天验字(2018)第0336号验资报告予以验证。经向中国证监会备案，《交银施罗德致远量化智投策略定期开放混合型证券投资基金基金合同》于2018年5月18日正式生效，基金合同生效日的基金份额总额为228,753,120.21份基金份额，其中认购资金利息折合255,062.15份基金份额。本基金的基金管理人为交银施罗德基金管理有限公司，基金托管人为中信银行股份有限公司。</w:t>
      </w:r>
    </w:p>
    <w:p>
      <w:pPr>
        <w:spacing w:before="29" w:line="288" w:lineRule="auto"/>
        <w:ind w:firstLine="480" w:firstLineChars="200"/>
        <w:rPr>
          <w:color w:val="000000"/>
          <w:sz w:val="24"/>
        </w:rPr>
      </w:pPr>
      <w:r>
        <w:rPr>
          <w:color w:val="000000"/>
          <w:sz w:val="24"/>
        </w:rPr>
        <w:t>根据《交银施罗德致远量化智投策略定期开放混合型证券投资基金基金合同》的相关规定，本基金以定期开放的方式运作，即采用封闭期和开放期滚动的方式运作。本基金的第一个封闭期为自基金合同生效日起至一年后的年度对日的前一日，以此类推。本基金在封闭期内不办理申购与赎回业务，也不上市交易。本基金自封闭期结束之日的下一个工作日起进入开放期，期间可以办理申购及/或赎回业务。本基金每个开放期办理申购或赎回业务的时间分别至少为5个工作日最长不超过20个工作日，基金管理人最迟应于开放期开始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致远量化智投策略定期开放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投资于股票资产的比例为0-45%。开放期内每个交易日日终，在扣除股指期货合约需缴纳的交易保证金后，本基金持有的现金或到期日在一年以内的政府债券不低于基金资产净值的5%，其中现金不包括结算备付金、存出保证金、应收申购款等；在封闭期内，本基金不受上述5%的限制，但每个交易日日终在扣除股指期货合约需缴纳的交易保证金后，应当保持不低于交易保证金一倍的现金。本基金的业绩比较基准为：75%×上证国债指数收益率+25%×沪深300指数收益率。</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致远量化智投策略定期开放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color w:val="000000"/>
          <w:sz w:val="24"/>
        </w:rPr>
        <w:t>(2)对基金从证券市场中取得的收入，包括买卖股票、债券的差价收入，股票的股息、红利收入，债券的利息收入及其他收入，暂不征收企业所得税。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(4)基金卖出股票按0.1%的税率缴纳股票交易印花税，买入股票不征收股票交易印花税。</w:t>
      </w:r>
    </w:p>
    <w:p w:rsidP="00AC6DDA" w:rsidR="001548F9" w:rsidRDefault="001548F9" w:rsidRPr="005C672D">
      <w:pPr>
        <w:spacing w:before="29" w:line="288" w:lineRule="auto"/>
        <w:ind w:firstLine="480" w:firstLineChars="200"/>
        <w:rPr>
          <w:color w:val="000000"/>
          <w:sz w:val="24"/>
        </w:rPr>
      </w:pPr>
      <w:r w:rsidRPr="005C672D">
        <w:rPr>
          <w:color w:val="000000"/>
          <w:sz w:val="24"/>
        </w:rPr>
        <w:t>(5)本基金的城市维护建设税、教育费附加和地方教育费附加等税费按照实际缴纳增值税额的适用比例计算缴纳。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中信银行股份有限公司(“中信银行”)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2018年5月18日（基金合同生效日）至2018年6月30日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1,183,200.75</w:t>
            </w:r>
          </w:p>
        </w:tc>
        <w:tc>
          <w:tcPr>
            <w:tcW w:type="dxa" w:w="2657"/>
            <w:vAlign w:val="center"/>
          </w:tcPr>
          <w:p w:rsidP="00AC6DDA" w:rsidR="001548F9" w:rsidRDefault="001548F9" w:rsidRPr="005C672D">
            <w:pPr>
              <w:spacing w:before="29" w:line="288" w:lineRule="auto"/>
              <w:jc w:val="right"/>
              <w:rPr>
                <w:sz w:val="24"/>
              </w:rPr>
            </w:pPr>
            <w:r w:rsidRPr="005C672D">
              <w:rPr>
                <w:sz w:val="24"/>
              </w:rPr>
              <w:t>323,067.72</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451,932.58</w:t>
            </w:r>
          </w:p>
        </w:tc>
        <w:tc>
          <w:tcPr>
            <w:tcW w:type="dxa" w:w="2657"/>
            <w:vAlign w:val="center"/>
          </w:tcPr>
          <w:p w:rsidP="00AC6DDA" w:rsidR="001548F9" w:rsidRDefault="001548F9" w:rsidRPr="005C672D">
            <w:pPr>
              <w:spacing w:before="29" w:line="288" w:lineRule="auto"/>
              <w:jc w:val="right"/>
              <w:rPr>
                <w:sz w:val="24"/>
              </w:rPr>
            </w:pPr>
            <w:r w:rsidRPr="005C672D">
              <w:rPr>
                <w:sz w:val="24"/>
              </w:rPr>
              <w:t>122,789.64</w:t>
            </w:r>
          </w:p>
        </w:tc>
      </w:tr>
    </w:tbl>
    <w:p>
      <w:pPr>
        <w:tabs>
          <w:tab w:pos="426" w:val="left"/>
        </w:tabs>
        <w:spacing w:before="29" w:line="288" w:lineRule="auto"/>
        <w:jc w:val="left"/>
        <w:rPr>
          <w:kern w:val="0"/>
          <w:sz w:val="24"/>
        </w:rPr>
      </w:pPr>
      <w:r>
        <w:rPr>
          <w:kern w:val="0"/>
          <w:sz w:val="24"/>
        </w:rPr>
        <w:t>注：支付基金管理人的管理人报酬按前一日基金资产净值1.20%的年费率计提，逐日累计至每月月底，按月支付。其计算公式为：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日管理人报酬＝前一日基金资产净值×1.20%÷当年天数。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2018年5月18日（基金合同生效日）至2018年6月30日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197,200.07</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53,844.62</w:t>
            </w:r>
          </w:p>
        </w:tc>
      </w:tr>
    </w:tbl>
    <w:p>
      <w:pPr>
        <w:tabs>
          <w:tab w:pos="426" w:val="left"/>
        </w:tabs>
        <w:spacing w:before="29" w:line="288" w:lineRule="auto"/>
        <w:jc w:val="left"/>
        <w:rPr>
          <w:kern w:val="0"/>
          <w:sz w:val="24"/>
        </w:rPr>
      </w:pPr>
      <w:r>
        <w:rPr>
          <w:kern w:val="0"/>
          <w:sz w:val="24"/>
        </w:rPr>
        <w:t>注：支付基金托管人的托管费按前一日基金资产净值0.20%的年费率计提，逐日累计至每月月底，按月支付。其计算公式为：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日托管费＝前一日基金资产净值×0.20%÷当年天数。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2018年5月18日（基金合同生效日）至2018年6月30日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中信银行股份有限公司</w:t>
            </w:r>
          </w:p>
        </w:tc>
        <w:tc>
          <w:tcPr>
            <w:vAlign w:val="center"/>
          </w:tcPr>
          <w:p>
            <w:pPr>
              <w:jc w:val="right"/>
            </w:pPr>
            <w:r>
              <w:rPr>
                <w:sz w:val="24"/>
              </w:rPr>
              <w:t>3,325,737.58</w:t>
            </w:r>
          </w:p>
        </w:tc>
        <w:tc>
          <w:tcPr>
            <w:vAlign w:val="center"/>
          </w:tcPr>
          <w:p>
            <w:pPr>
              <w:jc w:val="right"/>
            </w:pPr>
            <w:r>
              <w:rPr>
                <w:sz w:val="24"/>
              </w:rPr>
              <w:t>96,603.96</w:t>
            </w:r>
          </w:p>
        </w:tc>
        <w:tc>
          <w:tcPr>
            <w:vAlign w:val="center"/>
          </w:tcPr>
          <w:p>
            <w:pPr>
              <w:jc w:val="right"/>
            </w:pPr>
            <w:r>
              <w:rPr>
                <w:sz w:val="24"/>
              </w:rPr>
              <w:t>11,195,290.39</w:t>
            </w:r>
          </w:p>
        </w:tc>
        <w:tc>
          <w:tcPr>
            <w:vAlign w:val="center"/>
          </w:tcPr>
          <w:p>
            <w:pPr>
              <w:jc w:val="right"/>
            </w:pPr>
            <w:r>
              <w:rPr>
                <w:sz w:val="24"/>
              </w:rPr>
              <w:t>30,526.95</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本基金本报告期末未持有因认购新发/增发证券而流通受限的证券。</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ind w:firstLine="480" w:firstLineChars="200"/>
        <w:rPr>
          <w:bCs/>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13,194,958.22</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16.20</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13,194,958.22</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16.20</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48,900,000.00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60.03</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48,900,000.00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60.03</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19,239,683.15</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23.62</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118,126.81</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0.15</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81,452,768.18</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301,308.00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0.37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483,222.00</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0.60</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7,382,903.10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9.09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598,711.00</w:t>
            </w:r>
          </w:p>
        </w:tc>
        <w:tc>
          <w:tcPr>
            <w:tcW w:type="dxa" w:w="2160"/>
            <w:vAlign w:val="center"/>
          </w:tcPr>
          <w:p w:rsidP="00AC6DDA" w:rsidR="001548F9" w:rsidRDefault="001548F9" w:rsidRPr="005C672D">
            <w:pPr>
              <w:spacing w:before="29" w:line="288" w:lineRule="auto"/>
              <w:jc w:val="right"/>
              <w:rPr>
                <w:sz w:val="24"/>
              </w:rPr>
            </w:pPr>
            <w:r w:rsidRPr="005C672D">
              <w:rPr>
                <w:sz w:val="24"/>
              </w:rPr>
              <w:t>0.74</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296,103.00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0.36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480,340.92</w:t>
            </w:r>
          </w:p>
        </w:tc>
        <w:tc>
          <w:tcPr>
            <w:tcW w:type="dxa" w:w="2160"/>
            <w:vAlign w:val="center"/>
          </w:tcPr>
          <w:p w:rsidP="00AC6DDA" w:rsidR="001548F9" w:rsidRDefault="001548F9" w:rsidRPr="005C672D">
            <w:pPr>
              <w:spacing w:before="29" w:line="288" w:lineRule="auto"/>
              <w:jc w:val="right"/>
              <w:rPr>
                <w:sz w:val="24"/>
              </w:rPr>
            </w:pPr>
            <w:r w:rsidRPr="005C672D">
              <w:rPr>
                <w:sz w:val="24"/>
              </w:rPr>
              <w:t>0.59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394,421.60</w:t>
            </w:r>
          </w:p>
        </w:tc>
        <w:tc>
          <w:tcPr>
            <w:tcW w:type="dxa" w:w="2160"/>
            <w:vAlign w:val="center"/>
          </w:tcPr>
          <w:p w:rsidP="00AC6DDA" w:rsidR="001548F9" w:rsidRDefault="001548F9" w:rsidRPr="005C672D">
            <w:pPr>
              <w:spacing w:before="29" w:line="288" w:lineRule="auto"/>
              <w:jc w:val="right"/>
              <w:rPr>
                <w:sz w:val="24"/>
              </w:rPr>
            </w:pPr>
            <w:r w:rsidRPr="005C672D">
              <w:rPr>
                <w:sz w:val="24"/>
              </w:rPr>
              <w:t>0.49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93,632.00</w:t>
            </w:r>
          </w:p>
        </w:tc>
        <w:tc>
          <w:tcPr>
            <w:tcW w:type="dxa" w:w="2160"/>
            <w:vAlign w:val="center"/>
          </w:tcPr>
          <w:p w:rsidP="00AC6DDA" w:rsidR="001548F9" w:rsidRDefault="001548F9" w:rsidRPr="005C672D">
            <w:pPr>
              <w:spacing w:before="29" w:line="288" w:lineRule="auto"/>
              <w:jc w:val="right"/>
              <w:rPr>
                <w:sz w:val="24"/>
              </w:rPr>
            </w:pPr>
            <w:r w:rsidRPr="005C672D">
              <w:rPr>
                <w:sz w:val="24"/>
              </w:rPr>
              <w:t>0.12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792,145.20</w:t>
            </w:r>
          </w:p>
        </w:tc>
        <w:tc>
          <w:tcPr>
            <w:tcW w:type="dxa" w:w="2160"/>
            <w:vAlign w:val="center"/>
          </w:tcPr>
          <w:p w:rsidP="00AC6DDA" w:rsidR="001548F9" w:rsidRDefault="001548F9" w:rsidRPr="005C672D">
            <w:pPr>
              <w:spacing w:before="29" w:line="288" w:lineRule="auto"/>
              <w:jc w:val="right"/>
              <w:rPr>
                <w:sz w:val="24"/>
              </w:rPr>
            </w:pPr>
            <w:r w:rsidRPr="005C672D">
              <w:rPr>
                <w:sz w:val="24"/>
              </w:rPr>
              <w:t>0.98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438,278.00</w:t>
            </w:r>
          </w:p>
        </w:tc>
        <w:tc>
          <w:tcPr>
            <w:tcW w:type="dxa" w:w="2160"/>
            <w:vAlign w:val="center"/>
          </w:tcPr>
          <w:p w:rsidP="00AC6DDA" w:rsidR="001548F9" w:rsidRDefault="001548F9" w:rsidRPr="005C672D">
            <w:pPr>
              <w:spacing w:before="29" w:line="288" w:lineRule="auto"/>
              <w:jc w:val="right"/>
              <w:rPr>
                <w:sz w:val="24"/>
              </w:rPr>
            </w:pPr>
            <w:r w:rsidRPr="005C672D">
              <w:rPr>
                <w:sz w:val="24"/>
              </w:rPr>
              <w:t>0.54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1,004,933.40</w:t>
            </w:r>
          </w:p>
        </w:tc>
        <w:tc>
          <w:tcPr>
            <w:tcW w:type="dxa" w:w="2160"/>
            <w:vAlign w:val="center"/>
          </w:tcPr>
          <w:p w:rsidP="00AC6DDA" w:rsidR="001548F9" w:rsidRDefault="001548F9" w:rsidRPr="005C672D">
            <w:pPr>
              <w:spacing w:before="29" w:line="288" w:lineRule="auto"/>
              <w:jc w:val="right"/>
              <w:rPr>
                <w:sz w:val="24"/>
              </w:rPr>
            </w:pPr>
            <w:r w:rsidRPr="005C672D">
              <w:rPr>
                <w:sz w:val="24"/>
              </w:rPr>
              <w:t>1.24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170,373.00</w:t>
            </w:r>
          </w:p>
        </w:tc>
        <w:tc>
          <w:tcPr>
            <w:tcW w:type="dxa" w:w="2160"/>
            <w:vAlign w:val="center"/>
          </w:tcPr>
          <w:p w:rsidP="00AC6DDA" w:rsidR="001548F9" w:rsidRDefault="001548F9" w:rsidRPr="005C672D">
            <w:pPr>
              <w:spacing w:before="29" w:line="288" w:lineRule="auto"/>
              <w:jc w:val="right"/>
              <w:rPr>
                <w:sz w:val="24"/>
              </w:rPr>
            </w:pPr>
            <w:r w:rsidRPr="005C672D">
              <w:rPr>
                <w:sz w:val="24"/>
              </w:rPr>
              <w:t>0.21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399,045.00</w:t>
            </w:r>
          </w:p>
        </w:tc>
        <w:tc>
          <w:tcPr>
            <w:tcW w:type="dxa" w:w="2160"/>
            <w:vAlign w:val="center"/>
          </w:tcPr>
          <w:p w:rsidP="00AC6DDA" w:rsidR="001548F9" w:rsidRDefault="001548F9" w:rsidRPr="005C672D">
            <w:pPr>
              <w:spacing w:before="29" w:line="288" w:lineRule="auto"/>
              <w:jc w:val="right"/>
              <w:rPr>
                <w:sz w:val="24"/>
              </w:rPr>
            </w:pPr>
            <w:r w:rsidRPr="005C672D">
              <w:rPr>
                <w:sz w:val="24"/>
              </w:rPr>
              <w:t>0.49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359,542.00</w:t>
            </w:r>
          </w:p>
        </w:tc>
        <w:tc>
          <w:tcPr>
            <w:tcW w:type="dxa" w:w="2160"/>
            <w:vAlign w:val="center"/>
          </w:tcPr>
          <w:p w:rsidP="00AC6DDA" w:rsidR="001548F9" w:rsidRDefault="001548F9" w:rsidRPr="005C672D">
            <w:pPr>
              <w:spacing w:before="29" w:line="288" w:lineRule="auto"/>
              <w:jc w:val="right"/>
              <w:rPr>
                <w:sz w:val="24"/>
              </w:rPr>
            </w:pPr>
            <w:r w:rsidRPr="005C672D">
              <w:rPr>
                <w:sz w:val="24"/>
              </w:rPr>
              <w:t>0.44</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13,194,958.22</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16.25</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002195</w:t>
            </w:r>
          </w:p>
        </w:tc>
        <w:tc>
          <w:tcPr>
            <w:vAlign w:val="center"/>
          </w:tcPr>
          <w:p>
            <w:pPr>
              <w:jc w:val="center"/>
            </w:pPr>
            <w:r>
              <w:rPr>
                <w:color w:val="000000"/>
                <w:sz w:val="24"/>
              </w:rPr>
              <w:t>二三四五</w:t>
            </w:r>
          </w:p>
        </w:tc>
        <w:tc>
          <w:tcPr>
            <w:vAlign w:val="center"/>
          </w:tcPr>
          <w:p>
            <w:pPr>
              <w:jc w:val="right"/>
            </w:pPr>
            <w:r>
              <w:rPr>
                <w:color w:val="000000"/>
                <w:sz w:val="24"/>
              </w:rPr>
              <w:t>97,380</w:t>
            </w:r>
          </w:p>
        </w:tc>
        <w:tc>
          <w:tcPr>
            <w:vAlign w:val="center"/>
          </w:tcPr>
          <w:p>
            <w:pPr>
              <w:jc w:val="right"/>
            </w:pPr>
            <w:r>
              <w:rPr>
                <w:color w:val="000000"/>
                <w:sz w:val="24"/>
              </w:rPr>
              <w:t>378,808.20</w:t>
            </w:r>
          </w:p>
        </w:tc>
        <w:tc>
          <w:tcPr>
            <w:vAlign w:val="center"/>
          </w:tcPr>
          <w:p>
            <w:pPr>
              <w:jc w:val="right"/>
            </w:pPr>
            <w:r>
              <w:rPr>
                <w:color w:val="000000"/>
                <w:sz w:val="24"/>
              </w:rPr>
              <w:t>0.47</w:t>
            </w:r>
          </w:p>
        </w:tc>
      </w:tr>
      <w:tr>
        <w:tc>
          <w:tcPr>
            <w:vAlign w:val="center"/>
          </w:tcPr>
          <w:p>
            <w:pPr>
              <w:jc w:val="center"/>
            </w:pPr>
            <w:r>
              <w:rPr>
                <w:color w:val="000000"/>
                <w:sz w:val="24"/>
              </w:rPr>
              <w:t>2</w:t>
            </w:r>
          </w:p>
        </w:tc>
        <w:tc>
          <w:tcPr>
            <w:vAlign w:val="center"/>
          </w:tcPr>
          <w:p>
            <w:pPr>
              <w:jc w:val="center"/>
            </w:pPr>
            <w:r>
              <w:rPr>
                <w:color w:val="000000"/>
                <w:sz w:val="24"/>
              </w:rPr>
              <w:t>002463</w:t>
            </w:r>
          </w:p>
        </w:tc>
        <w:tc>
          <w:tcPr>
            <w:vAlign w:val="center"/>
          </w:tcPr>
          <w:p>
            <w:pPr>
              <w:jc w:val="center"/>
            </w:pPr>
            <w:r>
              <w:rPr>
                <w:color w:val="000000"/>
                <w:sz w:val="24"/>
              </w:rPr>
              <w:t>沪电股份</w:t>
            </w:r>
          </w:p>
        </w:tc>
        <w:tc>
          <w:tcPr>
            <w:vAlign w:val="center"/>
          </w:tcPr>
          <w:p>
            <w:pPr>
              <w:jc w:val="right"/>
            </w:pPr>
            <w:r>
              <w:rPr>
                <w:color w:val="000000"/>
                <w:sz w:val="24"/>
              </w:rPr>
              <w:t>27,000</w:t>
            </w:r>
          </w:p>
        </w:tc>
        <w:tc>
          <w:tcPr>
            <w:vAlign w:val="center"/>
          </w:tcPr>
          <w:p>
            <w:pPr>
              <w:jc w:val="right"/>
            </w:pPr>
            <w:r>
              <w:rPr>
                <w:color w:val="000000"/>
                <w:sz w:val="24"/>
              </w:rPr>
              <w:t>367,740.00</w:t>
            </w:r>
          </w:p>
        </w:tc>
        <w:tc>
          <w:tcPr>
            <w:vAlign w:val="center"/>
          </w:tcPr>
          <w:p>
            <w:pPr>
              <w:jc w:val="right"/>
            </w:pPr>
            <w:r>
              <w:rPr>
                <w:color w:val="000000"/>
                <w:sz w:val="24"/>
              </w:rPr>
              <w:t>0.45</w:t>
            </w:r>
          </w:p>
        </w:tc>
      </w:tr>
      <w:tr>
        <w:tc>
          <w:tcPr>
            <w:vAlign w:val="center"/>
          </w:tcPr>
          <w:p>
            <w:pPr>
              <w:jc w:val="center"/>
            </w:pPr>
            <w:r>
              <w:rPr>
                <w:color w:val="000000"/>
                <w:sz w:val="24"/>
              </w:rPr>
              <w:t>3</w:t>
            </w:r>
          </w:p>
        </w:tc>
        <w:tc>
          <w:tcPr>
            <w:vAlign w:val="center"/>
          </w:tcPr>
          <w:p>
            <w:pPr>
              <w:jc w:val="center"/>
            </w:pPr>
            <w:r>
              <w:rPr>
                <w:color w:val="000000"/>
                <w:sz w:val="24"/>
              </w:rPr>
              <w:t>603369</w:t>
            </w:r>
          </w:p>
        </w:tc>
        <w:tc>
          <w:tcPr>
            <w:vAlign w:val="center"/>
          </w:tcPr>
          <w:p>
            <w:pPr>
              <w:jc w:val="center"/>
            </w:pPr>
            <w:r>
              <w:rPr>
                <w:color w:val="000000"/>
                <w:sz w:val="24"/>
              </w:rPr>
              <w:t>今世缘</w:t>
            </w:r>
          </w:p>
        </w:tc>
        <w:tc>
          <w:tcPr>
            <w:vAlign w:val="center"/>
          </w:tcPr>
          <w:p>
            <w:pPr>
              <w:jc w:val="right"/>
            </w:pPr>
            <w:r>
              <w:rPr>
                <w:color w:val="000000"/>
                <w:sz w:val="24"/>
              </w:rPr>
              <w:t>12,000</w:t>
            </w:r>
          </w:p>
        </w:tc>
        <w:tc>
          <w:tcPr>
            <w:vAlign w:val="center"/>
          </w:tcPr>
          <w:p>
            <w:pPr>
              <w:jc w:val="right"/>
            </w:pPr>
            <w:r>
              <w:rPr>
                <w:color w:val="000000"/>
                <w:sz w:val="24"/>
              </w:rPr>
              <w:t>334,680.00</w:t>
            </w:r>
          </w:p>
        </w:tc>
        <w:tc>
          <w:tcPr>
            <w:vAlign w:val="center"/>
          </w:tcPr>
          <w:p>
            <w:pPr>
              <w:jc w:val="right"/>
            </w:pPr>
            <w:r>
              <w:rPr>
                <w:color w:val="000000"/>
                <w:sz w:val="24"/>
              </w:rPr>
              <w:t>0.41</w:t>
            </w:r>
          </w:p>
        </w:tc>
      </w:tr>
      <w:tr>
        <w:tc>
          <w:tcPr>
            <w:vAlign w:val="center"/>
          </w:tcPr>
          <w:p>
            <w:pPr>
              <w:jc w:val="center"/>
            </w:pPr>
            <w:r>
              <w:rPr>
                <w:color w:val="000000"/>
                <w:sz w:val="24"/>
              </w:rPr>
              <w:t>4</w:t>
            </w:r>
          </w:p>
        </w:tc>
        <w:tc>
          <w:tcPr>
            <w:vAlign w:val="center"/>
          </w:tcPr>
          <w:p>
            <w:pPr>
              <w:jc w:val="center"/>
            </w:pPr>
            <w:r>
              <w:rPr>
                <w:color w:val="000000"/>
                <w:sz w:val="24"/>
              </w:rPr>
              <w:t>000596</w:t>
            </w:r>
          </w:p>
        </w:tc>
        <w:tc>
          <w:tcPr>
            <w:vAlign w:val="center"/>
          </w:tcPr>
          <w:p>
            <w:pPr>
              <w:jc w:val="center"/>
            </w:pPr>
            <w:r>
              <w:rPr>
                <w:color w:val="000000"/>
                <w:sz w:val="24"/>
              </w:rPr>
              <w:t>古井贡酒</w:t>
            </w:r>
          </w:p>
        </w:tc>
        <w:tc>
          <w:tcPr>
            <w:vAlign w:val="center"/>
          </w:tcPr>
          <w:p>
            <w:pPr>
              <w:jc w:val="right"/>
            </w:pPr>
            <w:r>
              <w:rPr>
                <w:color w:val="000000"/>
                <w:sz w:val="24"/>
              </w:rPr>
              <w:t>2,700</w:t>
            </w:r>
          </w:p>
        </w:tc>
        <w:tc>
          <w:tcPr>
            <w:vAlign w:val="center"/>
          </w:tcPr>
          <w:p>
            <w:pPr>
              <w:jc w:val="right"/>
            </w:pPr>
            <w:r>
              <w:rPr>
                <w:color w:val="000000"/>
                <w:sz w:val="24"/>
              </w:rPr>
              <w:t>319,977.00</w:t>
            </w:r>
          </w:p>
        </w:tc>
        <w:tc>
          <w:tcPr>
            <w:vAlign w:val="center"/>
          </w:tcPr>
          <w:p>
            <w:pPr>
              <w:jc w:val="right"/>
            </w:pPr>
            <w:r>
              <w:rPr>
                <w:color w:val="000000"/>
                <w:sz w:val="24"/>
              </w:rPr>
              <w:t>0.39</w:t>
            </w:r>
          </w:p>
        </w:tc>
      </w:tr>
      <w:tr>
        <w:tc>
          <w:tcPr>
            <w:vAlign w:val="center"/>
          </w:tcPr>
          <w:p>
            <w:pPr>
              <w:jc w:val="center"/>
            </w:pPr>
            <w:r>
              <w:rPr>
                <w:color w:val="000000"/>
                <w:sz w:val="24"/>
              </w:rPr>
              <w:t>5</w:t>
            </w:r>
          </w:p>
        </w:tc>
        <w:tc>
          <w:tcPr>
            <w:vAlign w:val="center"/>
          </w:tcPr>
          <w:p>
            <w:pPr>
              <w:jc w:val="center"/>
            </w:pPr>
            <w:r>
              <w:rPr>
                <w:color w:val="000000"/>
                <w:sz w:val="24"/>
              </w:rPr>
              <w:t>002299</w:t>
            </w:r>
          </w:p>
        </w:tc>
        <w:tc>
          <w:tcPr>
            <w:vAlign w:val="center"/>
          </w:tcPr>
          <w:p>
            <w:pPr>
              <w:jc w:val="center"/>
            </w:pPr>
            <w:r>
              <w:rPr>
                <w:color w:val="000000"/>
                <w:sz w:val="24"/>
              </w:rPr>
              <w:t>圣农发展</w:t>
            </w:r>
          </w:p>
        </w:tc>
        <w:tc>
          <w:tcPr>
            <w:vAlign w:val="center"/>
          </w:tcPr>
          <w:p>
            <w:pPr>
              <w:jc w:val="right"/>
            </w:pPr>
            <w:r>
              <w:rPr>
                <w:color w:val="000000"/>
                <w:sz w:val="24"/>
              </w:rPr>
              <w:t>11,900</w:t>
            </w:r>
          </w:p>
        </w:tc>
        <w:tc>
          <w:tcPr>
            <w:vAlign w:val="center"/>
          </w:tcPr>
          <w:p>
            <w:pPr>
              <w:jc w:val="right"/>
            </w:pPr>
            <w:r>
              <w:rPr>
                <w:color w:val="000000"/>
                <w:sz w:val="24"/>
              </w:rPr>
              <w:t>301,308.00</w:t>
            </w:r>
          </w:p>
        </w:tc>
        <w:tc>
          <w:tcPr>
            <w:vAlign w:val="center"/>
          </w:tcPr>
          <w:p>
            <w:pPr>
              <w:jc w:val="right"/>
            </w:pPr>
            <w:r>
              <w:rPr>
                <w:color w:val="000000"/>
                <w:sz w:val="24"/>
              </w:rPr>
              <w:t>0.37</w:t>
            </w:r>
          </w:p>
        </w:tc>
      </w:tr>
      <w:tr>
        <w:tc>
          <w:tcPr>
            <w:vAlign w:val="center"/>
          </w:tcPr>
          <w:p>
            <w:pPr>
              <w:jc w:val="center"/>
            </w:pPr>
            <w:r>
              <w:rPr>
                <w:color w:val="000000"/>
                <w:sz w:val="24"/>
              </w:rPr>
              <w:t>6</w:t>
            </w:r>
          </w:p>
        </w:tc>
        <w:tc>
          <w:tcPr>
            <w:vAlign w:val="center"/>
          </w:tcPr>
          <w:p>
            <w:pPr>
              <w:jc w:val="center"/>
            </w:pPr>
            <w:r>
              <w:rPr>
                <w:color w:val="000000"/>
                <w:sz w:val="24"/>
              </w:rPr>
              <w:t>600699</w:t>
            </w:r>
          </w:p>
        </w:tc>
        <w:tc>
          <w:tcPr>
            <w:vAlign w:val="center"/>
          </w:tcPr>
          <w:p>
            <w:pPr>
              <w:jc w:val="center"/>
            </w:pPr>
            <w:r>
              <w:rPr>
                <w:color w:val="000000"/>
                <w:sz w:val="24"/>
              </w:rPr>
              <w:t>均胜电子</w:t>
            </w:r>
          </w:p>
        </w:tc>
        <w:tc>
          <w:tcPr>
            <w:vAlign w:val="center"/>
          </w:tcPr>
          <w:p>
            <w:pPr>
              <w:jc w:val="right"/>
            </w:pPr>
            <w:r>
              <w:rPr>
                <w:color w:val="000000"/>
                <w:sz w:val="24"/>
              </w:rPr>
              <w:t>13,700</w:t>
            </w:r>
          </w:p>
        </w:tc>
        <w:tc>
          <w:tcPr>
            <w:vAlign w:val="center"/>
          </w:tcPr>
          <w:p>
            <w:pPr>
              <w:jc w:val="right"/>
            </w:pPr>
            <w:r>
              <w:rPr>
                <w:color w:val="000000"/>
                <w:sz w:val="24"/>
              </w:rPr>
              <w:t>292,632.00</w:t>
            </w:r>
          </w:p>
        </w:tc>
        <w:tc>
          <w:tcPr>
            <w:vAlign w:val="center"/>
          </w:tcPr>
          <w:p>
            <w:pPr>
              <w:jc w:val="right"/>
            </w:pPr>
            <w:r>
              <w:rPr>
                <w:color w:val="000000"/>
                <w:sz w:val="24"/>
              </w:rPr>
              <w:t>0.36</w:t>
            </w:r>
          </w:p>
        </w:tc>
      </w:tr>
      <w:tr>
        <w:tc>
          <w:tcPr>
            <w:vAlign w:val="center"/>
          </w:tcPr>
          <w:p>
            <w:pPr>
              <w:jc w:val="center"/>
            </w:pPr>
            <w:r>
              <w:rPr>
                <w:color w:val="000000"/>
                <w:sz w:val="24"/>
              </w:rPr>
              <w:t>7</w:t>
            </w:r>
          </w:p>
        </w:tc>
        <w:tc>
          <w:tcPr>
            <w:vAlign w:val="center"/>
          </w:tcPr>
          <w:p>
            <w:pPr>
              <w:jc w:val="center"/>
            </w:pPr>
            <w:r>
              <w:rPr>
                <w:color w:val="000000"/>
                <w:sz w:val="24"/>
              </w:rPr>
              <w:t>600673</w:t>
            </w:r>
          </w:p>
        </w:tc>
        <w:tc>
          <w:tcPr>
            <w:vAlign w:val="center"/>
          </w:tcPr>
          <w:p>
            <w:pPr>
              <w:jc w:val="center"/>
            </w:pPr>
            <w:r>
              <w:rPr>
                <w:color w:val="000000"/>
                <w:sz w:val="24"/>
              </w:rPr>
              <w:t>东阳光</w:t>
            </w:r>
          </w:p>
        </w:tc>
        <w:tc>
          <w:tcPr>
            <w:vAlign w:val="center"/>
          </w:tcPr>
          <w:p>
            <w:pPr>
              <w:jc w:val="right"/>
            </w:pPr>
            <w:r>
              <w:rPr>
                <w:color w:val="000000"/>
                <w:sz w:val="24"/>
              </w:rPr>
              <w:t>36,200</w:t>
            </w:r>
          </w:p>
        </w:tc>
        <w:tc>
          <w:tcPr>
            <w:vAlign w:val="center"/>
          </w:tcPr>
          <w:p>
            <w:pPr>
              <w:jc w:val="right"/>
            </w:pPr>
            <w:r>
              <w:rPr>
                <w:color w:val="000000"/>
                <w:sz w:val="24"/>
              </w:rPr>
              <w:t>284,170.00</w:t>
            </w:r>
          </w:p>
        </w:tc>
        <w:tc>
          <w:tcPr>
            <w:vAlign w:val="center"/>
          </w:tcPr>
          <w:p>
            <w:pPr>
              <w:jc w:val="right"/>
            </w:pPr>
            <w:r>
              <w:rPr>
                <w:color w:val="000000"/>
                <w:sz w:val="24"/>
              </w:rPr>
              <w:t>0.35</w:t>
            </w:r>
          </w:p>
        </w:tc>
      </w:tr>
      <w:tr>
        <w:tc>
          <w:tcPr>
            <w:vAlign w:val="center"/>
          </w:tcPr>
          <w:p>
            <w:pPr>
              <w:jc w:val="center"/>
            </w:pPr>
            <w:r>
              <w:rPr>
                <w:color w:val="000000"/>
                <w:sz w:val="24"/>
              </w:rPr>
              <w:t>8</w:t>
            </w:r>
          </w:p>
        </w:tc>
        <w:tc>
          <w:tcPr>
            <w:vAlign w:val="center"/>
          </w:tcPr>
          <w:p>
            <w:pPr>
              <w:jc w:val="center"/>
            </w:pPr>
            <w:r>
              <w:rPr>
                <w:color w:val="000000"/>
                <w:sz w:val="24"/>
              </w:rPr>
              <w:t>000999</w:t>
            </w:r>
          </w:p>
        </w:tc>
        <w:tc>
          <w:tcPr>
            <w:vAlign w:val="center"/>
          </w:tcPr>
          <w:p>
            <w:pPr>
              <w:jc w:val="center"/>
            </w:pPr>
            <w:r>
              <w:rPr>
                <w:color w:val="000000"/>
                <w:sz w:val="24"/>
              </w:rPr>
              <w:t>华润三九</w:t>
            </w:r>
          </w:p>
        </w:tc>
        <w:tc>
          <w:tcPr>
            <w:vAlign w:val="center"/>
          </w:tcPr>
          <w:p>
            <w:pPr>
              <w:jc w:val="right"/>
            </w:pPr>
            <w:r>
              <w:rPr>
                <w:color w:val="000000"/>
                <w:sz w:val="24"/>
              </w:rPr>
              <w:t>9,400</w:t>
            </w:r>
          </w:p>
        </w:tc>
        <w:tc>
          <w:tcPr>
            <w:vAlign w:val="center"/>
          </w:tcPr>
          <w:p>
            <w:pPr>
              <w:jc w:val="right"/>
            </w:pPr>
            <w:r>
              <w:rPr>
                <w:color w:val="000000"/>
                <w:sz w:val="24"/>
              </w:rPr>
              <w:t>275,796.00</w:t>
            </w:r>
          </w:p>
        </w:tc>
        <w:tc>
          <w:tcPr>
            <w:vAlign w:val="center"/>
          </w:tcPr>
          <w:p>
            <w:pPr>
              <w:jc w:val="right"/>
            </w:pPr>
            <w:r>
              <w:rPr>
                <w:color w:val="000000"/>
                <w:sz w:val="24"/>
              </w:rPr>
              <w:t>0.34</w:t>
            </w:r>
          </w:p>
        </w:tc>
      </w:tr>
      <w:tr>
        <w:tc>
          <w:tcPr>
            <w:vAlign w:val="center"/>
          </w:tcPr>
          <w:p>
            <w:pPr>
              <w:jc w:val="center"/>
            </w:pPr>
            <w:r>
              <w:rPr>
                <w:color w:val="000000"/>
                <w:sz w:val="24"/>
              </w:rPr>
              <w:t>9</w:t>
            </w:r>
          </w:p>
        </w:tc>
        <w:tc>
          <w:tcPr>
            <w:vAlign w:val="center"/>
          </w:tcPr>
          <w:p>
            <w:pPr>
              <w:jc w:val="center"/>
            </w:pPr>
            <w:r>
              <w:rPr>
                <w:color w:val="000000"/>
                <w:sz w:val="24"/>
              </w:rPr>
              <w:t>601872</w:t>
            </w:r>
          </w:p>
        </w:tc>
        <w:tc>
          <w:tcPr>
            <w:vAlign w:val="center"/>
          </w:tcPr>
          <w:p>
            <w:pPr>
              <w:jc w:val="center"/>
            </w:pPr>
            <w:r>
              <w:rPr>
                <w:color w:val="000000"/>
                <w:sz w:val="24"/>
              </w:rPr>
              <w:t>招商轮船</w:t>
            </w:r>
          </w:p>
        </w:tc>
        <w:tc>
          <w:tcPr>
            <w:vAlign w:val="center"/>
          </w:tcPr>
          <w:p>
            <w:pPr>
              <w:jc w:val="right"/>
            </w:pPr>
            <w:r>
              <w:rPr>
                <w:color w:val="000000"/>
                <w:sz w:val="24"/>
              </w:rPr>
              <w:t>58,300</w:t>
            </w:r>
          </w:p>
        </w:tc>
        <w:tc>
          <w:tcPr>
            <w:vAlign w:val="center"/>
          </w:tcPr>
          <w:p>
            <w:pPr>
              <w:jc w:val="right"/>
            </w:pPr>
            <w:r>
              <w:rPr>
                <w:color w:val="000000"/>
                <w:sz w:val="24"/>
              </w:rPr>
              <w:t>254,188.00</w:t>
            </w:r>
          </w:p>
        </w:tc>
        <w:tc>
          <w:tcPr>
            <w:vAlign w:val="center"/>
          </w:tcPr>
          <w:p>
            <w:pPr>
              <w:jc w:val="right"/>
            </w:pPr>
            <w:r>
              <w:rPr>
                <w:color w:val="000000"/>
                <w:sz w:val="24"/>
              </w:rPr>
              <w:t>0.31</w:t>
            </w:r>
          </w:p>
        </w:tc>
      </w:tr>
      <w:tr>
        <w:tc>
          <w:tcPr>
            <w:vAlign w:val="center"/>
          </w:tcPr>
          <w:p>
            <w:pPr>
              <w:jc w:val="center"/>
            </w:pPr>
            <w:r>
              <w:rPr>
                <w:color w:val="000000"/>
                <w:sz w:val="24"/>
              </w:rPr>
              <w:t>10</w:t>
            </w:r>
          </w:p>
        </w:tc>
        <w:tc>
          <w:tcPr>
            <w:vAlign w:val="center"/>
          </w:tcPr>
          <w:p>
            <w:pPr>
              <w:jc w:val="center"/>
            </w:pPr>
            <w:r>
              <w:rPr>
                <w:color w:val="000000"/>
                <w:sz w:val="24"/>
              </w:rPr>
              <w:t>600755</w:t>
            </w:r>
          </w:p>
        </w:tc>
        <w:tc>
          <w:tcPr>
            <w:vAlign w:val="center"/>
          </w:tcPr>
          <w:p>
            <w:pPr>
              <w:jc w:val="center"/>
            </w:pPr>
            <w:r>
              <w:rPr>
                <w:color w:val="000000"/>
                <w:sz w:val="24"/>
              </w:rPr>
              <w:t>厦门国贸</w:t>
            </w:r>
          </w:p>
        </w:tc>
        <w:tc>
          <w:tcPr>
            <w:vAlign w:val="center"/>
          </w:tcPr>
          <w:p>
            <w:pPr>
              <w:jc w:val="right"/>
            </w:pPr>
            <w:r>
              <w:rPr>
                <w:color w:val="000000"/>
                <w:sz w:val="24"/>
              </w:rPr>
              <w:t>28,800</w:t>
            </w:r>
          </w:p>
        </w:tc>
        <w:tc>
          <w:tcPr>
            <w:vAlign w:val="center"/>
          </w:tcPr>
          <w:p>
            <w:pPr>
              <w:jc w:val="right"/>
            </w:pPr>
            <w:r>
              <w:rPr>
                <w:color w:val="000000"/>
                <w:sz w:val="24"/>
              </w:rPr>
              <w:t>248,544.00</w:t>
            </w:r>
          </w:p>
        </w:tc>
        <w:tc>
          <w:tcPr>
            <w:vAlign w:val="center"/>
          </w:tcPr>
          <w:p>
            <w:pPr>
              <w:jc w:val="right"/>
            </w:pPr>
            <w:r>
              <w:rPr>
                <w:color w:val="000000"/>
                <w:sz w:val="24"/>
              </w:rPr>
              <w:t>0.31</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000656</w:t>
            </w:r>
          </w:p>
        </w:tc>
        <w:tc>
          <w:tcPr>
            <w:vAlign w:val="center"/>
          </w:tcPr>
          <w:p>
            <w:pPr>
              <w:jc w:val="center"/>
            </w:pPr>
            <w:r>
              <w:rPr>
                <w:sz w:val="24"/>
              </w:rPr>
              <w:t>金科股份</w:t>
            </w:r>
          </w:p>
        </w:tc>
        <w:tc>
          <w:tcPr>
            <w:vAlign w:val="center"/>
          </w:tcPr>
          <w:p>
            <w:pPr>
              <w:jc w:val="right"/>
            </w:pPr>
            <w:r>
              <w:rPr>
                <w:sz w:val="24"/>
              </w:rPr>
              <w:t>1,368,351.00</w:t>
            </w:r>
          </w:p>
        </w:tc>
        <w:tc>
          <w:tcPr>
            <w:vAlign w:val="center"/>
          </w:tcPr>
          <w:p>
            <w:pPr>
              <w:jc w:val="right"/>
            </w:pPr>
            <w:r>
              <w:rPr>
                <w:sz w:val="24"/>
              </w:rPr>
              <w:t>0.61</w:t>
            </w:r>
          </w:p>
        </w:tc>
      </w:tr>
      <w:tr>
        <w:tc>
          <w:tcPr>
            <w:vAlign w:val="center"/>
          </w:tcPr>
          <w:p>
            <w:pPr>
              <w:jc w:val="center"/>
            </w:pPr>
            <w:r>
              <w:rPr>
                <w:sz w:val="24"/>
              </w:rPr>
              <w:t>2</w:t>
            </w:r>
          </w:p>
        </w:tc>
        <w:tc>
          <w:tcPr>
            <w:vAlign w:val="center"/>
          </w:tcPr>
          <w:p>
            <w:pPr>
              <w:jc w:val="center"/>
            </w:pPr>
            <w:r>
              <w:rPr>
                <w:sz w:val="24"/>
              </w:rPr>
              <w:t>601005</w:t>
            </w:r>
          </w:p>
        </w:tc>
        <w:tc>
          <w:tcPr>
            <w:vAlign w:val="center"/>
          </w:tcPr>
          <w:p>
            <w:pPr>
              <w:jc w:val="center"/>
            </w:pPr>
            <w:r>
              <w:rPr>
                <w:sz w:val="24"/>
              </w:rPr>
              <w:t>重庆钢铁</w:t>
            </w:r>
          </w:p>
        </w:tc>
        <w:tc>
          <w:tcPr>
            <w:vAlign w:val="center"/>
          </w:tcPr>
          <w:p>
            <w:pPr>
              <w:jc w:val="right"/>
            </w:pPr>
            <w:r>
              <w:rPr>
                <w:sz w:val="24"/>
              </w:rPr>
              <w:t>1,258,236.00</w:t>
            </w:r>
          </w:p>
        </w:tc>
        <w:tc>
          <w:tcPr>
            <w:vAlign w:val="center"/>
          </w:tcPr>
          <w:p>
            <w:pPr>
              <w:jc w:val="right"/>
            </w:pPr>
            <w:r>
              <w:rPr>
                <w:sz w:val="24"/>
              </w:rPr>
              <w:t>0.56</w:t>
            </w:r>
          </w:p>
        </w:tc>
      </w:tr>
      <w:tr>
        <w:tc>
          <w:tcPr>
            <w:vAlign w:val="center"/>
          </w:tcPr>
          <w:p>
            <w:pPr>
              <w:jc w:val="center"/>
            </w:pPr>
            <w:r>
              <w:rPr>
                <w:sz w:val="24"/>
              </w:rPr>
              <w:t>3</w:t>
            </w:r>
          </w:p>
        </w:tc>
        <w:tc>
          <w:tcPr>
            <w:vAlign w:val="center"/>
          </w:tcPr>
          <w:p>
            <w:pPr>
              <w:jc w:val="center"/>
            </w:pPr>
            <w:r>
              <w:rPr>
                <w:sz w:val="24"/>
              </w:rPr>
              <w:t>000999</w:t>
            </w:r>
          </w:p>
        </w:tc>
        <w:tc>
          <w:tcPr>
            <w:vAlign w:val="center"/>
          </w:tcPr>
          <w:p>
            <w:pPr>
              <w:jc w:val="center"/>
            </w:pPr>
            <w:r>
              <w:rPr>
                <w:sz w:val="24"/>
              </w:rPr>
              <w:t>华润三九</w:t>
            </w:r>
          </w:p>
        </w:tc>
        <w:tc>
          <w:tcPr>
            <w:vAlign w:val="center"/>
          </w:tcPr>
          <w:p>
            <w:pPr>
              <w:jc w:val="right"/>
            </w:pPr>
            <w:r>
              <w:rPr>
                <w:sz w:val="24"/>
              </w:rPr>
              <w:t>1,226,646.00</w:t>
            </w:r>
          </w:p>
        </w:tc>
        <w:tc>
          <w:tcPr>
            <w:vAlign w:val="center"/>
          </w:tcPr>
          <w:p>
            <w:pPr>
              <w:jc w:val="right"/>
            </w:pPr>
            <w:r>
              <w:rPr>
                <w:sz w:val="24"/>
              </w:rPr>
              <w:t>0.55</w:t>
            </w:r>
          </w:p>
        </w:tc>
      </w:tr>
      <w:tr>
        <w:tc>
          <w:tcPr>
            <w:vAlign w:val="center"/>
          </w:tcPr>
          <w:p>
            <w:pPr>
              <w:jc w:val="center"/>
            </w:pPr>
            <w:r>
              <w:rPr>
                <w:sz w:val="24"/>
              </w:rPr>
              <w:t>4</w:t>
            </w:r>
          </w:p>
        </w:tc>
        <w:tc>
          <w:tcPr>
            <w:vAlign w:val="center"/>
          </w:tcPr>
          <w:p>
            <w:pPr>
              <w:jc w:val="center"/>
            </w:pPr>
            <w:r>
              <w:rPr>
                <w:sz w:val="24"/>
              </w:rPr>
              <w:t>002589</w:t>
            </w:r>
          </w:p>
        </w:tc>
        <w:tc>
          <w:tcPr>
            <w:vAlign w:val="center"/>
          </w:tcPr>
          <w:p>
            <w:pPr>
              <w:jc w:val="center"/>
            </w:pPr>
            <w:r>
              <w:rPr>
                <w:sz w:val="24"/>
              </w:rPr>
              <w:t>瑞康医药</w:t>
            </w:r>
          </w:p>
        </w:tc>
        <w:tc>
          <w:tcPr>
            <w:vAlign w:val="center"/>
          </w:tcPr>
          <w:p>
            <w:pPr>
              <w:jc w:val="right"/>
            </w:pPr>
            <w:r>
              <w:rPr>
                <w:sz w:val="24"/>
              </w:rPr>
              <w:t>1,201,892.00</w:t>
            </w:r>
          </w:p>
        </w:tc>
        <w:tc>
          <w:tcPr>
            <w:vAlign w:val="center"/>
          </w:tcPr>
          <w:p>
            <w:pPr>
              <w:jc w:val="right"/>
            </w:pPr>
            <w:r>
              <w:rPr>
                <w:sz w:val="24"/>
              </w:rPr>
              <w:t>0.54</w:t>
            </w:r>
          </w:p>
        </w:tc>
      </w:tr>
      <w:tr>
        <w:tc>
          <w:tcPr>
            <w:vAlign w:val="center"/>
          </w:tcPr>
          <w:p>
            <w:pPr>
              <w:jc w:val="center"/>
            </w:pPr>
            <w:r>
              <w:rPr>
                <w:sz w:val="24"/>
              </w:rPr>
              <w:t>5</w:t>
            </w:r>
          </w:p>
        </w:tc>
        <w:tc>
          <w:tcPr>
            <w:vAlign w:val="center"/>
          </w:tcPr>
          <w:p>
            <w:pPr>
              <w:jc w:val="center"/>
            </w:pPr>
            <w:r>
              <w:rPr>
                <w:sz w:val="24"/>
              </w:rPr>
              <w:t>600782</w:t>
            </w:r>
          </w:p>
        </w:tc>
        <w:tc>
          <w:tcPr>
            <w:vAlign w:val="center"/>
          </w:tcPr>
          <w:p>
            <w:pPr>
              <w:jc w:val="center"/>
            </w:pPr>
            <w:r>
              <w:rPr>
                <w:sz w:val="24"/>
              </w:rPr>
              <w:t>新钢股份</w:t>
            </w:r>
          </w:p>
        </w:tc>
        <w:tc>
          <w:tcPr>
            <w:vAlign w:val="center"/>
          </w:tcPr>
          <w:p>
            <w:pPr>
              <w:jc w:val="right"/>
            </w:pPr>
            <w:r>
              <w:rPr>
                <w:sz w:val="24"/>
              </w:rPr>
              <w:t>1,148,589.46</w:t>
            </w:r>
          </w:p>
        </w:tc>
        <w:tc>
          <w:tcPr>
            <w:vAlign w:val="center"/>
          </w:tcPr>
          <w:p>
            <w:pPr>
              <w:jc w:val="right"/>
            </w:pPr>
            <w:r>
              <w:rPr>
                <w:sz w:val="24"/>
              </w:rPr>
              <w:t>0.51</w:t>
            </w:r>
          </w:p>
        </w:tc>
      </w:tr>
      <w:tr>
        <w:tc>
          <w:tcPr>
            <w:vAlign w:val="center"/>
          </w:tcPr>
          <w:p>
            <w:pPr>
              <w:jc w:val="center"/>
            </w:pPr>
            <w:r>
              <w:rPr>
                <w:sz w:val="24"/>
              </w:rPr>
              <w:t>6</w:t>
            </w:r>
          </w:p>
        </w:tc>
        <w:tc>
          <w:tcPr>
            <w:vAlign w:val="center"/>
          </w:tcPr>
          <w:p>
            <w:pPr>
              <w:jc w:val="center"/>
            </w:pPr>
            <w:r>
              <w:rPr>
                <w:sz w:val="24"/>
              </w:rPr>
              <w:t>600143</w:t>
            </w:r>
          </w:p>
        </w:tc>
        <w:tc>
          <w:tcPr>
            <w:vAlign w:val="center"/>
          </w:tcPr>
          <w:p>
            <w:pPr>
              <w:jc w:val="center"/>
            </w:pPr>
            <w:r>
              <w:rPr>
                <w:sz w:val="24"/>
              </w:rPr>
              <w:t>金发科技</w:t>
            </w:r>
          </w:p>
        </w:tc>
        <w:tc>
          <w:tcPr>
            <w:vAlign w:val="center"/>
          </w:tcPr>
          <w:p>
            <w:pPr>
              <w:jc w:val="right"/>
            </w:pPr>
            <w:r>
              <w:rPr>
                <w:sz w:val="24"/>
              </w:rPr>
              <w:t>1,097,611.00</w:t>
            </w:r>
          </w:p>
        </w:tc>
        <w:tc>
          <w:tcPr>
            <w:vAlign w:val="center"/>
          </w:tcPr>
          <w:p>
            <w:pPr>
              <w:jc w:val="right"/>
            </w:pPr>
            <w:r>
              <w:rPr>
                <w:sz w:val="24"/>
              </w:rPr>
              <w:t>0.49</w:t>
            </w:r>
          </w:p>
        </w:tc>
      </w:tr>
      <w:tr>
        <w:tc>
          <w:tcPr>
            <w:vAlign w:val="center"/>
          </w:tcPr>
          <w:p>
            <w:pPr>
              <w:jc w:val="center"/>
            </w:pPr>
            <w:r>
              <w:rPr>
                <w:sz w:val="24"/>
              </w:rPr>
              <w:t>7</w:t>
            </w:r>
          </w:p>
        </w:tc>
        <w:tc>
          <w:tcPr>
            <w:vAlign w:val="center"/>
          </w:tcPr>
          <w:p>
            <w:pPr>
              <w:jc w:val="center"/>
            </w:pPr>
            <w:r>
              <w:rPr>
                <w:sz w:val="24"/>
              </w:rPr>
              <w:t>002299</w:t>
            </w:r>
          </w:p>
        </w:tc>
        <w:tc>
          <w:tcPr>
            <w:vAlign w:val="center"/>
          </w:tcPr>
          <w:p>
            <w:pPr>
              <w:jc w:val="center"/>
            </w:pPr>
            <w:r>
              <w:rPr>
                <w:sz w:val="24"/>
              </w:rPr>
              <w:t>圣农发展</w:t>
            </w:r>
          </w:p>
        </w:tc>
        <w:tc>
          <w:tcPr>
            <w:vAlign w:val="center"/>
          </w:tcPr>
          <w:p>
            <w:pPr>
              <w:jc w:val="right"/>
            </w:pPr>
            <w:r>
              <w:rPr>
                <w:sz w:val="24"/>
              </w:rPr>
              <w:t>1,093,472.74</w:t>
            </w:r>
          </w:p>
        </w:tc>
        <w:tc>
          <w:tcPr>
            <w:vAlign w:val="center"/>
          </w:tcPr>
          <w:p>
            <w:pPr>
              <w:jc w:val="right"/>
            </w:pPr>
            <w:r>
              <w:rPr>
                <w:sz w:val="24"/>
              </w:rPr>
              <w:t>0.49</w:t>
            </w:r>
          </w:p>
        </w:tc>
      </w:tr>
      <w:tr>
        <w:tc>
          <w:tcPr>
            <w:vAlign w:val="center"/>
          </w:tcPr>
          <w:p>
            <w:pPr>
              <w:jc w:val="center"/>
            </w:pPr>
            <w:r>
              <w:rPr>
                <w:sz w:val="24"/>
              </w:rPr>
              <w:t>8</w:t>
            </w:r>
          </w:p>
        </w:tc>
        <w:tc>
          <w:tcPr>
            <w:vAlign w:val="center"/>
          </w:tcPr>
          <w:p>
            <w:pPr>
              <w:jc w:val="center"/>
            </w:pPr>
            <w:r>
              <w:rPr>
                <w:sz w:val="24"/>
              </w:rPr>
              <w:t>600557</w:t>
            </w:r>
          </w:p>
        </w:tc>
        <w:tc>
          <w:tcPr>
            <w:vAlign w:val="center"/>
          </w:tcPr>
          <w:p>
            <w:pPr>
              <w:jc w:val="center"/>
            </w:pPr>
            <w:r>
              <w:rPr>
                <w:sz w:val="24"/>
              </w:rPr>
              <w:t>康缘药业</w:t>
            </w:r>
          </w:p>
        </w:tc>
        <w:tc>
          <w:tcPr>
            <w:vAlign w:val="center"/>
          </w:tcPr>
          <w:p>
            <w:pPr>
              <w:jc w:val="right"/>
            </w:pPr>
            <w:r>
              <w:rPr>
                <w:sz w:val="24"/>
              </w:rPr>
              <w:t>1,027,473.00</w:t>
            </w:r>
          </w:p>
        </w:tc>
        <w:tc>
          <w:tcPr>
            <w:vAlign w:val="center"/>
          </w:tcPr>
          <w:p>
            <w:pPr>
              <w:jc w:val="right"/>
            </w:pPr>
            <w:r>
              <w:rPr>
                <w:sz w:val="24"/>
              </w:rPr>
              <w:t>0.46</w:t>
            </w:r>
          </w:p>
        </w:tc>
      </w:tr>
      <w:tr>
        <w:tc>
          <w:tcPr>
            <w:vAlign w:val="center"/>
          </w:tcPr>
          <w:p>
            <w:pPr>
              <w:jc w:val="center"/>
            </w:pPr>
            <w:r>
              <w:rPr>
                <w:sz w:val="24"/>
              </w:rPr>
              <w:t>9</w:t>
            </w:r>
          </w:p>
        </w:tc>
        <w:tc>
          <w:tcPr>
            <w:vAlign w:val="center"/>
          </w:tcPr>
          <w:p>
            <w:pPr>
              <w:jc w:val="center"/>
            </w:pPr>
            <w:r>
              <w:rPr>
                <w:sz w:val="24"/>
              </w:rPr>
              <w:t>600885</w:t>
            </w:r>
          </w:p>
        </w:tc>
        <w:tc>
          <w:tcPr>
            <w:vAlign w:val="center"/>
          </w:tcPr>
          <w:p>
            <w:pPr>
              <w:jc w:val="center"/>
            </w:pPr>
            <w:r>
              <w:rPr>
                <w:sz w:val="24"/>
              </w:rPr>
              <w:t>宏发股份</w:t>
            </w:r>
          </w:p>
        </w:tc>
        <w:tc>
          <w:tcPr>
            <w:vAlign w:val="center"/>
          </w:tcPr>
          <w:p>
            <w:pPr>
              <w:jc w:val="right"/>
            </w:pPr>
            <w:r>
              <w:rPr>
                <w:sz w:val="24"/>
              </w:rPr>
              <w:t>984,652.28</w:t>
            </w:r>
          </w:p>
        </w:tc>
        <w:tc>
          <w:tcPr>
            <w:vAlign w:val="center"/>
          </w:tcPr>
          <w:p>
            <w:pPr>
              <w:jc w:val="right"/>
            </w:pPr>
            <w:r>
              <w:rPr>
                <w:sz w:val="24"/>
              </w:rPr>
              <w:t>0.44</w:t>
            </w:r>
          </w:p>
        </w:tc>
      </w:tr>
      <w:tr>
        <w:tc>
          <w:tcPr>
            <w:vAlign w:val="center"/>
          </w:tcPr>
          <w:p>
            <w:pPr>
              <w:jc w:val="center"/>
            </w:pPr>
            <w:r>
              <w:rPr>
                <w:sz w:val="24"/>
              </w:rPr>
              <w:t>10</w:t>
            </w:r>
          </w:p>
        </w:tc>
        <w:tc>
          <w:tcPr>
            <w:vAlign w:val="center"/>
          </w:tcPr>
          <w:p>
            <w:pPr>
              <w:jc w:val="center"/>
            </w:pPr>
            <w:r>
              <w:rPr>
                <w:sz w:val="24"/>
              </w:rPr>
              <w:t>600875</w:t>
            </w:r>
          </w:p>
        </w:tc>
        <w:tc>
          <w:tcPr>
            <w:vAlign w:val="center"/>
          </w:tcPr>
          <w:p>
            <w:pPr>
              <w:jc w:val="center"/>
            </w:pPr>
            <w:r>
              <w:rPr>
                <w:sz w:val="24"/>
              </w:rPr>
              <w:t>东方电气</w:t>
            </w:r>
          </w:p>
        </w:tc>
        <w:tc>
          <w:tcPr>
            <w:vAlign w:val="center"/>
          </w:tcPr>
          <w:p>
            <w:pPr>
              <w:jc w:val="right"/>
            </w:pPr>
            <w:r>
              <w:rPr>
                <w:sz w:val="24"/>
              </w:rPr>
              <w:t>970,158.00</w:t>
            </w:r>
          </w:p>
        </w:tc>
        <w:tc>
          <w:tcPr>
            <w:vAlign w:val="center"/>
          </w:tcPr>
          <w:p>
            <w:pPr>
              <w:jc w:val="right"/>
            </w:pPr>
            <w:r>
              <w:rPr>
                <w:sz w:val="24"/>
              </w:rPr>
              <w:t>0.43</w:t>
            </w:r>
          </w:p>
        </w:tc>
      </w:tr>
      <w:tr>
        <w:tc>
          <w:tcPr>
            <w:vAlign w:val="center"/>
          </w:tcPr>
          <w:p>
            <w:pPr>
              <w:jc w:val="center"/>
            </w:pPr>
            <w:r>
              <w:rPr>
                <w:sz w:val="24"/>
              </w:rPr>
              <w:t>11</w:t>
            </w:r>
          </w:p>
        </w:tc>
        <w:tc>
          <w:tcPr>
            <w:vAlign w:val="center"/>
          </w:tcPr>
          <w:p>
            <w:pPr>
              <w:jc w:val="center"/>
            </w:pPr>
            <w:r>
              <w:rPr>
                <w:sz w:val="24"/>
              </w:rPr>
              <w:t>000887</w:t>
            </w:r>
          </w:p>
        </w:tc>
        <w:tc>
          <w:tcPr>
            <w:vAlign w:val="center"/>
          </w:tcPr>
          <w:p>
            <w:pPr>
              <w:jc w:val="center"/>
            </w:pPr>
            <w:r>
              <w:rPr>
                <w:sz w:val="24"/>
              </w:rPr>
              <w:t>中鼎股份</w:t>
            </w:r>
          </w:p>
        </w:tc>
        <w:tc>
          <w:tcPr>
            <w:vAlign w:val="center"/>
          </w:tcPr>
          <w:p>
            <w:pPr>
              <w:jc w:val="right"/>
            </w:pPr>
            <w:r>
              <w:rPr>
                <w:sz w:val="24"/>
              </w:rPr>
              <w:t>964,593.00</w:t>
            </w:r>
          </w:p>
        </w:tc>
        <w:tc>
          <w:tcPr>
            <w:vAlign w:val="center"/>
          </w:tcPr>
          <w:p>
            <w:pPr>
              <w:jc w:val="right"/>
            </w:pPr>
            <w:r>
              <w:rPr>
                <w:sz w:val="24"/>
              </w:rPr>
              <w:t>0.43</w:t>
            </w:r>
          </w:p>
        </w:tc>
      </w:tr>
      <w:tr>
        <w:tc>
          <w:tcPr>
            <w:vAlign w:val="center"/>
          </w:tcPr>
          <w:p>
            <w:pPr>
              <w:jc w:val="center"/>
            </w:pPr>
            <w:r>
              <w:rPr>
                <w:sz w:val="24"/>
              </w:rPr>
              <w:t>12</w:t>
            </w:r>
          </w:p>
        </w:tc>
        <w:tc>
          <w:tcPr>
            <w:vAlign w:val="center"/>
          </w:tcPr>
          <w:p>
            <w:pPr>
              <w:jc w:val="center"/>
            </w:pPr>
            <w:r>
              <w:rPr>
                <w:sz w:val="24"/>
              </w:rPr>
              <w:t>002507</w:t>
            </w:r>
          </w:p>
        </w:tc>
        <w:tc>
          <w:tcPr>
            <w:vAlign w:val="center"/>
          </w:tcPr>
          <w:p>
            <w:pPr>
              <w:jc w:val="center"/>
            </w:pPr>
            <w:r>
              <w:rPr>
                <w:sz w:val="24"/>
              </w:rPr>
              <w:t>涪陵榨菜</w:t>
            </w:r>
          </w:p>
        </w:tc>
        <w:tc>
          <w:tcPr>
            <w:vAlign w:val="center"/>
          </w:tcPr>
          <w:p>
            <w:pPr>
              <w:jc w:val="right"/>
            </w:pPr>
            <w:r>
              <w:rPr>
                <w:sz w:val="24"/>
              </w:rPr>
              <w:t>913,406.00</w:t>
            </w:r>
          </w:p>
        </w:tc>
        <w:tc>
          <w:tcPr>
            <w:vAlign w:val="center"/>
          </w:tcPr>
          <w:p>
            <w:pPr>
              <w:jc w:val="right"/>
            </w:pPr>
            <w:r>
              <w:rPr>
                <w:sz w:val="24"/>
              </w:rPr>
              <w:t>0.41</w:t>
            </w:r>
          </w:p>
        </w:tc>
      </w:tr>
      <w:tr>
        <w:tc>
          <w:tcPr>
            <w:vAlign w:val="center"/>
          </w:tcPr>
          <w:p>
            <w:pPr>
              <w:jc w:val="center"/>
            </w:pPr>
            <w:r>
              <w:rPr>
                <w:sz w:val="24"/>
              </w:rPr>
              <w:t>13</w:t>
            </w:r>
          </w:p>
        </w:tc>
        <w:tc>
          <w:tcPr>
            <w:vAlign w:val="center"/>
          </w:tcPr>
          <w:p>
            <w:pPr>
              <w:jc w:val="center"/>
            </w:pPr>
            <w:r>
              <w:rPr>
                <w:sz w:val="24"/>
              </w:rPr>
              <w:t>000690</w:t>
            </w:r>
          </w:p>
        </w:tc>
        <w:tc>
          <w:tcPr>
            <w:vAlign w:val="center"/>
          </w:tcPr>
          <w:p>
            <w:pPr>
              <w:jc w:val="center"/>
            </w:pPr>
            <w:r>
              <w:rPr>
                <w:sz w:val="24"/>
              </w:rPr>
              <w:t>宝新能源</w:t>
            </w:r>
          </w:p>
        </w:tc>
        <w:tc>
          <w:tcPr>
            <w:vAlign w:val="center"/>
          </w:tcPr>
          <w:p>
            <w:pPr>
              <w:jc w:val="right"/>
            </w:pPr>
            <w:r>
              <w:rPr>
                <w:sz w:val="24"/>
              </w:rPr>
              <w:t>889,182.00</w:t>
            </w:r>
          </w:p>
        </w:tc>
        <w:tc>
          <w:tcPr>
            <w:vAlign w:val="center"/>
          </w:tcPr>
          <w:p>
            <w:pPr>
              <w:jc w:val="right"/>
            </w:pPr>
            <w:r>
              <w:rPr>
                <w:sz w:val="24"/>
              </w:rPr>
              <w:t>0.40</w:t>
            </w:r>
          </w:p>
        </w:tc>
      </w:tr>
      <w:tr>
        <w:tc>
          <w:tcPr>
            <w:vAlign w:val="center"/>
          </w:tcPr>
          <w:p>
            <w:pPr>
              <w:jc w:val="center"/>
            </w:pPr>
            <w:r>
              <w:rPr>
                <w:sz w:val="24"/>
              </w:rPr>
              <w:t>14</w:t>
            </w:r>
          </w:p>
        </w:tc>
        <w:tc>
          <w:tcPr>
            <w:vAlign w:val="center"/>
          </w:tcPr>
          <w:p>
            <w:pPr>
              <w:jc w:val="center"/>
            </w:pPr>
            <w:r>
              <w:rPr>
                <w:sz w:val="24"/>
              </w:rPr>
              <w:t>600167</w:t>
            </w:r>
          </w:p>
        </w:tc>
        <w:tc>
          <w:tcPr>
            <w:vAlign w:val="center"/>
          </w:tcPr>
          <w:p>
            <w:pPr>
              <w:jc w:val="center"/>
            </w:pPr>
            <w:r>
              <w:rPr>
                <w:sz w:val="24"/>
              </w:rPr>
              <w:t>联美控股</w:t>
            </w:r>
          </w:p>
        </w:tc>
        <w:tc>
          <w:tcPr>
            <w:vAlign w:val="center"/>
          </w:tcPr>
          <w:p>
            <w:pPr>
              <w:jc w:val="right"/>
            </w:pPr>
            <w:r>
              <w:rPr>
                <w:sz w:val="24"/>
              </w:rPr>
              <w:t>886,010.00</w:t>
            </w:r>
          </w:p>
        </w:tc>
        <w:tc>
          <w:tcPr>
            <w:vAlign w:val="center"/>
          </w:tcPr>
          <w:p>
            <w:pPr>
              <w:jc w:val="right"/>
            </w:pPr>
            <w:r>
              <w:rPr>
                <w:sz w:val="24"/>
              </w:rPr>
              <w:t>0.40</w:t>
            </w:r>
          </w:p>
        </w:tc>
      </w:tr>
      <w:tr>
        <w:tc>
          <w:tcPr>
            <w:vAlign w:val="center"/>
          </w:tcPr>
          <w:p>
            <w:pPr>
              <w:jc w:val="center"/>
            </w:pPr>
            <w:r>
              <w:rPr>
                <w:sz w:val="24"/>
              </w:rPr>
              <w:t>15</w:t>
            </w:r>
          </w:p>
        </w:tc>
        <w:tc>
          <w:tcPr>
            <w:vAlign w:val="center"/>
          </w:tcPr>
          <w:p>
            <w:pPr>
              <w:jc w:val="center"/>
            </w:pPr>
            <w:r>
              <w:rPr>
                <w:sz w:val="24"/>
              </w:rPr>
              <w:t>002399</w:t>
            </w:r>
          </w:p>
        </w:tc>
        <w:tc>
          <w:tcPr>
            <w:vAlign w:val="center"/>
          </w:tcPr>
          <w:p>
            <w:pPr>
              <w:jc w:val="center"/>
            </w:pPr>
            <w:r>
              <w:rPr>
                <w:sz w:val="24"/>
              </w:rPr>
              <w:t>海普瑞</w:t>
            </w:r>
          </w:p>
        </w:tc>
        <w:tc>
          <w:tcPr>
            <w:vAlign w:val="center"/>
          </w:tcPr>
          <w:p>
            <w:pPr>
              <w:jc w:val="right"/>
            </w:pPr>
            <w:r>
              <w:rPr>
                <w:sz w:val="24"/>
              </w:rPr>
              <w:t>873,773.00</w:t>
            </w:r>
          </w:p>
        </w:tc>
        <w:tc>
          <w:tcPr>
            <w:vAlign w:val="center"/>
          </w:tcPr>
          <w:p>
            <w:pPr>
              <w:jc w:val="right"/>
            </w:pPr>
            <w:r>
              <w:rPr>
                <w:sz w:val="24"/>
              </w:rPr>
              <w:t>0.39</w:t>
            </w:r>
          </w:p>
        </w:tc>
      </w:tr>
      <w:tr>
        <w:tc>
          <w:tcPr>
            <w:vAlign w:val="center"/>
          </w:tcPr>
          <w:p>
            <w:pPr>
              <w:jc w:val="center"/>
            </w:pPr>
            <w:r>
              <w:rPr>
                <w:sz w:val="24"/>
              </w:rPr>
              <w:t>16</w:t>
            </w:r>
          </w:p>
        </w:tc>
        <w:tc>
          <w:tcPr>
            <w:vAlign w:val="center"/>
          </w:tcPr>
          <w:p>
            <w:pPr>
              <w:jc w:val="center"/>
            </w:pPr>
            <w:r>
              <w:rPr>
                <w:sz w:val="24"/>
              </w:rPr>
              <w:t>601168</w:t>
            </w:r>
          </w:p>
        </w:tc>
        <w:tc>
          <w:tcPr>
            <w:vAlign w:val="center"/>
          </w:tcPr>
          <w:p>
            <w:pPr>
              <w:jc w:val="center"/>
            </w:pPr>
            <w:r>
              <w:rPr>
                <w:sz w:val="24"/>
              </w:rPr>
              <w:t>西部矿业</w:t>
            </w:r>
          </w:p>
        </w:tc>
        <w:tc>
          <w:tcPr>
            <w:vAlign w:val="center"/>
          </w:tcPr>
          <w:p>
            <w:pPr>
              <w:jc w:val="right"/>
            </w:pPr>
            <w:r>
              <w:rPr>
                <w:sz w:val="24"/>
              </w:rPr>
              <w:t>826,561.00</w:t>
            </w:r>
          </w:p>
        </w:tc>
        <w:tc>
          <w:tcPr>
            <w:vAlign w:val="center"/>
          </w:tcPr>
          <w:p>
            <w:pPr>
              <w:jc w:val="right"/>
            </w:pPr>
            <w:r>
              <w:rPr>
                <w:sz w:val="24"/>
              </w:rPr>
              <w:t>0.37</w:t>
            </w:r>
          </w:p>
        </w:tc>
      </w:tr>
      <w:tr>
        <w:tc>
          <w:tcPr>
            <w:vAlign w:val="center"/>
          </w:tcPr>
          <w:p>
            <w:pPr>
              <w:jc w:val="center"/>
            </w:pPr>
            <w:r>
              <w:rPr>
                <w:sz w:val="24"/>
              </w:rPr>
              <w:t>17</w:t>
            </w:r>
          </w:p>
        </w:tc>
        <w:tc>
          <w:tcPr>
            <w:vAlign w:val="center"/>
          </w:tcPr>
          <w:p>
            <w:pPr>
              <w:jc w:val="center"/>
            </w:pPr>
            <w:r>
              <w:rPr>
                <w:sz w:val="24"/>
              </w:rPr>
              <w:t>601100</w:t>
            </w:r>
          </w:p>
        </w:tc>
        <w:tc>
          <w:tcPr>
            <w:vAlign w:val="center"/>
          </w:tcPr>
          <w:p>
            <w:pPr>
              <w:jc w:val="center"/>
            </w:pPr>
            <w:r>
              <w:rPr>
                <w:sz w:val="24"/>
              </w:rPr>
              <w:t>恒立液压</w:t>
            </w:r>
          </w:p>
        </w:tc>
        <w:tc>
          <w:tcPr>
            <w:vAlign w:val="center"/>
          </w:tcPr>
          <w:p>
            <w:pPr>
              <w:jc w:val="right"/>
            </w:pPr>
            <w:r>
              <w:rPr>
                <w:sz w:val="24"/>
              </w:rPr>
              <w:t>799,452.00</w:t>
            </w:r>
          </w:p>
        </w:tc>
        <w:tc>
          <w:tcPr>
            <w:vAlign w:val="center"/>
          </w:tcPr>
          <w:p>
            <w:pPr>
              <w:jc w:val="right"/>
            </w:pPr>
            <w:r>
              <w:rPr>
                <w:sz w:val="24"/>
              </w:rPr>
              <w:t>0.36</w:t>
            </w:r>
          </w:p>
        </w:tc>
      </w:tr>
      <w:tr>
        <w:tc>
          <w:tcPr>
            <w:vAlign w:val="center"/>
          </w:tcPr>
          <w:p>
            <w:pPr>
              <w:jc w:val="center"/>
            </w:pPr>
            <w:r>
              <w:rPr>
                <w:sz w:val="24"/>
              </w:rPr>
              <w:t>18</w:t>
            </w:r>
          </w:p>
        </w:tc>
        <w:tc>
          <w:tcPr>
            <w:vAlign w:val="center"/>
          </w:tcPr>
          <w:p>
            <w:pPr>
              <w:jc w:val="center"/>
            </w:pPr>
            <w:r>
              <w:rPr>
                <w:sz w:val="24"/>
              </w:rPr>
              <w:t>600260</w:t>
            </w:r>
          </w:p>
        </w:tc>
        <w:tc>
          <w:tcPr>
            <w:vAlign w:val="center"/>
          </w:tcPr>
          <w:p>
            <w:pPr>
              <w:jc w:val="center"/>
            </w:pPr>
            <w:r>
              <w:rPr>
                <w:sz w:val="24"/>
              </w:rPr>
              <w:t>凯乐科技</w:t>
            </w:r>
          </w:p>
        </w:tc>
        <w:tc>
          <w:tcPr>
            <w:vAlign w:val="center"/>
          </w:tcPr>
          <w:p>
            <w:pPr>
              <w:jc w:val="right"/>
            </w:pPr>
            <w:r>
              <w:rPr>
                <w:sz w:val="24"/>
              </w:rPr>
              <w:t>791,249.00</w:t>
            </w:r>
          </w:p>
        </w:tc>
        <w:tc>
          <w:tcPr>
            <w:vAlign w:val="center"/>
          </w:tcPr>
          <w:p>
            <w:pPr>
              <w:jc w:val="right"/>
            </w:pPr>
            <w:r>
              <w:rPr>
                <w:sz w:val="24"/>
              </w:rPr>
              <w:t>0.35</w:t>
            </w:r>
          </w:p>
        </w:tc>
      </w:tr>
      <w:tr>
        <w:tc>
          <w:tcPr>
            <w:vAlign w:val="center"/>
          </w:tcPr>
          <w:p>
            <w:pPr>
              <w:jc w:val="center"/>
            </w:pPr>
            <w:r>
              <w:rPr>
                <w:sz w:val="24"/>
              </w:rPr>
              <w:t>19</w:t>
            </w:r>
          </w:p>
        </w:tc>
        <w:tc>
          <w:tcPr>
            <w:vAlign w:val="center"/>
          </w:tcPr>
          <w:p>
            <w:pPr>
              <w:jc w:val="center"/>
            </w:pPr>
            <w:r>
              <w:rPr>
                <w:sz w:val="24"/>
              </w:rPr>
              <w:t>600779</w:t>
            </w:r>
          </w:p>
        </w:tc>
        <w:tc>
          <w:tcPr>
            <w:vAlign w:val="center"/>
          </w:tcPr>
          <w:p>
            <w:pPr>
              <w:jc w:val="center"/>
            </w:pPr>
            <w:r>
              <w:rPr>
                <w:sz w:val="24"/>
              </w:rPr>
              <w:t>水井坊</w:t>
            </w:r>
          </w:p>
        </w:tc>
        <w:tc>
          <w:tcPr>
            <w:vAlign w:val="center"/>
          </w:tcPr>
          <w:p>
            <w:pPr>
              <w:jc w:val="right"/>
            </w:pPr>
            <w:r>
              <w:rPr>
                <w:sz w:val="24"/>
              </w:rPr>
              <w:t>783,992.00</w:t>
            </w:r>
          </w:p>
        </w:tc>
        <w:tc>
          <w:tcPr>
            <w:vAlign w:val="center"/>
          </w:tcPr>
          <w:p>
            <w:pPr>
              <w:jc w:val="right"/>
            </w:pPr>
            <w:r>
              <w:rPr>
                <w:sz w:val="24"/>
              </w:rPr>
              <w:t>0.35</w:t>
            </w:r>
          </w:p>
        </w:tc>
      </w:tr>
      <w:tr>
        <w:tc>
          <w:tcPr>
            <w:vAlign w:val="center"/>
          </w:tcPr>
          <w:p>
            <w:pPr>
              <w:jc w:val="center"/>
            </w:pPr>
            <w:r>
              <w:rPr>
                <w:sz w:val="24"/>
              </w:rPr>
              <w:t>20</w:t>
            </w:r>
          </w:p>
        </w:tc>
        <w:tc>
          <w:tcPr>
            <w:vAlign w:val="center"/>
          </w:tcPr>
          <w:p>
            <w:pPr>
              <w:jc w:val="center"/>
            </w:pPr>
            <w:r>
              <w:rPr>
                <w:sz w:val="24"/>
              </w:rPr>
              <w:t>600884</w:t>
            </w:r>
          </w:p>
        </w:tc>
        <w:tc>
          <w:tcPr>
            <w:vAlign w:val="center"/>
          </w:tcPr>
          <w:p>
            <w:pPr>
              <w:jc w:val="center"/>
            </w:pPr>
            <w:r>
              <w:rPr>
                <w:sz w:val="24"/>
              </w:rPr>
              <w:t>杉杉股份</w:t>
            </w:r>
          </w:p>
        </w:tc>
        <w:tc>
          <w:tcPr>
            <w:vAlign w:val="center"/>
          </w:tcPr>
          <w:p>
            <w:pPr>
              <w:jc w:val="right"/>
            </w:pPr>
            <w:r>
              <w:rPr>
                <w:sz w:val="24"/>
              </w:rPr>
              <w:t>745,767.75</w:t>
            </w:r>
          </w:p>
        </w:tc>
        <w:tc>
          <w:tcPr>
            <w:vAlign w:val="center"/>
          </w:tcPr>
          <w:p>
            <w:pPr>
              <w:jc w:val="right"/>
            </w:pPr>
            <w:r>
              <w:rPr>
                <w:sz w:val="24"/>
              </w:rPr>
              <w:t>0.33</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000656</w:t>
            </w:r>
          </w:p>
        </w:tc>
        <w:tc>
          <w:tcPr>
            <w:vAlign w:val="center"/>
          </w:tcPr>
          <w:p>
            <w:pPr>
              <w:jc w:val="center"/>
            </w:pPr>
            <w:r>
              <w:rPr>
                <w:rFonts w:ascii="Times New Roman" w:hAnsi="Times New Roman"/>
                <w:kern w:val="2"/>
              </w:rPr>
              <w:t>金科股份</w:t>
            </w:r>
          </w:p>
        </w:tc>
        <w:tc>
          <w:tcPr>
            <w:vAlign w:val="center"/>
          </w:tcPr>
          <w:p>
            <w:pPr>
              <w:jc w:val="right"/>
            </w:pPr>
            <w:r>
              <w:rPr>
                <w:rFonts w:ascii="Times New Roman" w:hAnsi="Times New Roman"/>
                <w:kern w:val="2"/>
              </w:rPr>
              <w:t>2,928,205.00</w:t>
            </w:r>
          </w:p>
        </w:tc>
        <w:tc>
          <w:tcPr>
            <w:vAlign w:val="center"/>
          </w:tcPr>
          <w:p>
            <w:pPr>
              <w:jc w:val="right"/>
            </w:pPr>
            <w:r>
              <w:rPr>
                <w:rFonts w:ascii="Times New Roman" w:hAnsi="Times New Roman"/>
                <w:kern w:val="2"/>
              </w:rPr>
              <w:t>1.31</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600875</w:t>
            </w:r>
          </w:p>
        </w:tc>
        <w:tc>
          <w:tcPr>
            <w:vAlign w:val="center"/>
          </w:tcPr>
          <w:p>
            <w:pPr>
              <w:jc w:val="center"/>
            </w:pPr>
            <w:r>
              <w:rPr>
                <w:rFonts w:ascii="Times New Roman" w:hAnsi="Times New Roman"/>
                <w:kern w:val="2"/>
              </w:rPr>
              <w:t>东方电气</w:t>
            </w:r>
          </w:p>
        </w:tc>
        <w:tc>
          <w:tcPr>
            <w:vAlign w:val="center"/>
          </w:tcPr>
          <w:p>
            <w:pPr>
              <w:jc w:val="right"/>
            </w:pPr>
            <w:r>
              <w:rPr>
                <w:rFonts w:ascii="Times New Roman" w:hAnsi="Times New Roman"/>
                <w:kern w:val="2"/>
              </w:rPr>
              <w:t>1,961,968.00</w:t>
            </w:r>
          </w:p>
        </w:tc>
        <w:tc>
          <w:tcPr>
            <w:vAlign w:val="center"/>
          </w:tcPr>
          <w:p>
            <w:pPr>
              <w:jc w:val="right"/>
            </w:pPr>
            <w:r>
              <w:rPr>
                <w:rFonts w:ascii="Times New Roman" w:hAnsi="Times New Roman"/>
                <w:kern w:val="2"/>
              </w:rPr>
              <w:t>0.88</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002299</w:t>
            </w:r>
          </w:p>
        </w:tc>
        <w:tc>
          <w:tcPr>
            <w:vAlign w:val="center"/>
          </w:tcPr>
          <w:p>
            <w:pPr>
              <w:jc w:val="center"/>
            </w:pPr>
            <w:r>
              <w:rPr>
                <w:rFonts w:ascii="Times New Roman" w:hAnsi="Times New Roman"/>
                <w:kern w:val="2"/>
              </w:rPr>
              <w:t>圣农发展</w:t>
            </w:r>
          </w:p>
        </w:tc>
        <w:tc>
          <w:tcPr>
            <w:vAlign w:val="center"/>
          </w:tcPr>
          <w:p>
            <w:pPr>
              <w:jc w:val="right"/>
            </w:pPr>
            <w:r>
              <w:rPr>
                <w:rFonts w:ascii="Times New Roman" w:hAnsi="Times New Roman"/>
                <w:kern w:val="2"/>
              </w:rPr>
              <w:t>1,850,366.00</w:t>
            </w:r>
          </w:p>
        </w:tc>
        <w:tc>
          <w:tcPr>
            <w:vAlign w:val="center"/>
          </w:tcPr>
          <w:p>
            <w:pPr>
              <w:jc w:val="right"/>
            </w:pPr>
            <w:r>
              <w:rPr>
                <w:rFonts w:ascii="Times New Roman" w:hAnsi="Times New Roman"/>
                <w:kern w:val="2"/>
              </w:rPr>
              <w:t>0.83</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000999</w:t>
            </w:r>
          </w:p>
        </w:tc>
        <w:tc>
          <w:tcPr>
            <w:vAlign w:val="center"/>
          </w:tcPr>
          <w:p>
            <w:pPr>
              <w:jc w:val="center"/>
            </w:pPr>
            <w:r>
              <w:rPr>
                <w:rFonts w:ascii="Times New Roman" w:hAnsi="Times New Roman"/>
                <w:kern w:val="2"/>
              </w:rPr>
              <w:t>华润三九</w:t>
            </w:r>
          </w:p>
        </w:tc>
        <w:tc>
          <w:tcPr>
            <w:vAlign w:val="center"/>
          </w:tcPr>
          <w:p>
            <w:pPr>
              <w:jc w:val="right"/>
            </w:pPr>
            <w:r>
              <w:rPr>
                <w:rFonts w:ascii="Times New Roman" w:hAnsi="Times New Roman"/>
                <w:kern w:val="2"/>
              </w:rPr>
              <w:t>1,728,010.00</w:t>
            </w:r>
          </w:p>
        </w:tc>
        <w:tc>
          <w:tcPr>
            <w:vAlign w:val="center"/>
          </w:tcPr>
          <w:p>
            <w:pPr>
              <w:jc w:val="right"/>
            </w:pPr>
            <w:r>
              <w:rPr>
                <w:rFonts w:ascii="Times New Roman" w:hAnsi="Times New Roman"/>
                <w:kern w:val="2"/>
              </w:rPr>
              <w:t>0.77</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600426</w:t>
            </w:r>
          </w:p>
        </w:tc>
        <w:tc>
          <w:tcPr>
            <w:vAlign w:val="center"/>
          </w:tcPr>
          <w:p>
            <w:pPr>
              <w:jc w:val="center"/>
            </w:pPr>
            <w:r>
              <w:rPr>
                <w:rFonts w:ascii="Times New Roman" w:hAnsi="Times New Roman"/>
                <w:kern w:val="2"/>
              </w:rPr>
              <w:t>华鲁恒升</w:t>
            </w:r>
          </w:p>
        </w:tc>
        <w:tc>
          <w:tcPr>
            <w:vAlign w:val="center"/>
          </w:tcPr>
          <w:p>
            <w:pPr>
              <w:jc w:val="right"/>
            </w:pPr>
            <w:r>
              <w:rPr>
                <w:rFonts w:ascii="Times New Roman" w:hAnsi="Times New Roman"/>
                <w:kern w:val="2"/>
              </w:rPr>
              <w:t>1,533,779.00</w:t>
            </w:r>
          </w:p>
        </w:tc>
        <w:tc>
          <w:tcPr>
            <w:vAlign w:val="center"/>
          </w:tcPr>
          <w:p>
            <w:pPr>
              <w:jc w:val="right"/>
            </w:pPr>
            <w:r>
              <w:rPr>
                <w:rFonts w:ascii="Times New Roman" w:hAnsi="Times New Roman"/>
                <w:kern w:val="2"/>
              </w:rPr>
              <w:t>0.69</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002195</w:t>
            </w:r>
          </w:p>
        </w:tc>
        <w:tc>
          <w:tcPr>
            <w:vAlign w:val="center"/>
          </w:tcPr>
          <w:p>
            <w:pPr>
              <w:jc w:val="center"/>
            </w:pPr>
            <w:r>
              <w:rPr>
                <w:rFonts w:ascii="Times New Roman" w:hAnsi="Times New Roman"/>
                <w:kern w:val="2"/>
              </w:rPr>
              <w:t>二三四五</w:t>
            </w:r>
          </w:p>
        </w:tc>
        <w:tc>
          <w:tcPr>
            <w:vAlign w:val="center"/>
          </w:tcPr>
          <w:p>
            <w:pPr>
              <w:jc w:val="right"/>
            </w:pPr>
            <w:r>
              <w:rPr>
                <w:rFonts w:ascii="Times New Roman" w:hAnsi="Times New Roman"/>
                <w:kern w:val="2"/>
              </w:rPr>
              <w:t>1,486,244.00</w:t>
            </w:r>
          </w:p>
        </w:tc>
        <w:tc>
          <w:tcPr>
            <w:vAlign w:val="center"/>
          </w:tcPr>
          <w:p>
            <w:pPr>
              <w:jc w:val="right"/>
            </w:pPr>
            <w:r>
              <w:rPr>
                <w:rFonts w:ascii="Times New Roman" w:hAnsi="Times New Roman"/>
                <w:kern w:val="2"/>
              </w:rPr>
              <w:t>0.67</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002399</w:t>
            </w:r>
          </w:p>
        </w:tc>
        <w:tc>
          <w:tcPr>
            <w:vAlign w:val="center"/>
          </w:tcPr>
          <w:p>
            <w:pPr>
              <w:jc w:val="center"/>
            </w:pPr>
            <w:r>
              <w:rPr>
                <w:rFonts w:ascii="Times New Roman" w:hAnsi="Times New Roman"/>
                <w:kern w:val="2"/>
              </w:rPr>
              <w:t>海普瑞</w:t>
            </w:r>
          </w:p>
        </w:tc>
        <w:tc>
          <w:tcPr>
            <w:vAlign w:val="center"/>
          </w:tcPr>
          <w:p>
            <w:pPr>
              <w:jc w:val="right"/>
            </w:pPr>
            <w:r>
              <w:rPr>
                <w:rFonts w:ascii="Times New Roman" w:hAnsi="Times New Roman"/>
                <w:kern w:val="2"/>
              </w:rPr>
              <w:t>1,377,126.00</w:t>
            </w:r>
          </w:p>
        </w:tc>
        <w:tc>
          <w:tcPr>
            <w:vAlign w:val="center"/>
          </w:tcPr>
          <w:p>
            <w:pPr>
              <w:jc w:val="right"/>
            </w:pPr>
            <w:r>
              <w:rPr>
                <w:rFonts w:ascii="Times New Roman" w:hAnsi="Times New Roman"/>
                <w:kern w:val="2"/>
              </w:rPr>
              <w:t>0.62</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002589</w:t>
            </w:r>
          </w:p>
        </w:tc>
        <w:tc>
          <w:tcPr>
            <w:vAlign w:val="center"/>
          </w:tcPr>
          <w:p>
            <w:pPr>
              <w:jc w:val="center"/>
            </w:pPr>
            <w:r>
              <w:rPr>
                <w:rFonts w:ascii="Times New Roman" w:hAnsi="Times New Roman"/>
                <w:kern w:val="2"/>
              </w:rPr>
              <w:t>瑞康医药</w:t>
            </w:r>
          </w:p>
        </w:tc>
        <w:tc>
          <w:tcPr>
            <w:vAlign w:val="center"/>
          </w:tcPr>
          <w:p>
            <w:pPr>
              <w:jc w:val="right"/>
            </w:pPr>
            <w:r>
              <w:rPr>
                <w:rFonts w:ascii="Times New Roman" w:hAnsi="Times New Roman"/>
                <w:kern w:val="2"/>
              </w:rPr>
              <w:t>1,377,056.00</w:t>
            </w:r>
          </w:p>
        </w:tc>
        <w:tc>
          <w:tcPr>
            <w:vAlign w:val="center"/>
          </w:tcPr>
          <w:p>
            <w:pPr>
              <w:jc w:val="right"/>
            </w:pPr>
            <w:r>
              <w:rPr>
                <w:rFonts w:ascii="Times New Roman" w:hAnsi="Times New Roman"/>
                <w:kern w:val="2"/>
              </w:rPr>
              <w:t>0.62</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000975</w:t>
            </w:r>
          </w:p>
        </w:tc>
        <w:tc>
          <w:tcPr>
            <w:vAlign w:val="center"/>
          </w:tcPr>
          <w:p>
            <w:pPr>
              <w:jc w:val="center"/>
            </w:pPr>
            <w:r>
              <w:rPr>
                <w:rFonts w:ascii="Times New Roman" w:hAnsi="Times New Roman"/>
                <w:kern w:val="2"/>
              </w:rPr>
              <w:t>银泰资源</w:t>
            </w:r>
          </w:p>
        </w:tc>
        <w:tc>
          <w:tcPr>
            <w:vAlign w:val="center"/>
          </w:tcPr>
          <w:p>
            <w:pPr>
              <w:jc w:val="right"/>
            </w:pPr>
            <w:r>
              <w:rPr>
                <w:rFonts w:ascii="Times New Roman" w:hAnsi="Times New Roman"/>
                <w:kern w:val="2"/>
              </w:rPr>
              <w:t>1,276,920.98</w:t>
            </w:r>
          </w:p>
        </w:tc>
        <w:tc>
          <w:tcPr>
            <w:vAlign w:val="center"/>
          </w:tcPr>
          <w:p>
            <w:pPr>
              <w:jc w:val="right"/>
            </w:pPr>
            <w:r>
              <w:rPr>
                <w:rFonts w:ascii="Times New Roman" w:hAnsi="Times New Roman"/>
                <w:kern w:val="2"/>
              </w:rPr>
              <w:t>0.57</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601005</w:t>
            </w:r>
          </w:p>
        </w:tc>
        <w:tc>
          <w:tcPr>
            <w:vAlign w:val="center"/>
          </w:tcPr>
          <w:p>
            <w:pPr>
              <w:jc w:val="center"/>
            </w:pPr>
            <w:r>
              <w:rPr>
                <w:rFonts w:ascii="Times New Roman" w:hAnsi="Times New Roman"/>
                <w:kern w:val="2"/>
              </w:rPr>
              <w:t>重庆钢铁</w:t>
            </w:r>
          </w:p>
        </w:tc>
        <w:tc>
          <w:tcPr>
            <w:vAlign w:val="center"/>
          </w:tcPr>
          <w:p>
            <w:pPr>
              <w:jc w:val="right"/>
            </w:pPr>
            <w:r>
              <w:rPr>
                <w:rFonts w:ascii="Times New Roman" w:hAnsi="Times New Roman"/>
                <w:kern w:val="2"/>
              </w:rPr>
              <w:t>1,257,548.00</w:t>
            </w:r>
          </w:p>
        </w:tc>
        <w:tc>
          <w:tcPr>
            <w:vAlign w:val="center"/>
          </w:tcPr>
          <w:p>
            <w:pPr>
              <w:jc w:val="right"/>
            </w:pPr>
            <w:r>
              <w:rPr>
                <w:rFonts w:ascii="Times New Roman" w:hAnsi="Times New Roman"/>
                <w:kern w:val="2"/>
              </w:rPr>
              <w:t>0.56</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600167</w:t>
            </w:r>
          </w:p>
        </w:tc>
        <w:tc>
          <w:tcPr>
            <w:vAlign w:val="center"/>
          </w:tcPr>
          <w:p>
            <w:pPr>
              <w:jc w:val="center"/>
            </w:pPr>
            <w:r>
              <w:rPr>
                <w:rFonts w:ascii="Times New Roman" w:hAnsi="Times New Roman"/>
                <w:kern w:val="2"/>
              </w:rPr>
              <w:t>联美控股</w:t>
            </w:r>
          </w:p>
        </w:tc>
        <w:tc>
          <w:tcPr>
            <w:vAlign w:val="center"/>
          </w:tcPr>
          <w:p>
            <w:pPr>
              <w:jc w:val="right"/>
            </w:pPr>
            <w:r>
              <w:rPr>
                <w:rFonts w:ascii="Times New Roman" w:hAnsi="Times New Roman"/>
                <w:kern w:val="2"/>
              </w:rPr>
              <w:t>1,236,044.00</w:t>
            </w:r>
          </w:p>
        </w:tc>
        <w:tc>
          <w:tcPr>
            <w:vAlign w:val="center"/>
          </w:tcPr>
          <w:p>
            <w:pPr>
              <w:jc w:val="right"/>
            </w:pPr>
            <w:r>
              <w:rPr>
                <w:rFonts w:ascii="Times New Roman" w:hAnsi="Times New Roman"/>
                <w:kern w:val="2"/>
              </w:rPr>
              <w:t>0.55</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600782</w:t>
            </w:r>
          </w:p>
        </w:tc>
        <w:tc>
          <w:tcPr>
            <w:vAlign w:val="center"/>
          </w:tcPr>
          <w:p>
            <w:pPr>
              <w:jc w:val="center"/>
            </w:pPr>
            <w:r>
              <w:rPr>
                <w:rFonts w:ascii="Times New Roman" w:hAnsi="Times New Roman"/>
                <w:kern w:val="2"/>
              </w:rPr>
              <w:t>新钢股份</w:t>
            </w:r>
          </w:p>
        </w:tc>
        <w:tc>
          <w:tcPr>
            <w:vAlign w:val="center"/>
          </w:tcPr>
          <w:p>
            <w:pPr>
              <w:jc w:val="right"/>
            </w:pPr>
            <w:r>
              <w:rPr>
                <w:rFonts w:ascii="Times New Roman" w:hAnsi="Times New Roman"/>
                <w:kern w:val="2"/>
              </w:rPr>
              <w:t>1,232,344.00</w:t>
            </w:r>
          </w:p>
        </w:tc>
        <w:tc>
          <w:tcPr>
            <w:vAlign w:val="center"/>
          </w:tcPr>
          <w:p>
            <w:pPr>
              <w:jc w:val="right"/>
            </w:pPr>
            <w:r>
              <w:rPr>
                <w:rFonts w:ascii="Times New Roman" w:hAnsi="Times New Roman"/>
                <w:kern w:val="2"/>
              </w:rPr>
              <w:t>0.55</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002244</w:t>
            </w:r>
          </w:p>
        </w:tc>
        <w:tc>
          <w:tcPr>
            <w:vAlign w:val="center"/>
          </w:tcPr>
          <w:p>
            <w:pPr>
              <w:jc w:val="center"/>
            </w:pPr>
            <w:r>
              <w:rPr>
                <w:rFonts w:ascii="Times New Roman" w:hAnsi="Times New Roman"/>
                <w:kern w:val="2"/>
              </w:rPr>
              <w:t>滨江集团</w:t>
            </w:r>
          </w:p>
        </w:tc>
        <w:tc>
          <w:tcPr>
            <w:vAlign w:val="center"/>
          </w:tcPr>
          <w:p>
            <w:pPr>
              <w:jc w:val="right"/>
            </w:pPr>
            <w:r>
              <w:rPr>
                <w:rFonts w:ascii="Times New Roman" w:hAnsi="Times New Roman"/>
                <w:kern w:val="2"/>
              </w:rPr>
              <w:t>1,207,254.00</w:t>
            </w:r>
          </w:p>
        </w:tc>
        <w:tc>
          <w:tcPr>
            <w:vAlign w:val="center"/>
          </w:tcPr>
          <w:p>
            <w:pPr>
              <w:jc w:val="right"/>
            </w:pPr>
            <w:r>
              <w:rPr>
                <w:rFonts w:ascii="Times New Roman" w:hAnsi="Times New Roman"/>
                <w:kern w:val="2"/>
              </w:rPr>
              <w:t>0.54</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600673</w:t>
            </w:r>
          </w:p>
        </w:tc>
        <w:tc>
          <w:tcPr>
            <w:vAlign w:val="center"/>
          </w:tcPr>
          <w:p>
            <w:pPr>
              <w:jc w:val="center"/>
            </w:pPr>
            <w:r>
              <w:rPr>
                <w:rFonts w:ascii="Times New Roman" w:hAnsi="Times New Roman"/>
                <w:kern w:val="2"/>
              </w:rPr>
              <w:t>东阳光</w:t>
            </w:r>
          </w:p>
        </w:tc>
        <w:tc>
          <w:tcPr>
            <w:vAlign w:val="center"/>
          </w:tcPr>
          <w:p>
            <w:pPr>
              <w:jc w:val="right"/>
            </w:pPr>
            <w:r>
              <w:rPr>
                <w:rFonts w:ascii="Times New Roman" w:hAnsi="Times New Roman"/>
                <w:kern w:val="2"/>
              </w:rPr>
              <w:t>1,187,661.00</w:t>
            </w:r>
          </w:p>
        </w:tc>
        <w:tc>
          <w:tcPr>
            <w:vAlign w:val="center"/>
          </w:tcPr>
          <w:p>
            <w:pPr>
              <w:jc w:val="right"/>
            </w:pPr>
            <w:r>
              <w:rPr>
                <w:rFonts w:ascii="Times New Roman" w:hAnsi="Times New Roman"/>
                <w:kern w:val="2"/>
              </w:rPr>
              <w:t>0.53</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002373</w:t>
            </w:r>
          </w:p>
        </w:tc>
        <w:tc>
          <w:tcPr>
            <w:vAlign w:val="center"/>
          </w:tcPr>
          <w:p>
            <w:pPr>
              <w:jc w:val="center"/>
            </w:pPr>
            <w:r>
              <w:rPr>
                <w:rFonts w:ascii="Times New Roman" w:hAnsi="Times New Roman"/>
                <w:kern w:val="2"/>
              </w:rPr>
              <w:t>千方科技</w:t>
            </w:r>
          </w:p>
        </w:tc>
        <w:tc>
          <w:tcPr>
            <w:vAlign w:val="center"/>
          </w:tcPr>
          <w:p>
            <w:pPr>
              <w:jc w:val="right"/>
            </w:pPr>
            <w:r>
              <w:rPr>
                <w:rFonts w:ascii="Times New Roman" w:hAnsi="Times New Roman"/>
                <w:kern w:val="2"/>
              </w:rPr>
              <w:t>1,168,850.00</w:t>
            </w:r>
          </w:p>
        </w:tc>
        <w:tc>
          <w:tcPr>
            <w:vAlign w:val="center"/>
          </w:tcPr>
          <w:p>
            <w:pPr>
              <w:jc w:val="right"/>
            </w:pPr>
            <w:r>
              <w:rPr>
                <w:rFonts w:ascii="Times New Roman" w:hAnsi="Times New Roman"/>
                <w:kern w:val="2"/>
              </w:rPr>
              <w:t>0.52</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002507</w:t>
            </w:r>
          </w:p>
        </w:tc>
        <w:tc>
          <w:tcPr>
            <w:vAlign w:val="center"/>
          </w:tcPr>
          <w:p>
            <w:pPr>
              <w:jc w:val="center"/>
            </w:pPr>
            <w:r>
              <w:rPr>
                <w:rFonts w:ascii="Times New Roman" w:hAnsi="Times New Roman"/>
                <w:kern w:val="2"/>
              </w:rPr>
              <w:t>涪陵榨菜</w:t>
            </w:r>
          </w:p>
        </w:tc>
        <w:tc>
          <w:tcPr>
            <w:vAlign w:val="center"/>
          </w:tcPr>
          <w:p>
            <w:pPr>
              <w:jc w:val="right"/>
            </w:pPr>
            <w:r>
              <w:rPr>
                <w:rFonts w:ascii="Times New Roman" w:hAnsi="Times New Roman"/>
                <w:kern w:val="2"/>
              </w:rPr>
              <w:t>1,156,760.00</w:t>
            </w:r>
          </w:p>
        </w:tc>
        <w:tc>
          <w:tcPr>
            <w:vAlign w:val="center"/>
          </w:tcPr>
          <w:p>
            <w:pPr>
              <w:jc w:val="right"/>
            </w:pPr>
            <w:r>
              <w:rPr>
                <w:rFonts w:ascii="Times New Roman" w:hAnsi="Times New Roman"/>
                <w:kern w:val="2"/>
              </w:rPr>
              <w:t>0.52</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000690</w:t>
            </w:r>
          </w:p>
        </w:tc>
        <w:tc>
          <w:tcPr>
            <w:vAlign w:val="center"/>
          </w:tcPr>
          <w:p>
            <w:pPr>
              <w:jc w:val="center"/>
            </w:pPr>
            <w:r>
              <w:rPr>
                <w:rFonts w:ascii="Times New Roman" w:hAnsi="Times New Roman"/>
                <w:kern w:val="2"/>
              </w:rPr>
              <w:t>宝新能源</w:t>
            </w:r>
          </w:p>
        </w:tc>
        <w:tc>
          <w:tcPr>
            <w:vAlign w:val="center"/>
          </w:tcPr>
          <w:p>
            <w:pPr>
              <w:jc w:val="right"/>
            </w:pPr>
            <w:r>
              <w:rPr>
                <w:rFonts w:ascii="Times New Roman" w:hAnsi="Times New Roman"/>
                <w:kern w:val="2"/>
              </w:rPr>
              <w:t>1,102,423.00</w:t>
            </w:r>
          </w:p>
        </w:tc>
        <w:tc>
          <w:tcPr>
            <w:vAlign w:val="center"/>
          </w:tcPr>
          <w:p>
            <w:pPr>
              <w:jc w:val="right"/>
            </w:pPr>
            <w:r>
              <w:rPr>
                <w:rFonts w:ascii="Times New Roman" w:hAnsi="Times New Roman"/>
                <w:kern w:val="2"/>
              </w:rPr>
              <w:t>0.49</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300088</w:t>
            </w:r>
          </w:p>
        </w:tc>
        <w:tc>
          <w:tcPr>
            <w:vAlign w:val="center"/>
          </w:tcPr>
          <w:p>
            <w:pPr>
              <w:jc w:val="center"/>
            </w:pPr>
            <w:r>
              <w:rPr>
                <w:rFonts w:ascii="Times New Roman" w:hAnsi="Times New Roman"/>
                <w:kern w:val="2"/>
              </w:rPr>
              <w:t>长信科技</w:t>
            </w:r>
          </w:p>
        </w:tc>
        <w:tc>
          <w:tcPr>
            <w:vAlign w:val="center"/>
          </w:tcPr>
          <w:p>
            <w:pPr>
              <w:jc w:val="right"/>
            </w:pPr>
            <w:r>
              <w:rPr>
                <w:rFonts w:ascii="Times New Roman" w:hAnsi="Times New Roman"/>
                <w:kern w:val="2"/>
              </w:rPr>
              <w:t>1,074,109.00</w:t>
            </w:r>
          </w:p>
        </w:tc>
        <w:tc>
          <w:tcPr>
            <w:vAlign w:val="center"/>
          </w:tcPr>
          <w:p>
            <w:pPr>
              <w:jc w:val="right"/>
            </w:pPr>
            <w:r>
              <w:rPr>
                <w:rFonts w:ascii="Times New Roman" w:hAnsi="Times New Roman"/>
                <w:kern w:val="2"/>
              </w:rPr>
              <w:t>0.48</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600801</w:t>
            </w:r>
          </w:p>
        </w:tc>
        <w:tc>
          <w:tcPr>
            <w:vAlign w:val="center"/>
          </w:tcPr>
          <w:p>
            <w:pPr>
              <w:jc w:val="center"/>
            </w:pPr>
            <w:r>
              <w:rPr>
                <w:rFonts w:ascii="Times New Roman" w:hAnsi="Times New Roman"/>
                <w:kern w:val="2"/>
              </w:rPr>
              <w:t>华新水泥</w:t>
            </w:r>
          </w:p>
        </w:tc>
        <w:tc>
          <w:tcPr>
            <w:vAlign w:val="center"/>
          </w:tcPr>
          <w:p>
            <w:pPr>
              <w:jc w:val="right"/>
            </w:pPr>
            <w:r>
              <w:rPr>
                <w:rFonts w:ascii="Times New Roman" w:hAnsi="Times New Roman"/>
                <w:kern w:val="2"/>
              </w:rPr>
              <w:t>1,069,501.00</w:t>
            </w:r>
          </w:p>
        </w:tc>
        <w:tc>
          <w:tcPr>
            <w:vAlign w:val="center"/>
          </w:tcPr>
          <w:p>
            <w:pPr>
              <w:jc w:val="right"/>
            </w:pPr>
            <w:r>
              <w:rPr>
                <w:rFonts w:ascii="Times New Roman" w:hAnsi="Times New Roman"/>
                <w:kern w:val="2"/>
              </w:rPr>
              <w:t>0.48</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600160</w:t>
            </w:r>
          </w:p>
        </w:tc>
        <w:tc>
          <w:tcPr>
            <w:vAlign w:val="center"/>
          </w:tcPr>
          <w:p>
            <w:pPr>
              <w:jc w:val="center"/>
            </w:pPr>
            <w:r>
              <w:rPr>
                <w:rFonts w:ascii="Times New Roman" w:hAnsi="Times New Roman"/>
                <w:kern w:val="2"/>
              </w:rPr>
              <w:t>巨化股份</w:t>
            </w:r>
          </w:p>
        </w:tc>
        <w:tc>
          <w:tcPr>
            <w:vAlign w:val="center"/>
          </w:tcPr>
          <w:p>
            <w:pPr>
              <w:jc w:val="right"/>
            </w:pPr>
            <w:r>
              <w:rPr>
                <w:rFonts w:ascii="Times New Roman" w:hAnsi="Times New Roman"/>
                <w:kern w:val="2"/>
              </w:rPr>
              <w:t>1,042,644.00</w:t>
            </w:r>
          </w:p>
        </w:tc>
        <w:tc>
          <w:tcPr>
            <w:vAlign w:val="center"/>
          </w:tcPr>
          <w:p>
            <w:pPr>
              <w:jc w:val="right"/>
            </w:pPr>
            <w:r>
              <w:rPr>
                <w:rFonts w:ascii="Times New Roman" w:hAnsi="Times New Roman"/>
                <w:kern w:val="2"/>
              </w:rPr>
              <w:t>0.47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53,443,041.80</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90,828,385.12</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48,900,000.00</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60.24</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48,900,000.00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60.24</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111905063</w:t>
            </w:r>
          </w:p>
        </w:tc>
        <w:tc>
          <w:tcPr>
            <w:vAlign w:val="center"/>
          </w:tcPr>
          <w:p>
            <w:pPr>
              <w:jc w:val="center"/>
            </w:pPr>
            <w:r>
              <w:rPr>
                <w:color w:val="000000"/>
                <w:sz w:val="24"/>
              </w:rPr>
              <w:t>19建设银行CD063</w:t>
            </w:r>
          </w:p>
        </w:tc>
        <w:tc>
          <w:tcPr>
            <w:vAlign w:val="center"/>
          </w:tcPr>
          <w:p>
            <w:pPr>
              <w:jc w:val="right"/>
            </w:pPr>
            <w:r>
              <w:rPr>
                <w:color w:val="000000"/>
                <w:sz w:val="24"/>
              </w:rPr>
              <w:t>100,000</w:t>
            </w:r>
          </w:p>
        </w:tc>
        <w:tc>
          <w:tcPr>
            <w:vAlign w:val="center"/>
          </w:tcPr>
          <w:p>
            <w:pPr>
              <w:jc w:val="right"/>
            </w:pPr>
            <w:r>
              <w:rPr>
                <w:color w:val="000000"/>
                <w:sz w:val="24"/>
              </w:rPr>
              <w:t>9,784,000.00</w:t>
            </w:r>
          </w:p>
        </w:tc>
        <w:tc>
          <w:tcPr>
            <w:vAlign w:val="center"/>
          </w:tcPr>
          <w:p>
            <w:pPr>
              <w:jc w:val="right"/>
            </w:pPr>
            <w:r>
              <w:rPr>
                <w:color w:val="000000"/>
                <w:sz w:val="24"/>
              </w:rPr>
              <w:t>12.05</w:t>
            </w:r>
          </w:p>
        </w:tc>
      </w:tr>
      <w:tr>
        <w:tc>
          <w:tcPr>
            <w:vAlign w:val="center"/>
          </w:tcPr>
          <w:p>
            <w:pPr>
              <w:jc w:val="center"/>
            </w:pPr>
            <w:r>
              <w:rPr>
                <w:color w:val="000000"/>
                <w:sz w:val="24"/>
              </w:rPr>
              <w:t>2</w:t>
            </w:r>
          </w:p>
        </w:tc>
        <w:tc>
          <w:tcPr>
            <w:vAlign w:val="center"/>
          </w:tcPr>
          <w:p>
            <w:pPr>
              <w:jc w:val="center"/>
            </w:pPr>
            <w:r>
              <w:rPr>
                <w:color w:val="000000"/>
                <w:sz w:val="24"/>
              </w:rPr>
              <w:t>111918186</w:t>
            </w:r>
          </w:p>
        </w:tc>
        <w:tc>
          <w:tcPr>
            <w:vAlign w:val="center"/>
          </w:tcPr>
          <w:p>
            <w:pPr>
              <w:jc w:val="center"/>
            </w:pPr>
            <w:r>
              <w:rPr>
                <w:color w:val="000000"/>
                <w:sz w:val="24"/>
              </w:rPr>
              <w:t>19华夏银行CD186</w:t>
            </w:r>
          </w:p>
        </w:tc>
        <w:tc>
          <w:tcPr>
            <w:vAlign w:val="center"/>
          </w:tcPr>
          <w:p>
            <w:pPr>
              <w:jc w:val="right"/>
            </w:pPr>
            <w:r>
              <w:rPr>
                <w:color w:val="000000"/>
                <w:sz w:val="24"/>
              </w:rPr>
              <w:t>100,000</w:t>
            </w:r>
          </w:p>
        </w:tc>
        <w:tc>
          <w:tcPr>
            <w:vAlign w:val="center"/>
          </w:tcPr>
          <w:p>
            <w:pPr>
              <w:jc w:val="right"/>
            </w:pPr>
            <w:r>
              <w:rPr>
                <w:color w:val="000000"/>
                <w:sz w:val="24"/>
              </w:rPr>
              <w:t>9,779,000.00</w:t>
            </w:r>
          </w:p>
        </w:tc>
        <w:tc>
          <w:tcPr>
            <w:vAlign w:val="center"/>
          </w:tcPr>
          <w:p>
            <w:pPr>
              <w:jc w:val="right"/>
            </w:pPr>
            <w:r>
              <w:rPr>
                <w:color w:val="000000"/>
                <w:sz w:val="24"/>
              </w:rPr>
              <w:t>12.05</w:t>
            </w:r>
          </w:p>
        </w:tc>
      </w:tr>
      <w:tr>
        <w:tc>
          <w:tcPr>
            <w:vAlign w:val="center"/>
          </w:tcPr>
          <w:p>
            <w:pPr>
              <w:jc w:val="center"/>
            </w:pPr>
            <w:r>
              <w:rPr>
                <w:color w:val="000000"/>
                <w:sz w:val="24"/>
              </w:rPr>
              <w:t>3</w:t>
            </w:r>
          </w:p>
        </w:tc>
        <w:tc>
          <w:tcPr>
            <w:vAlign w:val="center"/>
          </w:tcPr>
          <w:p>
            <w:pPr>
              <w:jc w:val="center"/>
            </w:pPr>
            <w:r>
              <w:rPr>
                <w:color w:val="000000"/>
                <w:sz w:val="24"/>
              </w:rPr>
              <w:t>111915226</w:t>
            </w:r>
          </w:p>
        </w:tc>
        <w:tc>
          <w:tcPr>
            <w:vAlign w:val="center"/>
          </w:tcPr>
          <w:p>
            <w:pPr>
              <w:jc w:val="center"/>
            </w:pPr>
            <w:r>
              <w:rPr>
                <w:color w:val="000000"/>
                <w:sz w:val="24"/>
              </w:rPr>
              <w:t>19民生银行CD226</w:t>
            </w:r>
          </w:p>
        </w:tc>
        <w:tc>
          <w:tcPr>
            <w:vAlign w:val="center"/>
          </w:tcPr>
          <w:p>
            <w:pPr>
              <w:jc w:val="right"/>
            </w:pPr>
            <w:r>
              <w:rPr>
                <w:color w:val="000000"/>
                <w:sz w:val="24"/>
              </w:rPr>
              <w:t>100,000</w:t>
            </w:r>
          </w:p>
        </w:tc>
        <w:tc>
          <w:tcPr>
            <w:vAlign w:val="center"/>
          </w:tcPr>
          <w:p>
            <w:pPr>
              <w:jc w:val="right"/>
            </w:pPr>
            <w:r>
              <w:rPr>
                <w:color w:val="000000"/>
                <w:sz w:val="24"/>
              </w:rPr>
              <w:t>9,779,000.00</w:t>
            </w:r>
          </w:p>
        </w:tc>
        <w:tc>
          <w:tcPr>
            <w:vAlign w:val="center"/>
          </w:tcPr>
          <w:p>
            <w:pPr>
              <w:jc w:val="right"/>
            </w:pPr>
            <w:r>
              <w:rPr>
                <w:color w:val="000000"/>
                <w:sz w:val="24"/>
              </w:rPr>
              <w:t>12.05</w:t>
            </w:r>
          </w:p>
        </w:tc>
      </w:tr>
      <w:tr>
        <w:tc>
          <w:tcPr>
            <w:vAlign w:val="center"/>
          </w:tcPr>
          <w:p>
            <w:pPr>
              <w:jc w:val="center"/>
            </w:pPr>
            <w:r>
              <w:rPr>
                <w:color w:val="000000"/>
                <w:sz w:val="24"/>
              </w:rPr>
              <w:t>4</w:t>
            </w:r>
          </w:p>
        </w:tc>
        <w:tc>
          <w:tcPr>
            <w:vAlign w:val="center"/>
          </w:tcPr>
          <w:p>
            <w:pPr>
              <w:jc w:val="center"/>
            </w:pPr>
            <w:r>
              <w:rPr>
                <w:color w:val="000000"/>
                <w:sz w:val="24"/>
              </w:rPr>
              <w:t>111909177</w:t>
            </w:r>
          </w:p>
        </w:tc>
        <w:tc>
          <w:tcPr>
            <w:vAlign w:val="center"/>
          </w:tcPr>
          <w:p>
            <w:pPr>
              <w:jc w:val="center"/>
            </w:pPr>
            <w:r>
              <w:rPr>
                <w:color w:val="000000"/>
                <w:sz w:val="24"/>
              </w:rPr>
              <w:t>19浦发银行CD177</w:t>
            </w:r>
          </w:p>
        </w:tc>
        <w:tc>
          <w:tcPr>
            <w:vAlign w:val="center"/>
          </w:tcPr>
          <w:p>
            <w:pPr>
              <w:jc w:val="right"/>
            </w:pPr>
            <w:r>
              <w:rPr>
                <w:color w:val="000000"/>
                <w:sz w:val="24"/>
              </w:rPr>
              <w:t>100,000</w:t>
            </w:r>
          </w:p>
        </w:tc>
        <w:tc>
          <w:tcPr>
            <w:vAlign w:val="center"/>
          </w:tcPr>
          <w:p>
            <w:pPr>
              <w:jc w:val="right"/>
            </w:pPr>
            <w:r>
              <w:rPr>
                <w:color w:val="000000"/>
                <w:sz w:val="24"/>
              </w:rPr>
              <w:t>9,779,000.00</w:t>
            </w:r>
          </w:p>
        </w:tc>
        <w:tc>
          <w:tcPr>
            <w:vAlign w:val="center"/>
          </w:tcPr>
          <w:p>
            <w:pPr>
              <w:jc w:val="right"/>
            </w:pPr>
            <w:r>
              <w:rPr>
                <w:color w:val="000000"/>
                <w:sz w:val="24"/>
              </w:rPr>
              <w:t>12.05</w:t>
            </w:r>
          </w:p>
        </w:tc>
      </w:tr>
      <w:tr>
        <w:tc>
          <w:tcPr>
            <w:vAlign w:val="center"/>
          </w:tcPr>
          <w:p>
            <w:pPr>
              <w:jc w:val="center"/>
            </w:pPr>
            <w:r>
              <w:rPr>
                <w:color w:val="000000"/>
                <w:sz w:val="24"/>
              </w:rPr>
              <w:t>5</w:t>
            </w:r>
          </w:p>
        </w:tc>
        <w:tc>
          <w:tcPr>
            <w:vAlign w:val="center"/>
          </w:tcPr>
          <w:p>
            <w:pPr>
              <w:jc w:val="center"/>
            </w:pPr>
            <w:r>
              <w:rPr>
                <w:color w:val="000000"/>
                <w:sz w:val="24"/>
              </w:rPr>
              <w:t>111910240</w:t>
            </w:r>
          </w:p>
        </w:tc>
        <w:tc>
          <w:tcPr>
            <w:vAlign w:val="center"/>
          </w:tcPr>
          <w:p>
            <w:pPr>
              <w:jc w:val="center"/>
            </w:pPr>
            <w:r>
              <w:rPr>
                <w:color w:val="000000"/>
                <w:sz w:val="24"/>
              </w:rPr>
              <w:t>19兴业银行CD240</w:t>
            </w:r>
          </w:p>
        </w:tc>
        <w:tc>
          <w:tcPr>
            <w:vAlign w:val="center"/>
          </w:tcPr>
          <w:p>
            <w:pPr>
              <w:jc w:val="right"/>
            </w:pPr>
            <w:r>
              <w:rPr>
                <w:color w:val="000000"/>
                <w:sz w:val="24"/>
              </w:rPr>
              <w:t>100,000</w:t>
            </w:r>
          </w:p>
        </w:tc>
        <w:tc>
          <w:tcPr>
            <w:vAlign w:val="center"/>
          </w:tcPr>
          <w:p>
            <w:pPr>
              <w:jc w:val="right"/>
            </w:pPr>
            <w:r>
              <w:rPr>
                <w:color w:val="000000"/>
                <w:sz w:val="24"/>
              </w:rPr>
              <w:t>9,779,000.00</w:t>
            </w:r>
          </w:p>
        </w:tc>
        <w:tc>
          <w:tcPr>
            <w:vAlign w:val="center"/>
          </w:tcPr>
          <w:p>
            <w:pPr>
              <w:jc w:val="right"/>
            </w:pPr>
            <w:r>
              <w:rPr>
                <w:color w:val="000000"/>
                <w:sz w:val="24"/>
              </w:rPr>
              <w:t>12.05</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7.12.1报告期内本基金投资的前十名证券的发行主体除19民生银行CD226（证券代码：111915226）外，未出现被监管部门立案调查，或在报告编制日前一年内受到公开谴责、处罚的情形。</w:t>
      </w:r>
    </w:p>
    <w:p>
      <w:pPr>
        <w:spacing w:before="29" w:line="288" w:lineRule="auto"/>
        <w:rPr>
          <w:color w:val="000000"/>
          <w:sz w:val="24"/>
        </w:rPr>
      </w:pPr>
      <w:r>
        <w:rPr>
          <w:color w:val="000000"/>
          <w:sz w:val="24"/>
        </w:rPr>
        <w:t>报告期内本基金投资的前十名证券之一19民生银行CD226（证券代码：111915226）的发行主体民生银行，根据银保监会2018年12月7日公布的《中国银行保险监督管理委员会行政处罚信息公开表(银保监银罚决字〔2018〕5号)》，因存在贷款业务严重违反审慎经营规则等违法违规事实，被中国银行保险监督管理委员会处以行政处罚，罚款200万元；根据银保监会2018年12月7日公布的《中国银行保险监督管理委员会行政处罚信息公开表(银保监银罚决字〔2018〕8号)》，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3160万元。</w:t>
      </w:r>
    </w:p>
    <w:p>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37,294.35</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80,832.46</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118,126.81</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929</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929</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86,005.76</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79,899,354.91</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100.00%</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29,790.73</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0.04%</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2018年5月18日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228,753,120.21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228,753,120.21</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19.75</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148,853,785.05</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79,899,354.91</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本报告期内，经中信银行股份有限公司董事会会议审议通过，聘任方合英先生为本行行长，任职资格于2019年3月29日获中国银行保险监督管理委员批复核准。孙德顺先生因年龄原因不再担任本行执行董事、行长等职务。根据工作需要，任命杨璋琪先生担任本行资产托管部副总经理，主持资产托管部相关工作。</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144,271,426.92</w:t>
            </w:r>
          </w:p>
        </w:tc>
        <w:tc>
          <w:tcPr>
            <w:vAlign w:val="center"/>
          </w:tcPr>
          <w:p>
            <w:pPr>
              <w:jc w:val="right"/>
            </w:pPr>
            <w:r>
              <w:rPr>
                <w:color w:val="000000"/>
                <w:sz w:val="24"/>
              </w:rPr>
              <w:t>100.00%</w:t>
            </w:r>
          </w:p>
        </w:tc>
        <w:tc>
          <w:tcPr>
            <w:vAlign w:val="center"/>
          </w:tcPr>
          <w:p>
            <w:pPr>
              <w:jc w:val="right"/>
            </w:pPr>
            <w:r>
              <w:rPr>
                <w:color w:val="000000"/>
                <w:sz w:val="24"/>
              </w:rPr>
              <w:t>134,352.74</w:t>
            </w:r>
          </w:p>
        </w:tc>
        <w:tc>
          <w:tcPr>
            <w:vAlign w:val="center"/>
          </w:tcPr>
          <w:p>
            <w:pPr>
              <w:jc w:val="right"/>
            </w:pPr>
            <w:r>
              <w:rPr>
                <w:color w:val="000000"/>
                <w:sz w:val="24"/>
              </w:rPr>
              <w:t>100.00%</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3</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安信证券股份有限公司</w:t>
            </w:r>
          </w:p>
        </w:tc>
        <w:tc>
          <w:tcPr>
            <w:vAlign w:val="center"/>
          </w:tcPr>
          <w:p>
            <w:pPr>
              <w:jc w:val="right"/>
            </w:pPr>
            <w:r>
              <w:rPr>
                <w:color w:val="000000"/>
                <w:sz w:val="24"/>
              </w:rPr>
              <w:t>192,760.00</w:t>
            </w:r>
          </w:p>
        </w:tc>
        <w:tc>
          <w:tcPr>
            <w:vAlign w:val="center"/>
          </w:tcPr>
          <w:p>
            <w:pPr>
              <w:jc w:val="right"/>
            </w:pPr>
            <w:r>
              <w:rPr>
                <w:color w:val="000000"/>
                <w:sz w:val="24"/>
              </w:rPr>
              <w:t>100.00%</w:t>
            </w:r>
          </w:p>
        </w:tc>
        <w:tc>
          <w:tcPr>
            <w:vAlign w:val="center"/>
          </w:tcPr>
          <w:p>
            <w:pPr>
              <w:jc w:val="right"/>
            </w:pPr>
            <w:r>
              <w:rPr>
                <w:color w:val="000000"/>
                <w:sz w:val="24"/>
              </w:rPr>
              <w:t>625,500,000.00</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注：1、报告期内，本基金新增加交易单元为国盛证券有限责任公司，其它交易单元未发生变化；</w:t>
      </w:r>
    </w:p>
    <w:p>
      <w:pPr>
        <w:autoSpaceDE w:val="0"/>
        <w:autoSpaceDN w:val="0"/>
        <w:adjustRightInd w:val="0"/>
        <w:spacing w:before="29" w:line="288" w:lineRule="auto"/>
        <w:jc w:val="left"/>
        <w:rPr>
          <w:color w:val="000000"/>
          <w:sz w:val="24"/>
        </w:rPr>
      </w:pPr>
      <w:r>
        <w:rPr>
          <w:color w:val="000000"/>
          <w:sz w:val="24"/>
        </w:rPr>
        <w:t>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交银施罗德致远量化智投策略定期开放混合型证券投资基金2019年半年度报告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