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60</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基金托管人：中国建设银行股份有限公司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基金托管人中国建设银行股份有限公司根据本基金合同规定，于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60</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中国建设银行股份有限公司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7,968,312,050.30</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519722</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10,126,739.69</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7,958,185,310.61</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人民币七天通知存款税后利率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本基金属于短期理财债券型证券投资基金，长期风险收益水平低于股票型基金、混合型基金及普通债券型基金，高于货币市场型证券投资基金。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中国建设银行股份有限公司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田青</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tianqing1.zh@ccb.com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010-67595096</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010-66275853</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132,235.79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158,054,564.48</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132,235.79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158,054,564.48</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1.66%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10,126,739.69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7,958,185,310.61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D06467" w:rsidRDefault="007046A5">
      <w:pPr>
        <w:tabs>
          <w:tab w:val="left" w:pos="426"/>
        </w:tabs>
        <w:spacing w:before="29" w:line="288" w:lineRule="auto"/>
        <w:jc w:val="left"/>
        <w:rPr>
          <w:kern w:val="0"/>
          <w:sz w:val="24"/>
        </w:rPr>
      </w:pPr>
      <w:r>
        <w:rPr>
          <w:kern w:val="0"/>
          <w:sz w:val="24"/>
        </w:rPr>
        <w:t xml:space="preserve">    2</w:t>
      </w:r>
      <w:r>
        <w:rPr>
          <w:kern w:val="0"/>
          <w:sz w:val="24"/>
        </w:rPr>
        <w:t>、本基金收益分配按运作期结转份额。</w:t>
      </w:r>
    </w:p>
    <w:p w:rsidR="00D06467" w:rsidRDefault="007046A5">
      <w:pPr>
        <w:tabs>
          <w:tab w:val="left" w:pos="426"/>
        </w:tabs>
        <w:spacing w:before="29" w:line="288" w:lineRule="auto"/>
        <w:jc w:val="left"/>
        <w:rPr>
          <w:kern w:val="0"/>
          <w:sz w:val="24"/>
        </w:rPr>
      </w:pPr>
      <w:r>
        <w:rPr>
          <w:kern w:val="0"/>
          <w:sz w:val="24"/>
        </w:rPr>
        <w:t xml:space="preserve">    3</w:t>
      </w:r>
      <w:r>
        <w:rPr>
          <w:kern w:val="0"/>
          <w:sz w:val="24"/>
        </w:rPr>
        <w:t>、自合同生效日起，本基金实行销售服务费分类收费方式，分设两类基金份额：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w:t>
      </w:r>
    </w:p>
    <w:p w:rsidR="00D06467" w:rsidRDefault="007046A5">
      <w:pPr>
        <w:tabs>
          <w:tab w:val="left" w:pos="426"/>
        </w:tabs>
        <w:spacing w:before="29" w:line="288" w:lineRule="auto"/>
        <w:jc w:val="left"/>
        <w:rPr>
          <w:kern w:val="0"/>
          <w:sz w:val="24"/>
        </w:rPr>
      </w:pPr>
      <w:r>
        <w:rPr>
          <w:kern w:val="0"/>
          <w:sz w:val="24"/>
        </w:rPr>
        <w:t xml:space="preserve">    4</w:t>
      </w:r>
      <w:r>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06467">
        <w:tc>
          <w:tcPr>
            <w:tcW w:w="1600" w:type="dxa"/>
            <w:vAlign w:val="center"/>
          </w:tcPr>
          <w:p w:rsidR="00D06467" w:rsidRDefault="007046A5">
            <w:pPr>
              <w:jc w:val="left"/>
            </w:pPr>
            <w:r>
              <w:rPr>
                <w:sz w:val="24"/>
              </w:rPr>
              <w:t>过去一个月</w:t>
            </w:r>
          </w:p>
        </w:tc>
        <w:tc>
          <w:tcPr>
            <w:tcW w:w="1233" w:type="dxa"/>
            <w:vAlign w:val="center"/>
          </w:tcPr>
          <w:p w:rsidR="00D06467" w:rsidRDefault="007046A5">
            <w:pPr>
              <w:jc w:val="center"/>
            </w:pPr>
            <w:r>
              <w:rPr>
                <w:sz w:val="24"/>
              </w:rPr>
              <w:t>0.2135%</w:t>
            </w:r>
          </w:p>
        </w:tc>
        <w:tc>
          <w:tcPr>
            <w:tcW w:w="1233" w:type="dxa"/>
            <w:vAlign w:val="center"/>
          </w:tcPr>
          <w:p w:rsidR="00D06467" w:rsidRDefault="007046A5">
            <w:pPr>
              <w:jc w:val="center"/>
            </w:pPr>
            <w:r>
              <w:rPr>
                <w:sz w:val="24"/>
              </w:rPr>
              <w:t>0.0005%</w:t>
            </w:r>
          </w:p>
        </w:tc>
        <w:tc>
          <w:tcPr>
            <w:tcW w:w="1233" w:type="dxa"/>
            <w:vAlign w:val="center"/>
          </w:tcPr>
          <w:p w:rsidR="00D06467" w:rsidRDefault="007046A5">
            <w:pPr>
              <w:jc w:val="center"/>
            </w:pPr>
            <w:r>
              <w:rPr>
                <w:sz w:val="24"/>
              </w:rPr>
              <w:t>0.1110%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0.1025%</w:t>
            </w:r>
          </w:p>
        </w:tc>
        <w:tc>
          <w:tcPr>
            <w:tcW w:w="1233" w:type="dxa"/>
            <w:vAlign w:val="center"/>
          </w:tcPr>
          <w:p w:rsidR="00D06467" w:rsidRDefault="007046A5">
            <w:pPr>
              <w:jc w:val="center"/>
            </w:pPr>
            <w:r>
              <w:rPr>
                <w:sz w:val="24"/>
              </w:rPr>
              <w:t>0.0005%</w:t>
            </w:r>
          </w:p>
        </w:tc>
      </w:tr>
      <w:tr w:rsidR="00D06467">
        <w:tc>
          <w:tcPr>
            <w:tcW w:w="1600" w:type="dxa"/>
            <w:vAlign w:val="center"/>
          </w:tcPr>
          <w:p w:rsidR="00D06467" w:rsidRDefault="007046A5">
            <w:pPr>
              <w:jc w:val="left"/>
            </w:pPr>
            <w:r>
              <w:rPr>
                <w:sz w:val="24"/>
              </w:rPr>
              <w:t>过去三个月</w:t>
            </w:r>
          </w:p>
        </w:tc>
        <w:tc>
          <w:tcPr>
            <w:tcW w:w="1233" w:type="dxa"/>
            <w:vAlign w:val="center"/>
          </w:tcPr>
          <w:p w:rsidR="00D06467" w:rsidRDefault="007046A5">
            <w:pPr>
              <w:jc w:val="center"/>
            </w:pPr>
            <w:r>
              <w:rPr>
                <w:sz w:val="24"/>
              </w:rPr>
              <w:t>0.7013%</w:t>
            </w:r>
          </w:p>
        </w:tc>
        <w:tc>
          <w:tcPr>
            <w:tcW w:w="1233" w:type="dxa"/>
            <w:vAlign w:val="center"/>
          </w:tcPr>
          <w:p w:rsidR="00D06467" w:rsidRDefault="007046A5">
            <w:pPr>
              <w:jc w:val="center"/>
            </w:pPr>
            <w:r>
              <w:rPr>
                <w:sz w:val="24"/>
              </w:rPr>
              <w:t>0.0021%</w:t>
            </w:r>
          </w:p>
        </w:tc>
        <w:tc>
          <w:tcPr>
            <w:tcW w:w="1233" w:type="dxa"/>
            <w:vAlign w:val="center"/>
          </w:tcPr>
          <w:p w:rsidR="00D06467" w:rsidRDefault="007046A5">
            <w:pPr>
              <w:jc w:val="center"/>
            </w:pPr>
            <w:r>
              <w:rPr>
                <w:sz w:val="24"/>
              </w:rPr>
              <w:t>0.3366%</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0.3647%</w:t>
            </w:r>
          </w:p>
        </w:tc>
        <w:tc>
          <w:tcPr>
            <w:tcW w:w="1233" w:type="dxa"/>
            <w:vAlign w:val="center"/>
          </w:tcPr>
          <w:p w:rsidR="00D06467" w:rsidRDefault="007046A5">
            <w:pPr>
              <w:jc w:val="center"/>
            </w:pPr>
            <w:r>
              <w:rPr>
                <w:sz w:val="24"/>
              </w:rPr>
              <w:t>0.0021%</w:t>
            </w:r>
          </w:p>
        </w:tc>
      </w:tr>
      <w:tr w:rsidR="00D06467">
        <w:tc>
          <w:tcPr>
            <w:tcW w:w="1600" w:type="dxa"/>
            <w:vAlign w:val="center"/>
          </w:tcPr>
          <w:p w:rsidR="00D06467" w:rsidRDefault="007046A5">
            <w:pPr>
              <w:jc w:val="left"/>
            </w:pPr>
            <w:r>
              <w:rPr>
                <w:sz w:val="24"/>
              </w:rPr>
              <w:t>过去六个月</w:t>
            </w:r>
          </w:p>
        </w:tc>
        <w:tc>
          <w:tcPr>
            <w:tcW w:w="1233" w:type="dxa"/>
            <w:vAlign w:val="center"/>
          </w:tcPr>
          <w:p w:rsidR="00D06467" w:rsidRDefault="007046A5">
            <w:pPr>
              <w:jc w:val="center"/>
            </w:pPr>
            <w:r>
              <w:rPr>
                <w:sz w:val="24"/>
              </w:rPr>
              <w:t>1.5104%</w:t>
            </w:r>
          </w:p>
        </w:tc>
        <w:tc>
          <w:tcPr>
            <w:tcW w:w="1233" w:type="dxa"/>
            <w:vAlign w:val="center"/>
          </w:tcPr>
          <w:p w:rsidR="00D06467" w:rsidRDefault="007046A5">
            <w:pPr>
              <w:jc w:val="center"/>
            </w:pPr>
            <w:r>
              <w:rPr>
                <w:sz w:val="24"/>
              </w:rPr>
              <w:t>0.0018%</w:t>
            </w:r>
          </w:p>
        </w:tc>
        <w:tc>
          <w:tcPr>
            <w:tcW w:w="1233" w:type="dxa"/>
            <w:vAlign w:val="center"/>
          </w:tcPr>
          <w:p w:rsidR="00D06467" w:rsidRDefault="007046A5">
            <w:pPr>
              <w:jc w:val="center"/>
            </w:pPr>
            <w:r>
              <w:rPr>
                <w:sz w:val="24"/>
              </w:rPr>
              <w:t>0.6695%</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0.8409%</w:t>
            </w:r>
          </w:p>
        </w:tc>
        <w:tc>
          <w:tcPr>
            <w:tcW w:w="1233" w:type="dxa"/>
            <w:vAlign w:val="center"/>
          </w:tcPr>
          <w:p w:rsidR="00D06467" w:rsidRDefault="007046A5">
            <w:pPr>
              <w:jc w:val="center"/>
            </w:pPr>
            <w:r>
              <w:rPr>
                <w:sz w:val="24"/>
              </w:rPr>
              <w:t>0.0018%</w:t>
            </w:r>
          </w:p>
        </w:tc>
      </w:tr>
      <w:tr w:rsidR="00D06467">
        <w:tc>
          <w:tcPr>
            <w:tcW w:w="1600" w:type="dxa"/>
            <w:vAlign w:val="center"/>
          </w:tcPr>
          <w:p w:rsidR="00D06467" w:rsidRDefault="007046A5">
            <w:pPr>
              <w:jc w:val="left"/>
            </w:pPr>
            <w:r>
              <w:rPr>
                <w:sz w:val="24"/>
              </w:rPr>
              <w:t>过去一年</w:t>
            </w:r>
          </w:p>
        </w:tc>
        <w:tc>
          <w:tcPr>
            <w:tcW w:w="1233" w:type="dxa"/>
            <w:vAlign w:val="center"/>
          </w:tcPr>
          <w:p w:rsidR="00D06467" w:rsidRDefault="007046A5">
            <w:pPr>
              <w:jc w:val="center"/>
            </w:pPr>
            <w:r>
              <w:rPr>
                <w:sz w:val="24"/>
              </w:rPr>
              <w:t>3.4098%</w:t>
            </w:r>
          </w:p>
        </w:tc>
        <w:tc>
          <w:tcPr>
            <w:tcW w:w="1233" w:type="dxa"/>
            <w:vAlign w:val="center"/>
          </w:tcPr>
          <w:p w:rsidR="00D06467" w:rsidRDefault="007046A5">
            <w:pPr>
              <w:jc w:val="center"/>
            </w:pPr>
            <w:r>
              <w:rPr>
                <w:sz w:val="24"/>
              </w:rPr>
              <w:t>0.0021%</w:t>
            </w:r>
          </w:p>
        </w:tc>
        <w:tc>
          <w:tcPr>
            <w:tcW w:w="1233" w:type="dxa"/>
            <w:vAlign w:val="center"/>
          </w:tcPr>
          <w:p w:rsidR="00D06467" w:rsidRDefault="007046A5">
            <w:pPr>
              <w:jc w:val="center"/>
            </w:pPr>
            <w:r>
              <w:rPr>
                <w:sz w:val="24"/>
              </w:rPr>
              <w:t>1.3500%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2.0598%</w:t>
            </w:r>
          </w:p>
        </w:tc>
        <w:tc>
          <w:tcPr>
            <w:tcW w:w="1233" w:type="dxa"/>
            <w:vAlign w:val="center"/>
          </w:tcPr>
          <w:p w:rsidR="00D06467" w:rsidRDefault="007046A5">
            <w:pPr>
              <w:jc w:val="center"/>
            </w:pPr>
            <w:r>
              <w:rPr>
                <w:sz w:val="24"/>
              </w:rPr>
              <w:t>0.0021%</w:t>
            </w:r>
          </w:p>
        </w:tc>
      </w:tr>
      <w:tr w:rsidR="00D06467">
        <w:tc>
          <w:tcPr>
            <w:tcW w:w="1600" w:type="dxa"/>
            <w:vAlign w:val="center"/>
          </w:tcPr>
          <w:p w:rsidR="00D06467" w:rsidRDefault="007046A5">
            <w:pPr>
              <w:jc w:val="left"/>
            </w:pPr>
            <w:r>
              <w:rPr>
                <w:sz w:val="24"/>
              </w:rPr>
              <w:t>过去三年</w:t>
            </w:r>
          </w:p>
        </w:tc>
        <w:tc>
          <w:tcPr>
            <w:tcW w:w="1233" w:type="dxa"/>
            <w:vAlign w:val="center"/>
          </w:tcPr>
          <w:p w:rsidR="00D06467" w:rsidRDefault="007046A5">
            <w:pPr>
              <w:jc w:val="center"/>
            </w:pPr>
            <w:r>
              <w:rPr>
                <w:sz w:val="24"/>
              </w:rPr>
              <w:t>11.0941%</w:t>
            </w:r>
          </w:p>
        </w:tc>
        <w:tc>
          <w:tcPr>
            <w:tcW w:w="1233" w:type="dxa"/>
            <w:vAlign w:val="center"/>
          </w:tcPr>
          <w:p w:rsidR="00D06467" w:rsidRDefault="007046A5">
            <w:pPr>
              <w:jc w:val="center"/>
            </w:pPr>
            <w:r>
              <w:rPr>
                <w:sz w:val="24"/>
              </w:rPr>
              <w:t>0.0025%</w:t>
            </w:r>
          </w:p>
        </w:tc>
        <w:tc>
          <w:tcPr>
            <w:tcW w:w="1233" w:type="dxa"/>
            <w:vAlign w:val="center"/>
          </w:tcPr>
          <w:p w:rsidR="00D06467" w:rsidRDefault="007046A5">
            <w:pPr>
              <w:jc w:val="center"/>
            </w:pPr>
            <w:r>
              <w:rPr>
                <w:sz w:val="24"/>
              </w:rPr>
              <w:t>4.0500%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7.0441%</w:t>
            </w:r>
          </w:p>
        </w:tc>
        <w:tc>
          <w:tcPr>
            <w:tcW w:w="1233" w:type="dxa"/>
            <w:vAlign w:val="center"/>
          </w:tcPr>
          <w:p w:rsidR="00D06467" w:rsidRDefault="007046A5">
            <w:pPr>
              <w:jc w:val="center"/>
            </w:pPr>
            <w:r>
              <w:rPr>
                <w:sz w:val="24"/>
              </w:rPr>
              <w:t>0.0025%</w:t>
            </w:r>
          </w:p>
        </w:tc>
      </w:tr>
      <w:tr w:rsidR="00D06467">
        <w:tc>
          <w:tcPr>
            <w:tcW w:w="1600" w:type="dxa"/>
            <w:vAlign w:val="center"/>
          </w:tcPr>
          <w:p w:rsidR="00D06467" w:rsidRDefault="007046A5">
            <w:pPr>
              <w:jc w:val="left"/>
            </w:pPr>
            <w:r>
              <w:rPr>
                <w:sz w:val="24"/>
              </w:rPr>
              <w:t>自基金合同生效起至今</w:t>
            </w:r>
          </w:p>
        </w:tc>
        <w:tc>
          <w:tcPr>
            <w:tcW w:w="1233" w:type="dxa"/>
            <w:vAlign w:val="center"/>
          </w:tcPr>
          <w:p w:rsidR="00D06467" w:rsidRDefault="007046A5">
            <w:pPr>
              <w:jc w:val="center"/>
            </w:pPr>
            <w:r>
              <w:rPr>
                <w:sz w:val="24"/>
              </w:rPr>
              <w:t>23.7457%</w:t>
            </w:r>
          </w:p>
        </w:tc>
        <w:tc>
          <w:tcPr>
            <w:tcW w:w="1233" w:type="dxa"/>
            <w:vAlign w:val="center"/>
          </w:tcPr>
          <w:p w:rsidR="00D06467" w:rsidRDefault="007046A5">
            <w:pPr>
              <w:jc w:val="center"/>
            </w:pPr>
            <w:r>
              <w:rPr>
                <w:sz w:val="24"/>
              </w:rPr>
              <w:t>0.0072%</w:t>
            </w:r>
          </w:p>
        </w:tc>
        <w:tc>
          <w:tcPr>
            <w:tcW w:w="1233" w:type="dxa"/>
            <w:vAlign w:val="center"/>
          </w:tcPr>
          <w:p w:rsidR="00D06467" w:rsidRDefault="007046A5">
            <w:pPr>
              <w:jc w:val="center"/>
            </w:pPr>
            <w:r>
              <w:rPr>
                <w:sz w:val="24"/>
              </w:rPr>
              <w:t>8.5105%</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15.2352%</w:t>
            </w:r>
          </w:p>
        </w:tc>
        <w:tc>
          <w:tcPr>
            <w:tcW w:w="1233" w:type="dxa"/>
            <w:vAlign w:val="center"/>
          </w:tcPr>
          <w:p w:rsidR="00D06467" w:rsidRDefault="007046A5">
            <w:pPr>
              <w:jc w:val="center"/>
            </w:pPr>
            <w:r>
              <w:rPr>
                <w:sz w:val="24"/>
              </w:rPr>
              <w:t>0.0072%</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D06467" w:rsidRDefault="007046A5">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60</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D06467">
        <w:tc>
          <w:tcPr>
            <w:tcW w:w="1600" w:type="dxa"/>
            <w:vAlign w:val="center"/>
          </w:tcPr>
          <w:p w:rsidR="00D06467" w:rsidRDefault="007046A5">
            <w:pPr>
              <w:jc w:val="left"/>
            </w:pPr>
            <w:r>
              <w:rPr>
                <w:sz w:val="24"/>
              </w:rPr>
              <w:t>过去一个月</w:t>
            </w:r>
          </w:p>
        </w:tc>
        <w:tc>
          <w:tcPr>
            <w:tcW w:w="1233" w:type="dxa"/>
            <w:vAlign w:val="center"/>
          </w:tcPr>
          <w:p w:rsidR="00D06467" w:rsidRDefault="007046A5">
            <w:pPr>
              <w:jc w:val="center"/>
            </w:pPr>
            <w:r>
              <w:rPr>
                <w:sz w:val="24"/>
              </w:rPr>
              <w:t>0.2371%</w:t>
            </w:r>
          </w:p>
        </w:tc>
        <w:tc>
          <w:tcPr>
            <w:tcW w:w="1233" w:type="dxa"/>
            <w:vAlign w:val="center"/>
          </w:tcPr>
          <w:p w:rsidR="00D06467" w:rsidRDefault="007046A5">
            <w:pPr>
              <w:jc w:val="center"/>
            </w:pPr>
            <w:r>
              <w:rPr>
                <w:sz w:val="24"/>
              </w:rPr>
              <w:t>0.0005%</w:t>
            </w:r>
          </w:p>
        </w:tc>
        <w:tc>
          <w:tcPr>
            <w:tcW w:w="1233" w:type="dxa"/>
            <w:vAlign w:val="center"/>
          </w:tcPr>
          <w:p w:rsidR="00D06467" w:rsidRDefault="007046A5">
            <w:pPr>
              <w:jc w:val="center"/>
            </w:pPr>
            <w:r>
              <w:rPr>
                <w:sz w:val="24"/>
              </w:rPr>
              <w:t>0.1110%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0.1261%</w:t>
            </w:r>
          </w:p>
        </w:tc>
        <w:tc>
          <w:tcPr>
            <w:tcW w:w="1233" w:type="dxa"/>
            <w:vAlign w:val="center"/>
          </w:tcPr>
          <w:p w:rsidR="00D06467" w:rsidRDefault="007046A5">
            <w:pPr>
              <w:jc w:val="center"/>
            </w:pPr>
            <w:r>
              <w:rPr>
                <w:sz w:val="24"/>
              </w:rPr>
              <w:t>0.0005%</w:t>
            </w:r>
          </w:p>
        </w:tc>
      </w:tr>
      <w:tr w:rsidR="00D06467">
        <w:tc>
          <w:tcPr>
            <w:tcW w:w="1600" w:type="dxa"/>
            <w:vAlign w:val="center"/>
          </w:tcPr>
          <w:p w:rsidR="00D06467" w:rsidRDefault="007046A5">
            <w:pPr>
              <w:jc w:val="left"/>
            </w:pPr>
            <w:r>
              <w:rPr>
                <w:sz w:val="24"/>
              </w:rPr>
              <w:t>过去三个月</w:t>
            </w:r>
          </w:p>
        </w:tc>
        <w:tc>
          <w:tcPr>
            <w:tcW w:w="1233" w:type="dxa"/>
            <w:vAlign w:val="center"/>
          </w:tcPr>
          <w:p w:rsidR="00D06467" w:rsidRDefault="007046A5">
            <w:pPr>
              <w:jc w:val="center"/>
            </w:pPr>
            <w:r>
              <w:rPr>
                <w:sz w:val="24"/>
              </w:rPr>
              <w:t>0.7736%</w:t>
            </w:r>
          </w:p>
        </w:tc>
        <w:tc>
          <w:tcPr>
            <w:tcW w:w="1233" w:type="dxa"/>
            <w:vAlign w:val="center"/>
          </w:tcPr>
          <w:p w:rsidR="00D06467" w:rsidRDefault="007046A5">
            <w:pPr>
              <w:jc w:val="center"/>
            </w:pPr>
            <w:r>
              <w:rPr>
                <w:sz w:val="24"/>
              </w:rPr>
              <w:t>0.0021%</w:t>
            </w:r>
          </w:p>
        </w:tc>
        <w:tc>
          <w:tcPr>
            <w:tcW w:w="1233" w:type="dxa"/>
            <w:vAlign w:val="center"/>
          </w:tcPr>
          <w:p w:rsidR="00D06467" w:rsidRDefault="007046A5">
            <w:pPr>
              <w:jc w:val="center"/>
            </w:pPr>
            <w:r>
              <w:rPr>
                <w:sz w:val="24"/>
              </w:rPr>
              <w:t>0.3366%</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0.4370%</w:t>
            </w:r>
          </w:p>
        </w:tc>
        <w:tc>
          <w:tcPr>
            <w:tcW w:w="1233" w:type="dxa"/>
            <w:vAlign w:val="center"/>
          </w:tcPr>
          <w:p w:rsidR="00D06467" w:rsidRDefault="007046A5">
            <w:pPr>
              <w:jc w:val="center"/>
            </w:pPr>
            <w:r>
              <w:rPr>
                <w:sz w:val="24"/>
              </w:rPr>
              <w:t>0.0021%</w:t>
            </w:r>
          </w:p>
        </w:tc>
      </w:tr>
      <w:tr w:rsidR="00D06467">
        <w:tc>
          <w:tcPr>
            <w:tcW w:w="1600" w:type="dxa"/>
            <w:vAlign w:val="center"/>
          </w:tcPr>
          <w:p w:rsidR="00D06467" w:rsidRDefault="007046A5">
            <w:pPr>
              <w:jc w:val="left"/>
            </w:pPr>
            <w:r>
              <w:rPr>
                <w:sz w:val="24"/>
              </w:rPr>
              <w:t>过去六个月</w:t>
            </w:r>
          </w:p>
        </w:tc>
        <w:tc>
          <w:tcPr>
            <w:tcW w:w="1233" w:type="dxa"/>
            <w:vAlign w:val="center"/>
          </w:tcPr>
          <w:p w:rsidR="00D06467" w:rsidRDefault="007046A5">
            <w:pPr>
              <w:jc w:val="center"/>
            </w:pPr>
            <w:r>
              <w:rPr>
                <w:sz w:val="24"/>
              </w:rPr>
              <w:t>1.6556%</w:t>
            </w:r>
          </w:p>
        </w:tc>
        <w:tc>
          <w:tcPr>
            <w:tcW w:w="1233" w:type="dxa"/>
            <w:vAlign w:val="center"/>
          </w:tcPr>
          <w:p w:rsidR="00D06467" w:rsidRDefault="007046A5">
            <w:pPr>
              <w:jc w:val="center"/>
            </w:pPr>
            <w:r>
              <w:rPr>
                <w:sz w:val="24"/>
              </w:rPr>
              <w:t>0.0018%</w:t>
            </w:r>
          </w:p>
        </w:tc>
        <w:tc>
          <w:tcPr>
            <w:tcW w:w="1233" w:type="dxa"/>
            <w:vAlign w:val="center"/>
          </w:tcPr>
          <w:p w:rsidR="00D06467" w:rsidRDefault="007046A5">
            <w:pPr>
              <w:jc w:val="center"/>
            </w:pPr>
            <w:r>
              <w:rPr>
                <w:sz w:val="24"/>
              </w:rPr>
              <w:t>0.6695%</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0.9861%</w:t>
            </w:r>
          </w:p>
        </w:tc>
        <w:tc>
          <w:tcPr>
            <w:tcW w:w="1233" w:type="dxa"/>
            <w:vAlign w:val="center"/>
          </w:tcPr>
          <w:p w:rsidR="00D06467" w:rsidRDefault="007046A5">
            <w:pPr>
              <w:jc w:val="center"/>
            </w:pPr>
            <w:r>
              <w:rPr>
                <w:sz w:val="24"/>
              </w:rPr>
              <w:t>0.0018%</w:t>
            </w:r>
          </w:p>
        </w:tc>
      </w:tr>
      <w:tr w:rsidR="00D06467">
        <w:tc>
          <w:tcPr>
            <w:tcW w:w="1600" w:type="dxa"/>
            <w:vAlign w:val="center"/>
          </w:tcPr>
          <w:p w:rsidR="00D06467" w:rsidRDefault="007046A5">
            <w:pPr>
              <w:jc w:val="left"/>
            </w:pPr>
            <w:r>
              <w:rPr>
                <w:sz w:val="24"/>
              </w:rPr>
              <w:t>过去一年</w:t>
            </w:r>
          </w:p>
        </w:tc>
        <w:tc>
          <w:tcPr>
            <w:tcW w:w="1233" w:type="dxa"/>
            <w:vAlign w:val="center"/>
          </w:tcPr>
          <w:p w:rsidR="00D06467" w:rsidRDefault="007046A5">
            <w:pPr>
              <w:jc w:val="center"/>
            </w:pPr>
            <w:r>
              <w:rPr>
                <w:sz w:val="24"/>
              </w:rPr>
              <w:t>3.7086%</w:t>
            </w:r>
          </w:p>
        </w:tc>
        <w:tc>
          <w:tcPr>
            <w:tcW w:w="1233" w:type="dxa"/>
            <w:vAlign w:val="center"/>
          </w:tcPr>
          <w:p w:rsidR="00D06467" w:rsidRDefault="007046A5">
            <w:pPr>
              <w:jc w:val="center"/>
            </w:pPr>
            <w:r>
              <w:rPr>
                <w:sz w:val="24"/>
              </w:rPr>
              <w:t>0.0021%</w:t>
            </w:r>
          </w:p>
        </w:tc>
        <w:tc>
          <w:tcPr>
            <w:tcW w:w="1233" w:type="dxa"/>
            <w:vAlign w:val="center"/>
          </w:tcPr>
          <w:p w:rsidR="00D06467" w:rsidRDefault="007046A5">
            <w:pPr>
              <w:jc w:val="center"/>
            </w:pPr>
            <w:r>
              <w:rPr>
                <w:sz w:val="24"/>
              </w:rPr>
              <w:t>1.3500%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2.3586%</w:t>
            </w:r>
          </w:p>
        </w:tc>
        <w:tc>
          <w:tcPr>
            <w:tcW w:w="1233" w:type="dxa"/>
            <w:vAlign w:val="center"/>
          </w:tcPr>
          <w:p w:rsidR="00D06467" w:rsidRDefault="007046A5">
            <w:pPr>
              <w:jc w:val="center"/>
            </w:pPr>
            <w:r>
              <w:rPr>
                <w:sz w:val="24"/>
              </w:rPr>
              <w:t>0.0021%</w:t>
            </w:r>
          </w:p>
        </w:tc>
      </w:tr>
      <w:tr w:rsidR="00D06467">
        <w:tc>
          <w:tcPr>
            <w:tcW w:w="1600" w:type="dxa"/>
            <w:vAlign w:val="center"/>
          </w:tcPr>
          <w:p w:rsidR="00D06467" w:rsidRDefault="007046A5">
            <w:pPr>
              <w:jc w:val="left"/>
            </w:pPr>
            <w:r>
              <w:rPr>
                <w:sz w:val="24"/>
              </w:rPr>
              <w:t>过去三年</w:t>
            </w:r>
          </w:p>
        </w:tc>
        <w:tc>
          <w:tcPr>
            <w:tcW w:w="1233" w:type="dxa"/>
            <w:vAlign w:val="center"/>
          </w:tcPr>
          <w:p w:rsidR="00D06467" w:rsidRDefault="007046A5">
            <w:pPr>
              <w:jc w:val="center"/>
            </w:pPr>
            <w:r>
              <w:rPr>
                <w:sz w:val="24"/>
              </w:rPr>
              <w:t>11.8680%</w:t>
            </w:r>
          </w:p>
        </w:tc>
        <w:tc>
          <w:tcPr>
            <w:tcW w:w="1233" w:type="dxa"/>
            <w:vAlign w:val="center"/>
          </w:tcPr>
          <w:p w:rsidR="00D06467" w:rsidRDefault="007046A5">
            <w:pPr>
              <w:jc w:val="center"/>
            </w:pPr>
            <w:r>
              <w:rPr>
                <w:sz w:val="24"/>
              </w:rPr>
              <w:t>0.0030%</w:t>
            </w:r>
          </w:p>
        </w:tc>
        <w:tc>
          <w:tcPr>
            <w:tcW w:w="1233" w:type="dxa"/>
            <w:vAlign w:val="center"/>
          </w:tcPr>
          <w:p w:rsidR="00D06467" w:rsidRDefault="007046A5">
            <w:pPr>
              <w:jc w:val="center"/>
            </w:pPr>
            <w:r>
              <w:rPr>
                <w:sz w:val="24"/>
              </w:rPr>
              <w:t>4.0500%</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7.8180%</w:t>
            </w:r>
          </w:p>
        </w:tc>
        <w:tc>
          <w:tcPr>
            <w:tcW w:w="1233" w:type="dxa"/>
            <w:vAlign w:val="center"/>
          </w:tcPr>
          <w:p w:rsidR="00D06467" w:rsidRDefault="007046A5">
            <w:pPr>
              <w:jc w:val="center"/>
            </w:pPr>
            <w:r>
              <w:rPr>
                <w:sz w:val="24"/>
              </w:rPr>
              <w:t>0.0030%</w:t>
            </w:r>
          </w:p>
        </w:tc>
      </w:tr>
      <w:tr w:rsidR="00D06467">
        <w:tc>
          <w:tcPr>
            <w:tcW w:w="1600" w:type="dxa"/>
            <w:vAlign w:val="center"/>
          </w:tcPr>
          <w:p w:rsidR="00D06467" w:rsidRDefault="007046A5">
            <w:pPr>
              <w:jc w:val="left"/>
            </w:pPr>
            <w:r>
              <w:rPr>
                <w:sz w:val="24"/>
              </w:rPr>
              <w:t>自基金合同生效起至今</w:t>
            </w:r>
          </w:p>
        </w:tc>
        <w:tc>
          <w:tcPr>
            <w:tcW w:w="1233" w:type="dxa"/>
            <w:vAlign w:val="center"/>
          </w:tcPr>
          <w:p w:rsidR="00D06467" w:rsidRDefault="007046A5">
            <w:pPr>
              <w:jc w:val="center"/>
            </w:pPr>
            <w:r>
              <w:rPr>
                <w:sz w:val="24"/>
              </w:rPr>
              <w:t>22.2326%</w:t>
            </w:r>
          </w:p>
        </w:tc>
        <w:tc>
          <w:tcPr>
            <w:tcW w:w="1233" w:type="dxa"/>
            <w:vAlign w:val="center"/>
          </w:tcPr>
          <w:p w:rsidR="00D06467" w:rsidRDefault="007046A5">
            <w:pPr>
              <w:jc w:val="center"/>
            </w:pPr>
            <w:r>
              <w:rPr>
                <w:sz w:val="24"/>
              </w:rPr>
              <w:t>0.0075%</w:t>
            </w:r>
          </w:p>
        </w:tc>
        <w:tc>
          <w:tcPr>
            <w:tcW w:w="1233" w:type="dxa"/>
            <w:vAlign w:val="center"/>
          </w:tcPr>
          <w:p w:rsidR="00D06467" w:rsidRDefault="007046A5">
            <w:pPr>
              <w:jc w:val="center"/>
            </w:pPr>
            <w:r>
              <w:rPr>
                <w:sz w:val="24"/>
              </w:rPr>
              <w:t>8.5105%</w:t>
            </w:r>
          </w:p>
        </w:tc>
        <w:tc>
          <w:tcPr>
            <w:tcW w:w="1233" w:type="dxa"/>
            <w:vAlign w:val="center"/>
          </w:tcPr>
          <w:p w:rsidR="00D06467" w:rsidRDefault="007046A5">
            <w:pPr>
              <w:jc w:val="center"/>
            </w:pPr>
            <w:r>
              <w:rPr>
                <w:sz w:val="24"/>
              </w:rPr>
              <w:t>0.0000%</w:t>
            </w:r>
          </w:p>
        </w:tc>
        <w:tc>
          <w:tcPr>
            <w:tcW w:w="1233" w:type="dxa"/>
            <w:vAlign w:val="center"/>
          </w:tcPr>
          <w:p w:rsidR="00D06467" w:rsidRDefault="007046A5">
            <w:pPr>
              <w:jc w:val="center"/>
            </w:pPr>
            <w:r>
              <w:rPr>
                <w:sz w:val="24"/>
              </w:rPr>
              <w:t>13.7221%</w:t>
            </w:r>
          </w:p>
        </w:tc>
        <w:tc>
          <w:tcPr>
            <w:tcW w:w="1233" w:type="dxa"/>
            <w:vAlign w:val="center"/>
          </w:tcPr>
          <w:p w:rsidR="00D06467" w:rsidRDefault="007046A5">
            <w:pPr>
              <w:jc w:val="center"/>
            </w:pPr>
            <w:r>
              <w:rPr>
                <w:sz w:val="24"/>
              </w:rPr>
              <w:t>0.0075%</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D06467" w:rsidRDefault="007046A5">
      <w:pPr>
        <w:tabs>
          <w:tab w:val="left" w:pos="426"/>
        </w:tabs>
        <w:spacing w:before="29" w:line="288" w:lineRule="auto"/>
        <w:jc w:val="left"/>
        <w:rPr>
          <w:kern w:val="0"/>
          <w:sz w:val="24"/>
        </w:rPr>
      </w:pPr>
      <w:r>
        <w:rPr>
          <w:kern w:val="0"/>
          <w:sz w:val="24"/>
        </w:rPr>
        <w:t xml:space="preserve">    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、本基金的业绩比较基准为人民币七天通知存款税后利率。</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60</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2013</w:t>
      </w:r>
      <w:r w:rsidR="00223DFB" w:rsidRPr="0061644B">
        <w:rPr>
          <w:sz w:val="24"/>
        </w:rPr>
        <w:t>年</w:t>
      </w:r>
      <w:r w:rsidR="00223DFB" w:rsidRPr="0061644B">
        <w:rPr>
          <w:sz w:val="24"/>
        </w:rPr>
        <w:t>3</w:t>
      </w:r>
      <w:r w:rsidR="00223DFB" w:rsidRPr="0061644B">
        <w:rPr>
          <w:sz w:val="24"/>
        </w:rPr>
        <w:t>月</w:t>
      </w:r>
      <w:r w:rsidR="00223DFB" w:rsidRPr="0061644B">
        <w:rPr>
          <w:sz w:val="24"/>
        </w:rPr>
        <w:t>13</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60</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60</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2</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D06467" w:rsidRDefault="007046A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D06467">
        <w:tc>
          <w:tcPr>
            <w:tcW w:w="1032" w:type="dxa"/>
            <w:vAlign w:val="center"/>
          </w:tcPr>
          <w:p w:rsidR="00D06467" w:rsidRDefault="007046A5">
            <w:pPr>
              <w:jc w:val="center"/>
            </w:pPr>
            <w:r>
              <w:rPr>
                <w:sz w:val="24"/>
              </w:rPr>
              <w:t>连端清</w:t>
            </w:r>
          </w:p>
        </w:tc>
        <w:tc>
          <w:tcPr>
            <w:tcW w:w="1019" w:type="dxa"/>
            <w:vAlign w:val="center"/>
          </w:tcPr>
          <w:p w:rsidR="00D06467" w:rsidRDefault="007046A5">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D06467" w:rsidRDefault="007046A5">
            <w:pPr>
              <w:jc w:val="center"/>
            </w:pPr>
            <w:r>
              <w:rPr>
                <w:sz w:val="24"/>
              </w:rPr>
              <w:t>2015-10-16</w:t>
            </w:r>
          </w:p>
        </w:tc>
        <w:tc>
          <w:tcPr>
            <w:tcW w:w="1192" w:type="dxa"/>
            <w:vAlign w:val="center"/>
          </w:tcPr>
          <w:p w:rsidR="00D06467" w:rsidRDefault="007046A5">
            <w:pPr>
              <w:jc w:val="center"/>
            </w:pPr>
            <w:r>
              <w:rPr>
                <w:sz w:val="24"/>
              </w:rPr>
              <w:t>-</w:t>
            </w:r>
          </w:p>
        </w:tc>
        <w:tc>
          <w:tcPr>
            <w:tcW w:w="1192" w:type="dxa"/>
            <w:vAlign w:val="center"/>
          </w:tcPr>
          <w:p w:rsidR="00D06467" w:rsidRDefault="007046A5">
            <w:pPr>
              <w:jc w:val="center"/>
            </w:pPr>
            <w:r>
              <w:rPr>
                <w:sz w:val="24"/>
              </w:rPr>
              <w:t>6</w:t>
            </w:r>
            <w:r>
              <w:rPr>
                <w:sz w:val="24"/>
              </w:rPr>
              <w:t>年</w:t>
            </w:r>
          </w:p>
        </w:tc>
        <w:tc>
          <w:tcPr>
            <w:tcW w:w="3040" w:type="dxa"/>
            <w:vAlign w:val="center"/>
          </w:tcPr>
          <w:p w:rsidR="00D06467" w:rsidRDefault="007046A5">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w:t>
            </w:r>
            <w:r>
              <w:rPr>
                <w:sz w:val="24"/>
              </w:rPr>
              <w:t>基金经理。</w:t>
            </w:r>
          </w:p>
        </w:tc>
      </w:tr>
      <w:tr w:rsidR="00D06467">
        <w:tc>
          <w:tcPr>
            <w:tcW w:w="1032" w:type="dxa"/>
            <w:vAlign w:val="center"/>
          </w:tcPr>
          <w:p w:rsidR="00D06467" w:rsidRDefault="007046A5">
            <w:pPr>
              <w:jc w:val="center"/>
            </w:pPr>
            <w:r>
              <w:rPr>
                <w:sz w:val="24"/>
              </w:rPr>
              <w:t>季参平</w:t>
            </w:r>
          </w:p>
        </w:tc>
        <w:tc>
          <w:tcPr>
            <w:tcW w:w="1019" w:type="dxa"/>
            <w:vAlign w:val="center"/>
          </w:tcPr>
          <w:p w:rsidR="00D06467" w:rsidRDefault="007046A5">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D06467" w:rsidRDefault="007046A5">
            <w:pPr>
              <w:jc w:val="center"/>
            </w:pPr>
            <w:r>
              <w:rPr>
                <w:sz w:val="24"/>
              </w:rPr>
              <w:t>2018-01-10</w:t>
            </w:r>
          </w:p>
        </w:tc>
        <w:tc>
          <w:tcPr>
            <w:tcW w:w="1192" w:type="dxa"/>
            <w:vAlign w:val="center"/>
          </w:tcPr>
          <w:p w:rsidR="00D06467" w:rsidRDefault="007046A5">
            <w:pPr>
              <w:jc w:val="center"/>
            </w:pPr>
            <w:r>
              <w:rPr>
                <w:sz w:val="24"/>
              </w:rPr>
              <w:t>-</w:t>
            </w:r>
          </w:p>
        </w:tc>
        <w:tc>
          <w:tcPr>
            <w:tcW w:w="1192" w:type="dxa"/>
            <w:vAlign w:val="center"/>
          </w:tcPr>
          <w:p w:rsidR="00D06467" w:rsidRDefault="007046A5">
            <w:pPr>
              <w:jc w:val="center"/>
            </w:pPr>
            <w:r>
              <w:rPr>
                <w:sz w:val="24"/>
              </w:rPr>
              <w:t>7</w:t>
            </w:r>
            <w:r>
              <w:rPr>
                <w:sz w:val="24"/>
              </w:rPr>
              <w:t>年</w:t>
            </w:r>
          </w:p>
        </w:tc>
        <w:tc>
          <w:tcPr>
            <w:tcW w:w="3040" w:type="dxa"/>
            <w:vAlign w:val="center"/>
          </w:tcPr>
          <w:p w:rsidR="00D06467" w:rsidRDefault="007046A5">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w:t>
            </w:r>
            <w:r>
              <w:rPr>
                <w:sz w:val="24"/>
              </w:rPr>
              <w:t>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06467" w:rsidRDefault="007046A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D06467" w:rsidRDefault="007046A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06467" w:rsidRDefault="007046A5">
      <w:pPr>
        <w:spacing w:before="29" w:line="288" w:lineRule="auto"/>
        <w:ind w:firstLineChars="200" w:firstLine="480"/>
        <w:rPr>
          <w:color w:val="000000"/>
          <w:sz w:val="24"/>
        </w:rPr>
      </w:pPr>
      <w:r>
        <w:rPr>
          <w:color w:val="000000"/>
          <w:sz w:val="24"/>
        </w:rPr>
        <w:t>公司建立资源共享的投资研究信息平台</w:t>
      </w:r>
      <w:r>
        <w:rPr>
          <w:color w:val="000000"/>
          <w:sz w:val="24"/>
        </w:rPr>
        <w:t>，确保各投资组合在获得投资信息、投资建议和实施投资决策方面享有公平的机会。公司在交易执行环节实行集中交易制度，建立公平的交易分配制度。对于交易所公开竞价交易，遵循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06467" w:rsidRDefault="007046A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w:t>
      </w:r>
      <w:r>
        <w:rPr>
          <w:color w:val="000000"/>
          <w:sz w:val="24"/>
        </w:rPr>
        <w:t>、分投资类别的收益率差异以及不同时间窗口同向交易的交易价差进行分析，通过分析评估和信息披露来加强对公平交易过程和结果的监督。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D06467" w:rsidRDefault="007046A5">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color w:val="000000"/>
          <w:sz w:val="24"/>
        </w:rPr>
        <w:t>PMI</w:t>
      </w:r>
      <w:r>
        <w:rPr>
          <w:color w:val="000000"/>
          <w:sz w:val="24"/>
        </w:rPr>
        <w:t>回升，房地产与基建投资带动固定资产投资增速回升。但是形势在二季度发生了逆转。中美贸易谈判在五月再次遇阻，美方在贸易与科技等领域对我国进一步施压。二季度中采制造业</w:t>
      </w:r>
      <w:r>
        <w:rPr>
          <w:color w:val="000000"/>
          <w:sz w:val="24"/>
        </w:rPr>
        <w:t>PMI</w:t>
      </w:r>
      <w:r>
        <w:rPr>
          <w:color w:val="000000"/>
          <w:sz w:val="24"/>
        </w:rPr>
        <w:t>再次降至荣枯线以下，房地产投资增速从高位开始下降，基建投资稳增长乏力，固定资产投资增速下行承压。受猪肉与果蔬等价格大幅上涨的结构性因素影响，上半年国内</w:t>
      </w:r>
      <w:r>
        <w:rPr>
          <w:color w:val="000000"/>
          <w:sz w:val="24"/>
        </w:rPr>
        <w:t>C</w:t>
      </w:r>
      <w:r>
        <w:rPr>
          <w:color w:val="000000"/>
          <w:sz w:val="24"/>
        </w:rPr>
        <w:t>PI</w:t>
      </w:r>
      <w:r>
        <w:rPr>
          <w:color w:val="000000"/>
          <w:sz w:val="24"/>
        </w:rPr>
        <w:t>上行承压。</w:t>
      </w:r>
      <w:r>
        <w:rPr>
          <w:color w:val="000000"/>
          <w:sz w:val="24"/>
        </w:rPr>
        <w:t xml:space="preserve"> </w:t>
      </w:r>
    </w:p>
    <w:p w:rsidR="00D06467" w:rsidRDefault="007046A5">
      <w:pPr>
        <w:spacing w:before="29" w:line="288" w:lineRule="auto"/>
        <w:ind w:firstLineChars="200" w:firstLine="480"/>
        <w:rPr>
          <w:color w:val="000000"/>
          <w:sz w:val="24"/>
        </w:rPr>
      </w:pPr>
      <w:r>
        <w:rPr>
          <w:color w:val="000000"/>
          <w:sz w:val="24"/>
        </w:rPr>
        <w:t>货币政策上，受较复杂的经济形势影响，央行货币政策操作边际有所变化，但整体上相对谨慎。一月初央行降准</w:t>
      </w:r>
      <w:r>
        <w:rPr>
          <w:color w:val="000000"/>
          <w:sz w:val="24"/>
        </w:rPr>
        <w:t>1</w:t>
      </w:r>
      <w:r>
        <w:rPr>
          <w:color w:val="000000"/>
          <w:sz w:val="24"/>
        </w:rPr>
        <w:t>个百分点，再次释放流动性以支持实体经济发展，但同时加大了公开市场回笼力度，一季度央行在公开市场净回笼</w:t>
      </w:r>
      <w:r>
        <w:rPr>
          <w:color w:val="000000"/>
          <w:sz w:val="24"/>
        </w:rPr>
        <w:t>1.8</w:t>
      </w:r>
      <w:r>
        <w:rPr>
          <w:color w:val="00000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D06467" w:rsidRDefault="007046A5">
      <w:pPr>
        <w:spacing w:before="29" w:line="288" w:lineRule="auto"/>
        <w:ind w:firstLineChars="200" w:firstLine="480"/>
        <w:rPr>
          <w:color w:val="000000"/>
          <w:sz w:val="24"/>
        </w:rPr>
      </w:pPr>
      <w:r>
        <w:rPr>
          <w:color w:val="000000"/>
          <w:sz w:val="24"/>
        </w:rPr>
        <w:t>资金面上，受降准、缴税以及个别银行信用风险暴露等因素影响，上半年货币市场资金面有些波折。</w:t>
      </w:r>
      <w:r>
        <w:rPr>
          <w:color w:val="000000"/>
          <w:sz w:val="24"/>
        </w:rPr>
        <w:t>一季度资金面整体上较为宽松，；但是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w:t>
      </w:r>
      <w:r>
        <w:rPr>
          <w:color w:val="000000"/>
          <w:sz w:val="24"/>
        </w:rPr>
        <w:t>上呈震荡整理格局。</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报告期内本基金保持适度流动性以期满足基金份额持有人潜在赎回需求，同时严格管控信用风险，择机调整组合杠杆与久期。根据市场情况灵活调整存款存单与短融等投资品种的配置比例，择机加大存款存单以及短融等的配置力度，为持有人创造了稳健的回报。</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2019</w:t>
      </w:r>
      <w:r w:rsidRPr="0061644B">
        <w:rPr>
          <w:color w:val="000000"/>
          <w:sz w:val="24"/>
        </w:rPr>
        <w:t>年下半年，考虑中美贸易谈判前景尚不明朗，以及固定资产投资增长乏力等因素，国内经济继续放缓的概率较高。但是，大阪</w:t>
      </w:r>
      <w:r w:rsidRPr="0061644B">
        <w:rPr>
          <w:color w:val="000000"/>
          <w:sz w:val="24"/>
        </w:rPr>
        <w:t>G20</w:t>
      </w:r>
      <w:r w:rsidRPr="0061644B">
        <w:rPr>
          <w:color w:val="000000"/>
          <w:sz w:val="24"/>
        </w:rPr>
        <w:t>中美元首会晤后中美贸易谈判重启，</w:t>
      </w:r>
      <w:r w:rsidRPr="0061644B">
        <w:rPr>
          <w:color w:val="000000"/>
          <w:sz w:val="24"/>
        </w:rPr>
        <w:t>5G</w:t>
      </w:r>
      <w:r w:rsidRPr="0061644B">
        <w:rPr>
          <w:color w:val="00000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跟踪研判宏观经济走势与央行货币政策操作，保持组合较好的流动性，力求把握市场机会，尽力控制风险，努力为投资者创造稳健的回报。</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D06467" w:rsidRDefault="007046A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06467" w:rsidRDefault="007046A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w:t>
      </w:r>
      <w:r>
        <w:rPr>
          <w:color w:val="000000"/>
          <w:sz w:val="24"/>
        </w:rPr>
        <w:t>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遵照法律法规及基金合同的约定，本基金每日分配收益，按运作期结转份额。本基金本报告期内利润分配情况参见</w:t>
      </w:r>
      <w:r w:rsidR="007046A5" w:rsidRPr="007046A5">
        <w:rPr>
          <w:rFonts w:hint="eastAsia"/>
          <w:color w:val="000000"/>
          <w:sz w:val="24"/>
        </w:rPr>
        <w:t>半年度报告正文</w:t>
      </w:r>
      <w:bookmarkStart w:id="7" w:name="_GoBack"/>
      <w:bookmarkEnd w:id="7"/>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D06467" w:rsidRDefault="007046A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报告期内，本基金</w:t>
      </w:r>
      <w:r w:rsidRPr="0061644B">
        <w:rPr>
          <w:color w:val="000000"/>
          <w:sz w:val="24"/>
        </w:rPr>
        <w:t>A</w:t>
      </w:r>
      <w:r w:rsidRPr="0061644B">
        <w:rPr>
          <w:color w:val="000000"/>
          <w:sz w:val="24"/>
        </w:rPr>
        <w:t>级实施利润分配的金额为</w:t>
      </w:r>
      <w:r w:rsidRPr="0061644B">
        <w:rPr>
          <w:color w:val="000000"/>
          <w:sz w:val="24"/>
        </w:rPr>
        <w:t>132,235.79</w:t>
      </w:r>
      <w:r w:rsidRPr="0061644B">
        <w:rPr>
          <w:color w:val="000000"/>
          <w:sz w:val="24"/>
        </w:rPr>
        <w:t>，</w:t>
      </w:r>
      <w:r w:rsidRPr="0061644B">
        <w:rPr>
          <w:color w:val="000000"/>
          <w:sz w:val="24"/>
        </w:rPr>
        <w:t>C</w:t>
      </w:r>
      <w:r w:rsidRPr="0061644B">
        <w:rPr>
          <w:color w:val="000000"/>
          <w:sz w:val="24"/>
        </w:rPr>
        <w:t>级实施利润分配的金额为</w:t>
      </w:r>
      <w:r w:rsidRPr="0061644B">
        <w:rPr>
          <w:color w:val="000000"/>
          <w:sz w:val="24"/>
        </w:rPr>
        <w:t>158,054,564.48</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本托管人复核审查了本报告中的财务指标、净值表现、利润分配情况、财务会计报告、投资组合报告等内容，保证复核内容不存在虚假记载、误导性陈述或者重大遗漏。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60</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1,405,313,808.92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1,971,037,495.79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7,694,678,762.05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10,455,260,807.92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7,662,923,878.21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10,383,305,807.92</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31,754,883.84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71,955,000.00</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26,487,761.58</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37,898,499.03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9,126,480,332.55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12,464,196,802.74</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1,127,173,326.41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645,259,032.10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1,417,897.64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2,015,111.79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567,159.05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806,044.75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73,184.91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103,293.78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41,409.52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71,460.06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96,534.34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221,320.72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218,186.86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537,126.43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28,437,644.76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46,067,803.39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142,938.76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299,300.00</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1,158,168,282.25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695,380,493.02</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7,968,312,050.30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11,768,816,309.72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7,968,312,050.30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11,768,816,309.72</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9,126,480,332.55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12,464,196,802.74</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7,968,312,050.30</w:t>
      </w:r>
      <w:r w:rsidRPr="0061644B">
        <w:rPr>
          <w:kern w:val="0"/>
          <w:sz w:val="24"/>
        </w:rPr>
        <w:t>份，其中</w:t>
      </w:r>
      <w:r w:rsidRPr="0061644B">
        <w:rPr>
          <w:kern w:val="0"/>
          <w:sz w:val="24"/>
        </w:rPr>
        <w:t>A</w:t>
      </w:r>
      <w:r w:rsidRPr="0061644B">
        <w:rPr>
          <w:kern w:val="0"/>
          <w:sz w:val="24"/>
        </w:rPr>
        <w:t>类基金份额：</w:t>
      </w:r>
      <w:r w:rsidRPr="0061644B">
        <w:rPr>
          <w:kern w:val="0"/>
          <w:sz w:val="24"/>
        </w:rPr>
        <w:t>10,126,739.69</w:t>
      </w:r>
      <w:r w:rsidRPr="0061644B">
        <w:rPr>
          <w:kern w:val="0"/>
          <w:sz w:val="24"/>
        </w:rPr>
        <w:t>份，</w:t>
      </w:r>
      <w:r w:rsidRPr="0061644B">
        <w:rPr>
          <w:kern w:val="0"/>
          <w:sz w:val="24"/>
        </w:rPr>
        <w:t>B</w:t>
      </w:r>
      <w:r w:rsidRPr="0061644B">
        <w:rPr>
          <w:kern w:val="0"/>
          <w:sz w:val="24"/>
        </w:rPr>
        <w:t>类基金份额：</w:t>
      </w:r>
      <w:r w:rsidRPr="0061644B">
        <w:rPr>
          <w:kern w:val="0"/>
          <w:sz w:val="24"/>
        </w:rPr>
        <w:t>7,958,185,310.61</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183,489,811.93</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323,657,794.25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182,765,086.17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322,891,445.65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32,019,863.51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125,016,259.27</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148,033,344.12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195,099,888.98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1,026,395.80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988,599.17</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1,685,482.74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1,786,698.23</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724,725.76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766,348.60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724,725.76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766,348.60</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25,303,011.66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35,787,112.12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9,506,466.94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12,322,894.32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3,802,586.83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4,929,157.74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487,993.38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628,279.80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11,251,369.13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17,631,306.04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11,251,369.13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17,631,306.04</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69,019.50</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40,124.33</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185,575.88</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235,349.89</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158,186,800.27</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287,870,682.13</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158,186,800.27</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287,870,682.13</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60</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11,768,816,309.72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11,768,816,309.72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158,186,800.27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-3,800,504,259.42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-3,800,504,259.42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156,899,404.06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156,899,404.06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-3,957,403,663.48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-3,957,403,663.48</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-158,186,800.27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-158,186,800.27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7,968,312,050.30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7,968,312,050.30</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4,956,910,670.56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8,923,740,330.33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8,923,740,330.33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17,463,547,802.13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17,463,547,802.13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-8,539,807,471.80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-8,539,807,471.80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-287,870,682.13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13,880,651,000.89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13,880,651,000.89</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D06467" w:rsidRDefault="007046A5">
      <w:pPr>
        <w:spacing w:before="29" w:line="288" w:lineRule="auto"/>
        <w:ind w:firstLineChars="200" w:firstLine="480"/>
        <w:rPr>
          <w:color w:val="000000"/>
          <w:sz w:val="24"/>
        </w:rPr>
      </w:pPr>
      <w:r>
        <w:rPr>
          <w:color w:val="000000"/>
          <w:sz w:val="24"/>
        </w:rPr>
        <w:t>交银施罗德理财</w:t>
      </w:r>
      <w:r>
        <w:rPr>
          <w:color w:val="000000"/>
          <w:sz w:val="24"/>
        </w:rPr>
        <w:t>60</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[2012]1768</w:t>
      </w:r>
      <w:r>
        <w:rPr>
          <w:color w:val="000000"/>
          <w:sz w:val="24"/>
        </w:rPr>
        <w:t>号《关于核准交银施罗德理财</w:t>
      </w:r>
      <w:r>
        <w:rPr>
          <w:color w:val="000000"/>
          <w:sz w:val="24"/>
        </w:rPr>
        <w:t>60</w:t>
      </w:r>
      <w:r>
        <w:rPr>
          <w:color w:val="000000"/>
          <w:sz w:val="24"/>
        </w:rPr>
        <w:t>天债券型证券投资基金募集的批复》核准，由交银施罗德基金管理有限公司依照《中华人民共和国证券投资基金法》和《交银施罗德理财</w:t>
      </w:r>
      <w:r>
        <w:rPr>
          <w:color w:val="000000"/>
          <w:sz w:val="24"/>
        </w:rPr>
        <w:t>60</w:t>
      </w:r>
      <w:r>
        <w:rPr>
          <w:color w:val="000000"/>
          <w:sz w:val="24"/>
        </w:rPr>
        <w:t>天债券型证券投资基金基金合同》负责公开募集。本基金为契约型开放式证券投资基金，存续期限不定。首次设立募集不包括认购资金利息共募集人民币</w:t>
      </w:r>
      <w:r>
        <w:rPr>
          <w:color w:val="000000"/>
          <w:sz w:val="24"/>
        </w:rPr>
        <w:t>777,735,040.55</w:t>
      </w:r>
      <w:r>
        <w:rPr>
          <w:color w:val="000000"/>
          <w:sz w:val="24"/>
        </w:rPr>
        <w:t>元，业经普华永道中天会计师事务所有限公司普华永道中天验字</w:t>
      </w:r>
      <w:r>
        <w:rPr>
          <w:color w:val="000000"/>
          <w:sz w:val="24"/>
        </w:rPr>
        <w:t>(</w:t>
      </w:r>
      <w:r>
        <w:rPr>
          <w:color w:val="000000"/>
          <w:sz w:val="24"/>
        </w:rPr>
        <w:t>2013)</w:t>
      </w:r>
      <w:r>
        <w:rPr>
          <w:color w:val="000000"/>
          <w:sz w:val="24"/>
        </w:rPr>
        <w:t>第</w:t>
      </w:r>
      <w:r>
        <w:rPr>
          <w:color w:val="000000"/>
          <w:sz w:val="24"/>
        </w:rPr>
        <w:t>131</w:t>
      </w:r>
      <w:r>
        <w:rPr>
          <w:color w:val="000000"/>
          <w:sz w:val="24"/>
        </w:rPr>
        <w:t>号验资报告予以验证。经向中国证监会备案，《交银施罗德理财</w:t>
      </w:r>
      <w:r>
        <w:rPr>
          <w:color w:val="000000"/>
          <w:sz w:val="24"/>
        </w:rPr>
        <w:t>60</w:t>
      </w:r>
      <w:r>
        <w:rPr>
          <w:color w:val="000000"/>
          <w:sz w:val="24"/>
        </w:rPr>
        <w:t>天债券型证券投资基金基金合同》于</w:t>
      </w:r>
      <w:r>
        <w:rPr>
          <w:color w:val="000000"/>
          <w:sz w:val="24"/>
        </w:rPr>
        <w:t>2013</w:t>
      </w:r>
      <w:r>
        <w:rPr>
          <w:color w:val="000000"/>
          <w:sz w:val="24"/>
        </w:rPr>
        <w:t>年</w:t>
      </w:r>
      <w:r>
        <w:rPr>
          <w:color w:val="000000"/>
          <w:sz w:val="24"/>
        </w:rPr>
        <w:t>3</w:t>
      </w:r>
      <w:r>
        <w:rPr>
          <w:color w:val="000000"/>
          <w:sz w:val="24"/>
        </w:rPr>
        <w:t>月</w:t>
      </w:r>
      <w:r>
        <w:rPr>
          <w:color w:val="000000"/>
          <w:sz w:val="24"/>
        </w:rPr>
        <w:t>13</w:t>
      </w:r>
      <w:r>
        <w:rPr>
          <w:color w:val="000000"/>
          <w:sz w:val="24"/>
        </w:rPr>
        <w:t>日正式生效，基金合同生效日的基金份额总额为</w:t>
      </w:r>
      <w:r>
        <w:rPr>
          <w:color w:val="000000"/>
          <w:sz w:val="24"/>
        </w:rPr>
        <w:t>777,917,201.14</w:t>
      </w:r>
      <w:r>
        <w:rPr>
          <w:color w:val="000000"/>
          <w:sz w:val="24"/>
        </w:rPr>
        <w:t>份基金份额，其中认购资金利息折合</w:t>
      </w:r>
      <w:r>
        <w:rPr>
          <w:color w:val="000000"/>
          <w:sz w:val="24"/>
        </w:rPr>
        <w:t>182,160.59</w:t>
      </w:r>
      <w:r>
        <w:rPr>
          <w:color w:val="000000"/>
          <w:sz w:val="24"/>
        </w:rPr>
        <w:t>份基金份额。本基金的基金管理人为交银施罗德基金管理有限公司，基金托管人为中国建设银行股份有限公司。</w:t>
      </w:r>
    </w:p>
    <w:p w:rsidR="00D06467" w:rsidRDefault="007046A5">
      <w:pPr>
        <w:spacing w:before="29" w:line="288" w:lineRule="auto"/>
        <w:ind w:firstLineChars="200" w:firstLine="480"/>
        <w:rPr>
          <w:color w:val="000000"/>
          <w:sz w:val="24"/>
        </w:rPr>
      </w:pPr>
      <w:r>
        <w:rPr>
          <w:color w:val="000000"/>
          <w:sz w:val="24"/>
        </w:rPr>
        <w:t>根据《交银施罗德理财</w:t>
      </w:r>
      <w:r>
        <w:rPr>
          <w:color w:val="000000"/>
          <w:sz w:val="24"/>
        </w:rPr>
        <w:t>60</w:t>
      </w:r>
      <w:r>
        <w:rPr>
          <w:color w:val="000000"/>
          <w:sz w:val="24"/>
        </w:rPr>
        <w:t>天债券型证券投资基金基金合同》和《交银施罗德理财</w:t>
      </w:r>
      <w:r>
        <w:rPr>
          <w:color w:val="000000"/>
          <w:sz w:val="24"/>
        </w:rPr>
        <w:t>60</w:t>
      </w:r>
      <w:r>
        <w:rPr>
          <w:color w:val="000000"/>
          <w:sz w:val="24"/>
        </w:rPr>
        <w:t>天债券型证券投资基金招募说明书》，本基金根据投资人持有本基金的份额数量，对投资人持有的</w:t>
      </w:r>
      <w:r>
        <w:rPr>
          <w:color w:val="000000"/>
          <w:sz w:val="24"/>
        </w:rPr>
        <w:t>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类两类基金份额。两类基金份额分别公布每万份基金净收益和七日年化收益率。</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60</w:t>
      </w:r>
      <w:r w:rsidRPr="0061644B">
        <w:rPr>
          <w:color w:val="000000"/>
          <w:sz w:val="24"/>
        </w:rPr>
        <w:t>天债券型证券投资基金基金合同》的有关规定，本基金的投资范围为具有良好流动性的金融工具，包括现金，通知存款，一年以内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的中央银行票据和短期融资券，以及法律法规或中国证监会允许本基金投资的其他固定收益类金融工具及相关衍生工具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D06467" w:rsidRDefault="007046A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w:t>
      </w:r>
      <w:r>
        <w:rPr>
          <w:color w:val="000000"/>
          <w:sz w:val="24"/>
        </w:rPr>
        <w:t>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颁布的《证券投资基金会计核算业务指引》、《交银施罗德理财</w:t>
      </w:r>
      <w:r>
        <w:rPr>
          <w:color w:val="000000"/>
          <w:sz w:val="24"/>
        </w:rPr>
        <w:t>60</w:t>
      </w:r>
      <w:r>
        <w:rPr>
          <w:color w:val="000000"/>
          <w:sz w:val="24"/>
        </w:rPr>
        <w:t>天债券型证券投资基金基金合同》和在财务报表附注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0"/>
        <w:rPr>
          <w:color w:val="000000"/>
          <w:sz w:val="24"/>
        </w:rPr>
      </w:pPr>
      <w:r w:rsidRPr="0061644B">
        <w:rPr>
          <w:color w:val="000000"/>
          <w:sz w:val="24"/>
        </w:rPr>
        <w:t>本财务报表以持续经营为基础编制。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D06467" w:rsidRDefault="007046A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D06467" w:rsidRDefault="00D06467">
      <w:pPr>
        <w:spacing w:before="29" w:line="288" w:lineRule="auto"/>
        <w:ind w:firstLineChars="200" w:firstLine="480"/>
        <w:rPr>
          <w:color w:val="000000"/>
          <w:sz w:val="24"/>
        </w:rPr>
      </w:pPr>
    </w:p>
    <w:p w:rsidR="00D06467" w:rsidRDefault="007046A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06467" w:rsidRDefault="00D06467">
      <w:pPr>
        <w:spacing w:before="29" w:line="288" w:lineRule="auto"/>
        <w:ind w:firstLineChars="200" w:firstLine="480"/>
        <w:rPr>
          <w:color w:val="000000"/>
          <w:sz w:val="24"/>
        </w:rPr>
      </w:pPr>
    </w:p>
    <w:p w:rsidR="00D06467" w:rsidRDefault="007046A5">
      <w:pPr>
        <w:spacing w:before="29" w:line="288" w:lineRule="auto"/>
        <w:ind w:firstLineChars="200" w:firstLine="480"/>
        <w:rPr>
          <w:color w:val="000000"/>
          <w:sz w:val="24"/>
        </w:rPr>
      </w:pPr>
      <w:r>
        <w:rPr>
          <w:color w:val="000000"/>
          <w:sz w:val="24"/>
        </w:rPr>
        <w:t>对证券投资基金管理人运用基金买卖债券的转让</w:t>
      </w:r>
      <w:r>
        <w:rPr>
          <w:color w:val="000000"/>
          <w:sz w:val="24"/>
        </w:rPr>
        <w:t>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06467" w:rsidRDefault="00D06467">
      <w:pPr>
        <w:spacing w:before="29" w:line="288" w:lineRule="auto"/>
        <w:ind w:firstLineChars="200" w:firstLine="480"/>
        <w:rPr>
          <w:color w:val="000000"/>
          <w:sz w:val="24"/>
        </w:rPr>
      </w:pPr>
    </w:p>
    <w:p w:rsidR="00D06467" w:rsidRDefault="007046A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D06467" w:rsidRDefault="00D06467">
      <w:pPr>
        <w:spacing w:before="29" w:line="288" w:lineRule="auto"/>
        <w:ind w:firstLineChars="200" w:firstLine="480"/>
        <w:rPr>
          <w:color w:val="000000"/>
          <w:sz w:val="24"/>
        </w:rPr>
      </w:pPr>
    </w:p>
    <w:p w:rsidR="00D06467" w:rsidRDefault="007046A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D06467" w:rsidRDefault="00D06467">
      <w:pPr>
        <w:spacing w:before="29" w:line="288" w:lineRule="auto"/>
        <w:ind w:firstLineChars="200" w:firstLine="480"/>
        <w:rPr>
          <w:color w:val="000000"/>
          <w:sz w:val="24"/>
        </w:rPr>
      </w:pP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D06467">
        <w:tc>
          <w:tcPr>
            <w:tcW w:w="5219" w:type="dxa"/>
            <w:vAlign w:val="center"/>
          </w:tcPr>
          <w:p w:rsidR="00D06467" w:rsidRDefault="007046A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06467" w:rsidRDefault="007046A5">
            <w:pPr>
              <w:jc w:val="left"/>
            </w:pPr>
            <w:r>
              <w:rPr>
                <w:color w:val="000000"/>
                <w:sz w:val="24"/>
              </w:rPr>
              <w:t>基金管理人、基金销售机构</w:t>
            </w:r>
          </w:p>
        </w:tc>
      </w:tr>
      <w:tr w:rsidR="00D06467">
        <w:tc>
          <w:tcPr>
            <w:tcW w:w="5219" w:type="dxa"/>
            <w:vAlign w:val="center"/>
          </w:tcPr>
          <w:p w:rsidR="00D06467" w:rsidRDefault="007046A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06467" w:rsidRDefault="007046A5">
            <w:pPr>
              <w:jc w:val="left"/>
            </w:pPr>
            <w:r>
              <w:rPr>
                <w:color w:val="000000"/>
                <w:sz w:val="24"/>
              </w:rPr>
              <w:t>基金托管人、基金销售机构</w:t>
            </w:r>
          </w:p>
        </w:tc>
      </w:tr>
      <w:tr w:rsidR="00D06467">
        <w:tc>
          <w:tcPr>
            <w:tcW w:w="5219" w:type="dxa"/>
            <w:vAlign w:val="center"/>
          </w:tcPr>
          <w:p w:rsidR="00D06467" w:rsidRDefault="007046A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06467" w:rsidRDefault="007046A5">
            <w:pPr>
              <w:jc w:val="left"/>
            </w:pPr>
            <w:r>
              <w:rPr>
                <w:color w:val="000000"/>
                <w:sz w:val="24"/>
              </w:rPr>
              <w:t>基金管理人的股东、基金销售机构</w:t>
            </w:r>
          </w:p>
        </w:tc>
      </w:tr>
      <w:tr w:rsidR="00D06467">
        <w:tc>
          <w:tcPr>
            <w:tcW w:w="5219" w:type="dxa"/>
            <w:vAlign w:val="center"/>
          </w:tcPr>
          <w:p w:rsidR="00D06467" w:rsidRDefault="007046A5">
            <w:pPr>
              <w:jc w:val="left"/>
            </w:pPr>
            <w:r>
              <w:rPr>
                <w:color w:val="000000"/>
                <w:sz w:val="24"/>
              </w:rPr>
              <w:t>上海直源投资管理有限公司</w:t>
            </w:r>
          </w:p>
        </w:tc>
        <w:tc>
          <w:tcPr>
            <w:tcW w:w="3779" w:type="dxa"/>
            <w:vAlign w:val="center"/>
          </w:tcPr>
          <w:p w:rsidR="00D06467" w:rsidRDefault="007046A5">
            <w:pPr>
              <w:jc w:val="left"/>
            </w:pPr>
            <w:r>
              <w:rPr>
                <w:color w:val="000000"/>
                <w:sz w:val="24"/>
              </w:rPr>
              <w:t>受基金管理人控制的公司</w:t>
            </w:r>
          </w:p>
        </w:tc>
      </w:tr>
      <w:tr w:rsidR="00D06467">
        <w:tc>
          <w:tcPr>
            <w:tcW w:w="5219" w:type="dxa"/>
            <w:vAlign w:val="center"/>
          </w:tcPr>
          <w:p w:rsidR="00D06467" w:rsidRDefault="007046A5">
            <w:pPr>
              <w:jc w:val="left"/>
            </w:pPr>
            <w:r>
              <w:rPr>
                <w:color w:val="000000"/>
                <w:sz w:val="24"/>
              </w:rPr>
              <w:t>交银施罗德资产管理有限公司</w:t>
            </w:r>
          </w:p>
        </w:tc>
        <w:tc>
          <w:tcPr>
            <w:tcW w:w="3779" w:type="dxa"/>
            <w:vAlign w:val="center"/>
          </w:tcPr>
          <w:p w:rsidR="00D06467" w:rsidRDefault="007046A5">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9,506,466.94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12,322,894.32</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2,575.27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3,485.99</w:t>
            </w:r>
          </w:p>
        </w:tc>
      </w:tr>
    </w:tbl>
    <w:p w:rsidR="00D06467" w:rsidRDefault="007046A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×0.20%÷</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3,802,586.83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4,929,157.74</w:t>
            </w:r>
          </w:p>
        </w:tc>
      </w:tr>
    </w:tbl>
    <w:p w:rsidR="00D06467" w:rsidRDefault="007046A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D06467">
        <w:tc>
          <w:tcPr>
            <w:tcW w:w="1944" w:type="dxa"/>
            <w:vAlign w:val="center"/>
          </w:tcPr>
          <w:p w:rsidR="00D06467" w:rsidRDefault="007046A5">
            <w:pPr>
              <w:jc w:val="center"/>
            </w:pPr>
            <w:r>
              <w:rPr>
                <w:sz w:val="24"/>
              </w:rPr>
              <w:t>交银施罗德基金公司</w:t>
            </w:r>
          </w:p>
        </w:tc>
        <w:tc>
          <w:tcPr>
            <w:tcW w:w="2351" w:type="dxa"/>
            <w:vAlign w:val="center"/>
          </w:tcPr>
          <w:p w:rsidR="00D06467" w:rsidRDefault="007046A5">
            <w:pPr>
              <w:jc w:val="center"/>
            </w:pPr>
            <w:r>
              <w:rPr>
                <w:sz w:val="24"/>
              </w:rPr>
              <w:t>6,509.15</w:t>
            </w:r>
          </w:p>
        </w:tc>
        <w:tc>
          <w:tcPr>
            <w:tcW w:w="2351" w:type="dxa"/>
            <w:vAlign w:val="center"/>
          </w:tcPr>
          <w:p w:rsidR="00D06467" w:rsidRDefault="007046A5">
            <w:pPr>
              <w:jc w:val="center"/>
            </w:pPr>
            <w:r>
              <w:rPr>
                <w:sz w:val="24"/>
              </w:rPr>
              <w:t>474,886.45</w:t>
            </w:r>
          </w:p>
        </w:tc>
        <w:tc>
          <w:tcPr>
            <w:tcW w:w="2352" w:type="dxa"/>
            <w:vAlign w:val="center"/>
          </w:tcPr>
          <w:p w:rsidR="00D06467" w:rsidRDefault="007046A5">
            <w:pPr>
              <w:jc w:val="center"/>
            </w:pPr>
            <w:r>
              <w:rPr>
                <w:sz w:val="24"/>
              </w:rPr>
              <w:t>481,395.60</w:t>
            </w:r>
          </w:p>
        </w:tc>
      </w:tr>
      <w:tr w:rsidR="00D06467">
        <w:tc>
          <w:tcPr>
            <w:tcW w:w="1944" w:type="dxa"/>
            <w:vAlign w:val="center"/>
          </w:tcPr>
          <w:p w:rsidR="00D06467" w:rsidRDefault="007046A5">
            <w:pPr>
              <w:jc w:val="center"/>
            </w:pPr>
            <w:r>
              <w:rPr>
                <w:sz w:val="24"/>
              </w:rPr>
              <w:t>中国建设银行</w:t>
            </w:r>
          </w:p>
        </w:tc>
        <w:tc>
          <w:tcPr>
            <w:tcW w:w="2351" w:type="dxa"/>
            <w:vAlign w:val="center"/>
          </w:tcPr>
          <w:p w:rsidR="00D06467" w:rsidRDefault="007046A5">
            <w:pPr>
              <w:jc w:val="center"/>
            </w:pPr>
            <w:r>
              <w:rPr>
                <w:sz w:val="24"/>
              </w:rPr>
              <w:t>1,242.71</w:t>
            </w:r>
          </w:p>
        </w:tc>
        <w:tc>
          <w:tcPr>
            <w:tcW w:w="2351" w:type="dxa"/>
            <w:vAlign w:val="center"/>
          </w:tcPr>
          <w:p w:rsidR="00D06467" w:rsidRDefault="007046A5">
            <w:pPr>
              <w:jc w:val="center"/>
            </w:pPr>
            <w:r>
              <w:rPr>
                <w:sz w:val="24"/>
              </w:rPr>
              <w:t>-</w:t>
            </w:r>
          </w:p>
        </w:tc>
        <w:tc>
          <w:tcPr>
            <w:tcW w:w="2352" w:type="dxa"/>
            <w:vAlign w:val="center"/>
          </w:tcPr>
          <w:p w:rsidR="00D06467" w:rsidRDefault="007046A5">
            <w:pPr>
              <w:jc w:val="center"/>
            </w:pPr>
            <w:r>
              <w:rPr>
                <w:sz w:val="24"/>
              </w:rPr>
              <w:t>1,242.71</w:t>
            </w:r>
          </w:p>
        </w:tc>
      </w:tr>
      <w:tr w:rsidR="00D06467">
        <w:tc>
          <w:tcPr>
            <w:tcW w:w="1944" w:type="dxa"/>
            <w:vAlign w:val="center"/>
          </w:tcPr>
          <w:p w:rsidR="00D06467" w:rsidRDefault="007046A5">
            <w:pPr>
              <w:jc w:val="center"/>
            </w:pPr>
            <w:r>
              <w:rPr>
                <w:sz w:val="24"/>
              </w:rPr>
              <w:t>交通银行</w:t>
            </w:r>
          </w:p>
        </w:tc>
        <w:tc>
          <w:tcPr>
            <w:tcW w:w="2351" w:type="dxa"/>
            <w:vAlign w:val="center"/>
          </w:tcPr>
          <w:p w:rsidR="00D06467" w:rsidRDefault="007046A5">
            <w:pPr>
              <w:jc w:val="center"/>
            </w:pPr>
            <w:r>
              <w:rPr>
                <w:sz w:val="24"/>
              </w:rPr>
              <w:t>3,763.39</w:t>
            </w:r>
          </w:p>
        </w:tc>
        <w:tc>
          <w:tcPr>
            <w:tcW w:w="2351" w:type="dxa"/>
            <w:vAlign w:val="center"/>
          </w:tcPr>
          <w:p w:rsidR="00D06467" w:rsidRDefault="007046A5">
            <w:pPr>
              <w:jc w:val="center"/>
            </w:pPr>
            <w:r>
              <w:rPr>
                <w:sz w:val="24"/>
              </w:rPr>
              <w:t>-</w:t>
            </w:r>
          </w:p>
        </w:tc>
        <w:tc>
          <w:tcPr>
            <w:tcW w:w="2352" w:type="dxa"/>
            <w:vAlign w:val="center"/>
          </w:tcPr>
          <w:p w:rsidR="00D06467" w:rsidRDefault="007046A5">
            <w:pPr>
              <w:jc w:val="center"/>
            </w:pPr>
            <w:r>
              <w:rPr>
                <w:sz w:val="24"/>
              </w:rPr>
              <w:t>3,763.39</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11,515.25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474,886.45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486,401.70</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60</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D06467">
        <w:tc>
          <w:tcPr>
            <w:tcW w:w="1944" w:type="dxa"/>
            <w:vAlign w:val="center"/>
          </w:tcPr>
          <w:p w:rsidR="00D06467" w:rsidRDefault="007046A5">
            <w:pPr>
              <w:jc w:val="center"/>
            </w:pPr>
            <w:r>
              <w:rPr>
                <w:sz w:val="24"/>
              </w:rPr>
              <w:t>交银施罗德基金公司</w:t>
            </w:r>
          </w:p>
        </w:tc>
        <w:tc>
          <w:tcPr>
            <w:tcW w:w="2351" w:type="dxa"/>
            <w:vAlign w:val="center"/>
          </w:tcPr>
          <w:p w:rsidR="00D06467" w:rsidRDefault="007046A5">
            <w:pPr>
              <w:jc w:val="center"/>
            </w:pPr>
            <w:r>
              <w:rPr>
                <w:sz w:val="24"/>
              </w:rPr>
              <w:t>4,159.43</w:t>
            </w:r>
          </w:p>
        </w:tc>
        <w:tc>
          <w:tcPr>
            <w:tcW w:w="2351" w:type="dxa"/>
            <w:vAlign w:val="center"/>
          </w:tcPr>
          <w:p w:rsidR="00D06467" w:rsidRDefault="007046A5">
            <w:pPr>
              <w:jc w:val="center"/>
            </w:pPr>
            <w:r>
              <w:rPr>
                <w:sz w:val="24"/>
              </w:rPr>
              <w:t>615,726.28</w:t>
            </w:r>
          </w:p>
        </w:tc>
        <w:tc>
          <w:tcPr>
            <w:tcW w:w="2352" w:type="dxa"/>
            <w:vAlign w:val="center"/>
          </w:tcPr>
          <w:p w:rsidR="00D06467" w:rsidRDefault="007046A5">
            <w:pPr>
              <w:jc w:val="center"/>
            </w:pPr>
            <w:r>
              <w:rPr>
                <w:sz w:val="24"/>
              </w:rPr>
              <w:t>619,885.71</w:t>
            </w:r>
          </w:p>
        </w:tc>
      </w:tr>
      <w:tr w:rsidR="00D06467">
        <w:tc>
          <w:tcPr>
            <w:tcW w:w="1944" w:type="dxa"/>
            <w:vAlign w:val="center"/>
          </w:tcPr>
          <w:p w:rsidR="00D06467" w:rsidRDefault="007046A5">
            <w:pPr>
              <w:jc w:val="center"/>
            </w:pPr>
            <w:r>
              <w:rPr>
                <w:sz w:val="24"/>
              </w:rPr>
              <w:t>中国建设银行</w:t>
            </w:r>
          </w:p>
        </w:tc>
        <w:tc>
          <w:tcPr>
            <w:tcW w:w="2351" w:type="dxa"/>
            <w:vAlign w:val="center"/>
          </w:tcPr>
          <w:p w:rsidR="00D06467" w:rsidRDefault="007046A5">
            <w:pPr>
              <w:jc w:val="center"/>
            </w:pPr>
            <w:r>
              <w:rPr>
                <w:sz w:val="24"/>
              </w:rPr>
              <w:t>1,730.66</w:t>
            </w:r>
          </w:p>
        </w:tc>
        <w:tc>
          <w:tcPr>
            <w:tcW w:w="2351" w:type="dxa"/>
            <w:vAlign w:val="center"/>
          </w:tcPr>
          <w:p w:rsidR="00D06467" w:rsidRDefault="007046A5">
            <w:pPr>
              <w:jc w:val="center"/>
            </w:pPr>
            <w:r>
              <w:rPr>
                <w:sz w:val="24"/>
              </w:rPr>
              <w:t>-</w:t>
            </w:r>
          </w:p>
        </w:tc>
        <w:tc>
          <w:tcPr>
            <w:tcW w:w="2352" w:type="dxa"/>
            <w:vAlign w:val="center"/>
          </w:tcPr>
          <w:p w:rsidR="00D06467" w:rsidRDefault="007046A5">
            <w:pPr>
              <w:jc w:val="center"/>
            </w:pPr>
            <w:r>
              <w:rPr>
                <w:sz w:val="24"/>
              </w:rPr>
              <w:t>1,730.66</w:t>
            </w:r>
          </w:p>
        </w:tc>
      </w:tr>
      <w:tr w:rsidR="00D06467">
        <w:tc>
          <w:tcPr>
            <w:tcW w:w="1944" w:type="dxa"/>
            <w:vAlign w:val="center"/>
          </w:tcPr>
          <w:p w:rsidR="00D06467" w:rsidRDefault="007046A5">
            <w:pPr>
              <w:jc w:val="center"/>
            </w:pPr>
            <w:r>
              <w:rPr>
                <w:sz w:val="24"/>
              </w:rPr>
              <w:t>交通银行</w:t>
            </w:r>
          </w:p>
        </w:tc>
        <w:tc>
          <w:tcPr>
            <w:tcW w:w="2351" w:type="dxa"/>
            <w:vAlign w:val="center"/>
          </w:tcPr>
          <w:p w:rsidR="00D06467" w:rsidRDefault="007046A5">
            <w:pPr>
              <w:jc w:val="center"/>
            </w:pPr>
            <w:r>
              <w:rPr>
                <w:sz w:val="24"/>
              </w:rPr>
              <w:t>3,136.34</w:t>
            </w:r>
          </w:p>
        </w:tc>
        <w:tc>
          <w:tcPr>
            <w:tcW w:w="2351" w:type="dxa"/>
            <w:vAlign w:val="center"/>
          </w:tcPr>
          <w:p w:rsidR="00D06467" w:rsidRDefault="007046A5">
            <w:pPr>
              <w:jc w:val="center"/>
            </w:pPr>
            <w:r>
              <w:rPr>
                <w:sz w:val="24"/>
              </w:rPr>
              <w:t>-</w:t>
            </w:r>
          </w:p>
        </w:tc>
        <w:tc>
          <w:tcPr>
            <w:tcW w:w="2352" w:type="dxa"/>
            <w:vAlign w:val="center"/>
          </w:tcPr>
          <w:p w:rsidR="00D06467" w:rsidRDefault="007046A5">
            <w:pPr>
              <w:jc w:val="center"/>
            </w:pPr>
            <w:r>
              <w:rPr>
                <w:sz w:val="24"/>
              </w:rPr>
              <w:t>3,136.34</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9,026.43</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615,726.28</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624,752.71</w:t>
            </w:r>
          </w:p>
        </w:tc>
      </w:tr>
    </w:tbl>
    <w:p w:rsidR="00D06467" w:rsidRDefault="007046A5">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D06467" w:rsidRDefault="007046A5">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交银理财</w:t>
      </w:r>
      <w:r w:rsidRPr="0061644B">
        <w:rPr>
          <w:sz w:val="24"/>
        </w:rPr>
        <w:t>60</w:t>
      </w:r>
      <w:r w:rsidRPr="0061644B">
        <w:rPr>
          <w:sz w:val="24"/>
        </w:rPr>
        <w:t>天债券</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60</w:t>
            </w:r>
            <w:r w:rsidRPr="0061644B">
              <w:rPr>
                <w:sz w:val="24"/>
              </w:rPr>
              <w:t>天债券</w:t>
            </w:r>
            <w:r w:rsidRPr="0061644B">
              <w:rPr>
                <w:sz w:val="24"/>
              </w:rPr>
              <w:t>B</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60</w:t>
            </w:r>
            <w:r w:rsidRPr="0061644B">
              <w:rPr>
                <w:sz w:val="24"/>
              </w:rPr>
              <w:t>天债券</w:t>
            </w:r>
            <w:r w:rsidRPr="0061644B">
              <w:rPr>
                <w:sz w:val="24"/>
              </w:rPr>
              <w:t>B</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D06467">
        <w:tc>
          <w:tcPr>
            <w:tcW w:w="1946" w:type="dxa"/>
            <w:vAlign w:val="center"/>
          </w:tcPr>
          <w:p w:rsidR="00D06467" w:rsidRDefault="007046A5">
            <w:pPr>
              <w:jc w:val="center"/>
            </w:pPr>
            <w:r>
              <w:rPr>
                <w:sz w:val="24"/>
              </w:rPr>
              <w:t>交银施罗德资产管理有限公司</w:t>
            </w:r>
          </w:p>
        </w:tc>
        <w:tc>
          <w:tcPr>
            <w:tcW w:w="2013" w:type="dxa"/>
            <w:vAlign w:val="center"/>
          </w:tcPr>
          <w:p w:rsidR="00D06467" w:rsidRDefault="007046A5">
            <w:pPr>
              <w:jc w:val="center"/>
            </w:pPr>
            <w:r>
              <w:rPr>
                <w:sz w:val="24"/>
              </w:rPr>
              <w:t>-</w:t>
            </w:r>
          </w:p>
        </w:tc>
        <w:tc>
          <w:tcPr>
            <w:tcW w:w="1565" w:type="dxa"/>
            <w:vAlign w:val="center"/>
          </w:tcPr>
          <w:p w:rsidR="00D06467" w:rsidRDefault="007046A5">
            <w:pPr>
              <w:jc w:val="center"/>
            </w:pPr>
            <w:r>
              <w:rPr>
                <w:sz w:val="24"/>
              </w:rPr>
              <w:t>-</w:t>
            </w:r>
          </w:p>
        </w:tc>
        <w:tc>
          <w:tcPr>
            <w:tcW w:w="1846" w:type="dxa"/>
            <w:vAlign w:val="center"/>
          </w:tcPr>
          <w:p w:rsidR="00D06467" w:rsidRDefault="007046A5">
            <w:pPr>
              <w:jc w:val="center"/>
            </w:pPr>
            <w:r>
              <w:rPr>
                <w:sz w:val="24"/>
              </w:rPr>
              <w:t>302,207,561.13</w:t>
            </w:r>
          </w:p>
        </w:tc>
        <w:tc>
          <w:tcPr>
            <w:tcW w:w="1628" w:type="dxa"/>
            <w:vAlign w:val="center"/>
          </w:tcPr>
          <w:p w:rsidR="00D06467" w:rsidRDefault="007046A5">
            <w:pPr>
              <w:jc w:val="center"/>
            </w:pPr>
            <w:r>
              <w:rPr>
                <w:sz w:val="24"/>
              </w:rPr>
              <w:t>2.57%</w:t>
            </w:r>
          </w:p>
        </w:tc>
      </w:tr>
      <w:tr w:rsidR="00D06467">
        <w:tc>
          <w:tcPr>
            <w:tcW w:w="1946" w:type="dxa"/>
            <w:vAlign w:val="center"/>
          </w:tcPr>
          <w:p w:rsidR="00D06467" w:rsidRDefault="007046A5">
            <w:pPr>
              <w:jc w:val="center"/>
            </w:pPr>
            <w:r>
              <w:rPr>
                <w:sz w:val="24"/>
              </w:rPr>
              <w:t>上海直源投资管理有限公司</w:t>
            </w:r>
          </w:p>
        </w:tc>
        <w:tc>
          <w:tcPr>
            <w:tcW w:w="2013" w:type="dxa"/>
            <w:vAlign w:val="center"/>
          </w:tcPr>
          <w:p w:rsidR="00D06467" w:rsidRDefault="007046A5">
            <w:pPr>
              <w:jc w:val="center"/>
            </w:pPr>
            <w:r>
              <w:rPr>
                <w:sz w:val="24"/>
              </w:rPr>
              <w:t>7,457,734.54</w:t>
            </w:r>
          </w:p>
        </w:tc>
        <w:tc>
          <w:tcPr>
            <w:tcW w:w="1565" w:type="dxa"/>
            <w:vAlign w:val="center"/>
          </w:tcPr>
          <w:p w:rsidR="00D06467" w:rsidRDefault="007046A5">
            <w:pPr>
              <w:jc w:val="center"/>
            </w:pPr>
            <w:r>
              <w:rPr>
                <w:sz w:val="24"/>
              </w:rPr>
              <w:t>0.09%</w:t>
            </w:r>
          </w:p>
        </w:tc>
        <w:tc>
          <w:tcPr>
            <w:tcW w:w="1846" w:type="dxa"/>
            <w:vAlign w:val="center"/>
          </w:tcPr>
          <w:p w:rsidR="00D06467" w:rsidRDefault="007046A5">
            <w:pPr>
              <w:jc w:val="center"/>
            </w:pPr>
            <w:r>
              <w:rPr>
                <w:sz w:val="24"/>
              </w:rPr>
              <w:t>7,335,018.45</w:t>
            </w:r>
          </w:p>
        </w:tc>
        <w:tc>
          <w:tcPr>
            <w:tcW w:w="1628" w:type="dxa"/>
            <w:vAlign w:val="center"/>
          </w:tcPr>
          <w:p w:rsidR="00D06467" w:rsidRDefault="007046A5">
            <w:pPr>
              <w:jc w:val="center"/>
            </w:pPr>
            <w:r>
              <w:rPr>
                <w:sz w:val="24"/>
              </w:rPr>
              <w:t>0.06%</w:t>
            </w:r>
          </w:p>
        </w:tc>
      </w:tr>
      <w:tr w:rsidR="00D06467">
        <w:tc>
          <w:tcPr>
            <w:tcW w:w="1946" w:type="dxa"/>
            <w:vAlign w:val="center"/>
          </w:tcPr>
          <w:p w:rsidR="00D06467" w:rsidRDefault="007046A5">
            <w:pPr>
              <w:jc w:val="center"/>
            </w:pPr>
            <w:r>
              <w:rPr>
                <w:sz w:val="24"/>
              </w:rPr>
              <w:t>交通银行股份有限公司</w:t>
            </w:r>
          </w:p>
        </w:tc>
        <w:tc>
          <w:tcPr>
            <w:tcW w:w="2013" w:type="dxa"/>
            <w:vAlign w:val="center"/>
          </w:tcPr>
          <w:p w:rsidR="00D06467" w:rsidRDefault="007046A5">
            <w:pPr>
              <w:jc w:val="center"/>
            </w:pPr>
            <w:r>
              <w:rPr>
                <w:sz w:val="24"/>
              </w:rPr>
              <w:t>-</w:t>
            </w:r>
          </w:p>
        </w:tc>
        <w:tc>
          <w:tcPr>
            <w:tcW w:w="1565" w:type="dxa"/>
            <w:vAlign w:val="center"/>
          </w:tcPr>
          <w:p w:rsidR="00D06467" w:rsidRDefault="007046A5">
            <w:pPr>
              <w:jc w:val="center"/>
            </w:pPr>
            <w:r>
              <w:rPr>
                <w:sz w:val="24"/>
              </w:rPr>
              <w:t>-</w:t>
            </w:r>
          </w:p>
        </w:tc>
        <w:tc>
          <w:tcPr>
            <w:tcW w:w="1846" w:type="dxa"/>
            <w:vAlign w:val="center"/>
          </w:tcPr>
          <w:p w:rsidR="00D06467" w:rsidRDefault="007046A5">
            <w:pPr>
              <w:jc w:val="center"/>
            </w:pPr>
            <w:r>
              <w:rPr>
                <w:sz w:val="24"/>
              </w:rPr>
              <w:t>16,044,082.18</w:t>
            </w:r>
          </w:p>
        </w:tc>
        <w:tc>
          <w:tcPr>
            <w:tcW w:w="1628" w:type="dxa"/>
            <w:vAlign w:val="center"/>
          </w:tcPr>
          <w:p w:rsidR="00D06467" w:rsidRDefault="007046A5">
            <w:pPr>
              <w:jc w:val="center"/>
            </w:pPr>
            <w:r>
              <w:rPr>
                <w:sz w:val="24"/>
              </w:rPr>
              <w:t>0.14%</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D06467">
        <w:tc>
          <w:tcPr>
            <w:tcW w:w="1799" w:type="dxa"/>
            <w:vAlign w:val="center"/>
          </w:tcPr>
          <w:p w:rsidR="00D06467" w:rsidRDefault="007046A5">
            <w:pPr>
              <w:jc w:val="center"/>
            </w:pPr>
            <w:r>
              <w:rPr>
                <w:sz w:val="24"/>
              </w:rPr>
              <w:t>中国建设银行</w:t>
            </w:r>
          </w:p>
        </w:tc>
        <w:tc>
          <w:tcPr>
            <w:tcW w:w="1799" w:type="dxa"/>
            <w:vAlign w:val="center"/>
          </w:tcPr>
          <w:p w:rsidR="00D06467" w:rsidRDefault="007046A5">
            <w:pPr>
              <w:jc w:val="center"/>
            </w:pPr>
            <w:r>
              <w:rPr>
                <w:sz w:val="24"/>
              </w:rPr>
              <w:t>5,313,808.92</w:t>
            </w:r>
          </w:p>
        </w:tc>
        <w:tc>
          <w:tcPr>
            <w:tcW w:w="1800" w:type="dxa"/>
            <w:vAlign w:val="center"/>
          </w:tcPr>
          <w:p w:rsidR="00D06467" w:rsidRDefault="007046A5">
            <w:pPr>
              <w:jc w:val="center"/>
            </w:pPr>
            <w:r>
              <w:rPr>
                <w:sz w:val="24"/>
              </w:rPr>
              <w:t>6,864.10</w:t>
            </w:r>
          </w:p>
        </w:tc>
        <w:tc>
          <w:tcPr>
            <w:tcW w:w="1800" w:type="dxa"/>
            <w:vAlign w:val="center"/>
          </w:tcPr>
          <w:p w:rsidR="00D06467" w:rsidRDefault="007046A5">
            <w:pPr>
              <w:jc w:val="center"/>
            </w:pPr>
            <w:r>
              <w:rPr>
                <w:sz w:val="24"/>
              </w:rPr>
              <w:t>1,501,363.72</w:t>
            </w:r>
          </w:p>
        </w:tc>
        <w:tc>
          <w:tcPr>
            <w:tcW w:w="1800" w:type="dxa"/>
            <w:vAlign w:val="center"/>
          </w:tcPr>
          <w:p w:rsidR="00D06467" w:rsidRDefault="007046A5">
            <w:pPr>
              <w:jc w:val="center"/>
            </w:pPr>
            <w:r>
              <w:rPr>
                <w:sz w:val="24"/>
              </w:rPr>
              <w:t>64,470.48</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1,127,173,326.41</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D06467">
        <w:tc>
          <w:tcPr>
            <w:tcW w:w="1493" w:type="dxa"/>
            <w:vAlign w:val="center"/>
          </w:tcPr>
          <w:p w:rsidR="00D06467" w:rsidRDefault="007046A5">
            <w:pPr>
              <w:jc w:val="center"/>
            </w:pPr>
            <w:r>
              <w:rPr>
                <w:kern w:val="0"/>
                <w:sz w:val="24"/>
              </w:rPr>
              <w:t>111994232</w:t>
            </w:r>
          </w:p>
        </w:tc>
        <w:tc>
          <w:tcPr>
            <w:tcW w:w="1494" w:type="dxa"/>
            <w:vAlign w:val="center"/>
          </w:tcPr>
          <w:p w:rsidR="00D06467" w:rsidRDefault="007046A5">
            <w:pPr>
              <w:jc w:val="center"/>
            </w:pPr>
            <w:r>
              <w:rPr>
                <w:kern w:val="0"/>
                <w:sz w:val="24"/>
              </w:rPr>
              <w:t>19</w:t>
            </w:r>
            <w:r>
              <w:rPr>
                <w:kern w:val="0"/>
                <w:sz w:val="24"/>
              </w:rPr>
              <w:t>江苏紫金农商行</w:t>
            </w:r>
            <w:r>
              <w:rPr>
                <w:kern w:val="0"/>
                <w:sz w:val="24"/>
              </w:rPr>
              <w:t>CD023</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99.28</w:t>
            </w:r>
          </w:p>
        </w:tc>
        <w:tc>
          <w:tcPr>
            <w:tcW w:w="1434" w:type="dxa"/>
            <w:vAlign w:val="center"/>
          </w:tcPr>
          <w:p w:rsidR="00D06467" w:rsidRDefault="007046A5">
            <w:pPr>
              <w:jc w:val="right"/>
            </w:pPr>
            <w:r>
              <w:rPr>
                <w:kern w:val="0"/>
                <w:sz w:val="24"/>
              </w:rPr>
              <w:t>171,000</w:t>
            </w:r>
          </w:p>
        </w:tc>
        <w:tc>
          <w:tcPr>
            <w:tcW w:w="1828" w:type="dxa"/>
            <w:vAlign w:val="center"/>
          </w:tcPr>
          <w:p w:rsidR="00D06467" w:rsidRDefault="007046A5">
            <w:pPr>
              <w:jc w:val="right"/>
            </w:pPr>
            <w:r>
              <w:rPr>
                <w:kern w:val="0"/>
                <w:sz w:val="24"/>
              </w:rPr>
              <w:t>16,976,061.87</w:t>
            </w:r>
          </w:p>
        </w:tc>
      </w:tr>
      <w:tr w:rsidR="00D06467">
        <w:tc>
          <w:tcPr>
            <w:tcW w:w="1493" w:type="dxa"/>
            <w:vAlign w:val="center"/>
          </w:tcPr>
          <w:p w:rsidR="00D06467" w:rsidRDefault="007046A5">
            <w:pPr>
              <w:jc w:val="center"/>
            </w:pPr>
            <w:r>
              <w:rPr>
                <w:kern w:val="0"/>
                <w:sz w:val="24"/>
              </w:rPr>
              <w:t>111870104</w:t>
            </w:r>
          </w:p>
        </w:tc>
        <w:tc>
          <w:tcPr>
            <w:tcW w:w="1494" w:type="dxa"/>
            <w:vAlign w:val="center"/>
          </w:tcPr>
          <w:p w:rsidR="00D06467" w:rsidRDefault="007046A5">
            <w:pPr>
              <w:jc w:val="center"/>
            </w:pPr>
            <w:r>
              <w:rPr>
                <w:kern w:val="0"/>
                <w:sz w:val="24"/>
              </w:rPr>
              <w:t>18</w:t>
            </w:r>
            <w:r>
              <w:rPr>
                <w:kern w:val="0"/>
                <w:sz w:val="24"/>
              </w:rPr>
              <w:t>江苏紫金农商行</w:t>
            </w:r>
            <w:r>
              <w:rPr>
                <w:kern w:val="0"/>
                <w:sz w:val="24"/>
              </w:rPr>
              <w:t>CD095</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99.42</w:t>
            </w:r>
          </w:p>
        </w:tc>
        <w:tc>
          <w:tcPr>
            <w:tcW w:w="1434" w:type="dxa"/>
            <w:vAlign w:val="center"/>
          </w:tcPr>
          <w:p w:rsidR="00D06467" w:rsidRDefault="007046A5">
            <w:pPr>
              <w:jc w:val="right"/>
            </w:pPr>
            <w:r>
              <w:rPr>
                <w:kern w:val="0"/>
                <w:sz w:val="24"/>
              </w:rPr>
              <w:t>1,725,000</w:t>
            </w:r>
          </w:p>
        </w:tc>
        <w:tc>
          <w:tcPr>
            <w:tcW w:w="1828" w:type="dxa"/>
            <w:vAlign w:val="center"/>
          </w:tcPr>
          <w:p w:rsidR="00D06467" w:rsidRDefault="007046A5">
            <w:pPr>
              <w:jc w:val="right"/>
            </w:pPr>
            <w:r>
              <w:rPr>
                <w:kern w:val="0"/>
                <w:sz w:val="24"/>
              </w:rPr>
              <w:t>171,497,180.37</w:t>
            </w:r>
          </w:p>
        </w:tc>
      </w:tr>
      <w:tr w:rsidR="00D06467">
        <w:tc>
          <w:tcPr>
            <w:tcW w:w="1493" w:type="dxa"/>
            <w:vAlign w:val="center"/>
          </w:tcPr>
          <w:p w:rsidR="00D06467" w:rsidRDefault="007046A5">
            <w:pPr>
              <w:jc w:val="center"/>
            </w:pPr>
            <w:r>
              <w:rPr>
                <w:kern w:val="0"/>
                <w:sz w:val="24"/>
              </w:rPr>
              <w:t>111980945</w:t>
            </w:r>
          </w:p>
        </w:tc>
        <w:tc>
          <w:tcPr>
            <w:tcW w:w="1494" w:type="dxa"/>
            <w:vAlign w:val="center"/>
          </w:tcPr>
          <w:p w:rsidR="00D06467" w:rsidRDefault="007046A5">
            <w:pPr>
              <w:jc w:val="center"/>
            </w:pPr>
            <w:r>
              <w:rPr>
                <w:kern w:val="0"/>
                <w:sz w:val="24"/>
              </w:rPr>
              <w:t>19</w:t>
            </w:r>
            <w:r>
              <w:rPr>
                <w:kern w:val="0"/>
                <w:sz w:val="24"/>
              </w:rPr>
              <w:t>广州农村商业银行</w:t>
            </w:r>
            <w:r>
              <w:rPr>
                <w:kern w:val="0"/>
                <w:sz w:val="24"/>
              </w:rPr>
              <w:t>CD073</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97.77</w:t>
            </w:r>
          </w:p>
        </w:tc>
        <w:tc>
          <w:tcPr>
            <w:tcW w:w="1434" w:type="dxa"/>
            <w:vAlign w:val="center"/>
          </w:tcPr>
          <w:p w:rsidR="00D06467" w:rsidRDefault="007046A5">
            <w:pPr>
              <w:jc w:val="right"/>
            </w:pPr>
            <w:r>
              <w:rPr>
                <w:kern w:val="0"/>
                <w:sz w:val="24"/>
              </w:rPr>
              <w:t>2,500,000</w:t>
            </w:r>
          </w:p>
        </w:tc>
        <w:tc>
          <w:tcPr>
            <w:tcW w:w="1828" w:type="dxa"/>
            <w:vAlign w:val="center"/>
          </w:tcPr>
          <w:p w:rsidR="00D06467" w:rsidRDefault="007046A5">
            <w:pPr>
              <w:jc w:val="right"/>
            </w:pPr>
            <w:r>
              <w:rPr>
                <w:kern w:val="0"/>
                <w:sz w:val="24"/>
              </w:rPr>
              <w:t>244,420,589.34</w:t>
            </w:r>
          </w:p>
        </w:tc>
      </w:tr>
      <w:tr w:rsidR="00D06467">
        <w:tc>
          <w:tcPr>
            <w:tcW w:w="1493" w:type="dxa"/>
            <w:vAlign w:val="center"/>
          </w:tcPr>
          <w:p w:rsidR="00D06467" w:rsidRDefault="007046A5">
            <w:pPr>
              <w:jc w:val="center"/>
            </w:pPr>
            <w:r>
              <w:rPr>
                <w:kern w:val="0"/>
                <w:sz w:val="24"/>
              </w:rPr>
              <w:t>180312</w:t>
            </w:r>
          </w:p>
        </w:tc>
        <w:tc>
          <w:tcPr>
            <w:tcW w:w="1494" w:type="dxa"/>
            <w:vAlign w:val="center"/>
          </w:tcPr>
          <w:p w:rsidR="00D06467" w:rsidRDefault="007046A5">
            <w:pPr>
              <w:jc w:val="center"/>
            </w:pPr>
            <w:r>
              <w:rPr>
                <w:kern w:val="0"/>
                <w:sz w:val="24"/>
              </w:rPr>
              <w:t>18</w:t>
            </w:r>
            <w:r>
              <w:rPr>
                <w:kern w:val="0"/>
                <w:sz w:val="24"/>
              </w:rPr>
              <w:t>进出</w:t>
            </w:r>
            <w:r>
              <w:rPr>
                <w:kern w:val="0"/>
                <w:sz w:val="24"/>
              </w:rPr>
              <w:t>12</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100.11</w:t>
            </w:r>
          </w:p>
        </w:tc>
        <w:tc>
          <w:tcPr>
            <w:tcW w:w="1434" w:type="dxa"/>
            <w:vAlign w:val="center"/>
          </w:tcPr>
          <w:p w:rsidR="00D06467" w:rsidRDefault="007046A5">
            <w:pPr>
              <w:jc w:val="right"/>
            </w:pPr>
            <w:r>
              <w:rPr>
                <w:kern w:val="0"/>
                <w:sz w:val="24"/>
              </w:rPr>
              <w:t>1,200,000</w:t>
            </w:r>
          </w:p>
        </w:tc>
        <w:tc>
          <w:tcPr>
            <w:tcW w:w="1828" w:type="dxa"/>
            <w:vAlign w:val="center"/>
          </w:tcPr>
          <w:p w:rsidR="00D06467" w:rsidRDefault="007046A5">
            <w:pPr>
              <w:jc w:val="right"/>
            </w:pPr>
            <w:r>
              <w:rPr>
                <w:kern w:val="0"/>
                <w:sz w:val="24"/>
              </w:rPr>
              <w:t>120,137,668.22</w:t>
            </w:r>
          </w:p>
        </w:tc>
      </w:tr>
      <w:tr w:rsidR="00D06467">
        <w:tc>
          <w:tcPr>
            <w:tcW w:w="1493" w:type="dxa"/>
            <w:vAlign w:val="center"/>
          </w:tcPr>
          <w:p w:rsidR="00D06467" w:rsidRDefault="007046A5">
            <w:pPr>
              <w:jc w:val="center"/>
            </w:pPr>
            <w:r>
              <w:rPr>
                <w:kern w:val="0"/>
                <w:sz w:val="24"/>
              </w:rPr>
              <w:t>111994139</w:t>
            </w:r>
          </w:p>
        </w:tc>
        <w:tc>
          <w:tcPr>
            <w:tcW w:w="1494" w:type="dxa"/>
            <w:vAlign w:val="center"/>
          </w:tcPr>
          <w:p w:rsidR="00D06467" w:rsidRDefault="007046A5">
            <w:pPr>
              <w:jc w:val="center"/>
            </w:pPr>
            <w:r>
              <w:rPr>
                <w:kern w:val="0"/>
                <w:sz w:val="24"/>
              </w:rPr>
              <w:t>19</w:t>
            </w:r>
            <w:r>
              <w:rPr>
                <w:kern w:val="0"/>
                <w:sz w:val="24"/>
              </w:rPr>
              <w:t>重庆三峡银行</w:t>
            </w:r>
            <w:r>
              <w:rPr>
                <w:kern w:val="0"/>
                <w:sz w:val="24"/>
              </w:rPr>
              <w:t>CD028</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99.30</w:t>
            </w:r>
          </w:p>
        </w:tc>
        <w:tc>
          <w:tcPr>
            <w:tcW w:w="1434" w:type="dxa"/>
            <w:vAlign w:val="center"/>
          </w:tcPr>
          <w:p w:rsidR="00D06467" w:rsidRDefault="007046A5">
            <w:pPr>
              <w:jc w:val="right"/>
            </w:pPr>
            <w:r>
              <w:rPr>
                <w:kern w:val="0"/>
                <w:sz w:val="24"/>
              </w:rPr>
              <w:t>2,000,000</w:t>
            </w:r>
          </w:p>
        </w:tc>
        <w:tc>
          <w:tcPr>
            <w:tcW w:w="1828" w:type="dxa"/>
            <w:vAlign w:val="center"/>
          </w:tcPr>
          <w:p w:rsidR="00D06467" w:rsidRDefault="007046A5">
            <w:pPr>
              <w:jc w:val="right"/>
            </w:pPr>
            <w:r>
              <w:rPr>
                <w:kern w:val="0"/>
                <w:sz w:val="24"/>
              </w:rPr>
              <w:t>198,602,185.02</w:t>
            </w:r>
          </w:p>
        </w:tc>
      </w:tr>
      <w:tr w:rsidR="00D06467">
        <w:tc>
          <w:tcPr>
            <w:tcW w:w="1493" w:type="dxa"/>
            <w:vAlign w:val="center"/>
          </w:tcPr>
          <w:p w:rsidR="00D06467" w:rsidRDefault="007046A5">
            <w:pPr>
              <w:jc w:val="center"/>
            </w:pPr>
            <w:r>
              <w:rPr>
                <w:kern w:val="0"/>
                <w:sz w:val="24"/>
              </w:rPr>
              <w:t>140227</w:t>
            </w:r>
          </w:p>
        </w:tc>
        <w:tc>
          <w:tcPr>
            <w:tcW w:w="1494" w:type="dxa"/>
            <w:vAlign w:val="center"/>
          </w:tcPr>
          <w:p w:rsidR="00D06467" w:rsidRDefault="007046A5">
            <w:pPr>
              <w:jc w:val="center"/>
            </w:pPr>
            <w:r>
              <w:rPr>
                <w:kern w:val="0"/>
                <w:sz w:val="24"/>
              </w:rPr>
              <w:t>14</w:t>
            </w:r>
            <w:r>
              <w:rPr>
                <w:kern w:val="0"/>
                <w:sz w:val="24"/>
              </w:rPr>
              <w:t>国开</w:t>
            </w:r>
            <w:r>
              <w:rPr>
                <w:kern w:val="0"/>
                <w:sz w:val="24"/>
              </w:rPr>
              <w:t>27</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100.62</w:t>
            </w:r>
          </w:p>
        </w:tc>
        <w:tc>
          <w:tcPr>
            <w:tcW w:w="1434" w:type="dxa"/>
            <w:vAlign w:val="center"/>
          </w:tcPr>
          <w:p w:rsidR="00D06467" w:rsidRDefault="007046A5">
            <w:pPr>
              <w:jc w:val="right"/>
            </w:pPr>
            <w:r>
              <w:rPr>
                <w:kern w:val="0"/>
                <w:sz w:val="24"/>
              </w:rPr>
              <w:t>500,000</w:t>
            </w:r>
          </w:p>
        </w:tc>
        <w:tc>
          <w:tcPr>
            <w:tcW w:w="1828" w:type="dxa"/>
            <w:vAlign w:val="center"/>
          </w:tcPr>
          <w:p w:rsidR="00D06467" w:rsidRDefault="007046A5">
            <w:pPr>
              <w:jc w:val="right"/>
            </w:pPr>
            <w:r>
              <w:rPr>
                <w:kern w:val="0"/>
                <w:sz w:val="24"/>
              </w:rPr>
              <w:t>50,309,471.51</w:t>
            </w:r>
          </w:p>
        </w:tc>
      </w:tr>
      <w:tr w:rsidR="00D06467">
        <w:tc>
          <w:tcPr>
            <w:tcW w:w="1493" w:type="dxa"/>
            <w:vAlign w:val="center"/>
          </w:tcPr>
          <w:p w:rsidR="00D06467" w:rsidRDefault="007046A5">
            <w:pPr>
              <w:jc w:val="center"/>
            </w:pPr>
            <w:r>
              <w:rPr>
                <w:kern w:val="0"/>
                <w:sz w:val="24"/>
              </w:rPr>
              <w:t>111921211</w:t>
            </w:r>
          </w:p>
        </w:tc>
        <w:tc>
          <w:tcPr>
            <w:tcW w:w="1494" w:type="dxa"/>
            <w:vAlign w:val="center"/>
          </w:tcPr>
          <w:p w:rsidR="00D06467" w:rsidRDefault="007046A5">
            <w:pPr>
              <w:jc w:val="center"/>
            </w:pPr>
            <w:r>
              <w:rPr>
                <w:kern w:val="0"/>
                <w:sz w:val="24"/>
              </w:rPr>
              <w:t>19</w:t>
            </w:r>
            <w:r>
              <w:rPr>
                <w:kern w:val="0"/>
                <w:sz w:val="24"/>
              </w:rPr>
              <w:t>渤海银行</w:t>
            </w:r>
            <w:r>
              <w:rPr>
                <w:kern w:val="0"/>
                <w:sz w:val="24"/>
              </w:rPr>
              <w:t>CD211</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99.32</w:t>
            </w:r>
          </w:p>
        </w:tc>
        <w:tc>
          <w:tcPr>
            <w:tcW w:w="1434" w:type="dxa"/>
            <w:vAlign w:val="center"/>
          </w:tcPr>
          <w:p w:rsidR="00D06467" w:rsidRDefault="007046A5">
            <w:pPr>
              <w:jc w:val="right"/>
            </w:pPr>
            <w:r>
              <w:rPr>
                <w:kern w:val="0"/>
                <w:sz w:val="24"/>
              </w:rPr>
              <w:t>1,000,000</w:t>
            </w:r>
          </w:p>
        </w:tc>
        <w:tc>
          <w:tcPr>
            <w:tcW w:w="1828" w:type="dxa"/>
            <w:vAlign w:val="center"/>
          </w:tcPr>
          <w:p w:rsidR="00D06467" w:rsidRDefault="007046A5">
            <w:pPr>
              <w:jc w:val="right"/>
            </w:pPr>
            <w:r>
              <w:rPr>
                <w:kern w:val="0"/>
                <w:sz w:val="24"/>
              </w:rPr>
              <w:t>99,318,932.25</w:t>
            </w:r>
          </w:p>
        </w:tc>
      </w:tr>
      <w:tr w:rsidR="00D06467">
        <w:tc>
          <w:tcPr>
            <w:tcW w:w="1493" w:type="dxa"/>
            <w:vAlign w:val="center"/>
          </w:tcPr>
          <w:p w:rsidR="00D06467" w:rsidRDefault="007046A5">
            <w:pPr>
              <w:jc w:val="center"/>
            </w:pPr>
            <w:r>
              <w:rPr>
                <w:kern w:val="0"/>
                <w:sz w:val="24"/>
              </w:rPr>
              <w:t>180410</w:t>
            </w:r>
          </w:p>
        </w:tc>
        <w:tc>
          <w:tcPr>
            <w:tcW w:w="1494" w:type="dxa"/>
            <w:vAlign w:val="center"/>
          </w:tcPr>
          <w:p w:rsidR="00D06467" w:rsidRDefault="007046A5">
            <w:pPr>
              <w:jc w:val="center"/>
            </w:pPr>
            <w:r>
              <w:rPr>
                <w:kern w:val="0"/>
                <w:sz w:val="24"/>
              </w:rPr>
              <w:t>18</w:t>
            </w:r>
            <w:r>
              <w:rPr>
                <w:kern w:val="0"/>
                <w:sz w:val="24"/>
              </w:rPr>
              <w:t>农发</w:t>
            </w:r>
            <w:r>
              <w:rPr>
                <w:kern w:val="0"/>
                <w:sz w:val="24"/>
              </w:rPr>
              <w:t>10</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100.06</w:t>
            </w:r>
          </w:p>
        </w:tc>
        <w:tc>
          <w:tcPr>
            <w:tcW w:w="1434" w:type="dxa"/>
            <w:vAlign w:val="center"/>
          </w:tcPr>
          <w:p w:rsidR="00D06467" w:rsidRDefault="007046A5">
            <w:pPr>
              <w:jc w:val="right"/>
            </w:pPr>
            <w:r>
              <w:rPr>
                <w:kern w:val="0"/>
                <w:sz w:val="24"/>
              </w:rPr>
              <w:t>2,400,000</w:t>
            </w:r>
          </w:p>
        </w:tc>
        <w:tc>
          <w:tcPr>
            <w:tcW w:w="1828" w:type="dxa"/>
            <w:vAlign w:val="center"/>
          </w:tcPr>
          <w:p w:rsidR="00D06467" w:rsidRDefault="007046A5">
            <w:pPr>
              <w:jc w:val="right"/>
            </w:pPr>
            <w:r>
              <w:rPr>
                <w:kern w:val="0"/>
                <w:sz w:val="24"/>
              </w:rPr>
              <w:t>240,152,238.09</w:t>
            </w:r>
          </w:p>
        </w:tc>
      </w:tr>
      <w:tr w:rsidR="00D06467">
        <w:tc>
          <w:tcPr>
            <w:tcW w:w="1493" w:type="dxa"/>
            <w:vAlign w:val="center"/>
          </w:tcPr>
          <w:p w:rsidR="00D06467" w:rsidRDefault="007046A5">
            <w:pPr>
              <w:jc w:val="center"/>
            </w:pPr>
            <w:r>
              <w:rPr>
                <w:kern w:val="0"/>
                <w:sz w:val="24"/>
              </w:rPr>
              <w:t>180216</w:t>
            </w:r>
          </w:p>
        </w:tc>
        <w:tc>
          <w:tcPr>
            <w:tcW w:w="1494" w:type="dxa"/>
            <w:vAlign w:val="center"/>
          </w:tcPr>
          <w:p w:rsidR="00D06467" w:rsidRDefault="007046A5">
            <w:pPr>
              <w:jc w:val="center"/>
            </w:pPr>
            <w:r>
              <w:rPr>
                <w:kern w:val="0"/>
                <w:sz w:val="24"/>
              </w:rPr>
              <w:t>18</w:t>
            </w:r>
            <w:r>
              <w:rPr>
                <w:kern w:val="0"/>
                <w:sz w:val="24"/>
              </w:rPr>
              <w:t>国开</w:t>
            </w:r>
            <w:r>
              <w:rPr>
                <w:kern w:val="0"/>
                <w:sz w:val="24"/>
              </w:rPr>
              <w:t>16</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100.05</w:t>
            </w:r>
          </w:p>
        </w:tc>
        <w:tc>
          <w:tcPr>
            <w:tcW w:w="1434" w:type="dxa"/>
            <w:vAlign w:val="center"/>
          </w:tcPr>
          <w:p w:rsidR="00D06467" w:rsidRDefault="007046A5">
            <w:pPr>
              <w:jc w:val="right"/>
            </w:pPr>
            <w:r>
              <w:rPr>
                <w:kern w:val="0"/>
                <w:sz w:val="24"/>
              </w:rPr>
              <w:t>500,000</w:t>
            </w:r>
          </w:p>
        </w:tc>
        <w:tc>
          <w:tcPr>
            <w:tcW w:w="1828" w:type="dxa"/>
            <w:vAlign w:val="center"/>
          </w:tcPr>
          <w:p w:rsidR="00D06467" w:rsidRDefault="007046A5">
            <w:pPr>
              <w:jc w:val="right"/>
            </w:pPr>
            <w:r>
              <w:rPr>
                <w:kern w:val="0"/>
                <w:sz w:val="24"/>
              </w:rPr>
              <w:t>50,027,189.23</w:t>
            </w:r>
          </w:p>
        </w:tc>
      </w:tr>
      <w:tr w:rsidR="00D06467">
        <w:tc>
          <w:tcPr>
            <w:tcW w:w="1493" w:type="dxa"/>
            <w:vAlign w:val="center"/>
          </w:tcPr>
          <w:p w:rsidR="00D06467" w:rsidRDefault="007046A5">
            <w:pPr>
              <w:jc w:val="center"/>
            </w:pPr>
            <w:r>
              <w:rPr>
                <w:kern w:val="0"/>
                <w:sz w:val="24"/>
              </w:rPr>
              <w:t>180209</w:t>
            </w:r>
          </w:p>
        </w:tc>
        <w:tc>
          <w:tcPr>
            <w:tcW w:w="1494" w:type="dxa"/>
            <w:vAlign w:val="center"/>
          </w:tcPr>
          <w:p w:rsidR="00D06467" w:rsidRDefault="007046A5">
            <w:pPr>
              <w:jc w:val="center"/>
            </w:pPr>
            <w:r>
              <w:rPr>
                <w:kern w:val="0"/>
                <w:sz w:val="24"/>
              </w:rPr>
              <w:t>18</w:t>
            </w:r>
            <w:r>
              <w:rPr>
                <w:kern w:val="0"/>
                <w:sz w:val="24"/>
              </w:rPr>
              <w:t>国开</w:t>
            </w:r>
            <w:r>
              <w:rPr>
                <w:kern w:val="0"/>
                <w:sz w:val="24"/>
              </w:rPr>
              <w:t>09</w:t>
            </w:r>
          </w:p>
        </w:tc>
        <w:tc>
          <w:tcPr>
            <w:tcW w:w="1494" w:type="dxa"/>
            <w:vAlign w:val="center"/>
          </w:tcPr>
          <w:p w:rsidR="00D06467" w:rsidRDefault="007046A5">
            <w:pPr>
              <w:jc w:val="center"/>
            </w:pPr>
            <w:r>
              <w:rPr>
                <w:kern w:val="0"/>
                <w:sz w:val="24"/>
              </w:rPr>
              <w:t>2019-07-01</w:t>
            </w:r>
          </w:p>
        </w:tc>
        <w:tc>
          <w:tcPr>
            <w:tcW w:w="1255" w:type="dxa"/>
            <w:vAlign w:val="center"/>
          </w:tcPr>
          <w:p w:rsidR="00D06467" w:rsidRDefault="007046A5">
            <w:pPr>
              <w:jc w:val="right"/>
            </w:pPr>
            <w:r>
              <w:rPr>
                <w:kern w:val="0"/>
                <w:sz w:val="24"/>
              </w:rPr>
              <w:t>100.02</w:t>
            </w:r>
          </w:p>
        </w:tc>
        <w:tc>
          <w:tcPr>
            <w:tcW w:w="1434" w:type="dxa"/>
            <w:vAlign w:val="center"/>
          </w:tcPr>
          <w:p w:rsidR="00D06467" w:rsidRDefault="007046A5">
            <w:pPr>
              <w:jc w:val="right"/>
            </w:pPr>
            <w:r>
              <w:rPr>
                <w:kern w:val="0"/>
                <w:sz w:val="24"/>
              </w:rPr>
              <w:t>74,000</w:t>
            </w:r>
          </w:p>
        </w:tc>
        <w:tc>
          <w:tcPr>
            <w:tcW w:w="1828" w:type="dxa"/>
            <w:vAlign w:val="center"/>
          </w:tcPr>
          <w:p w:rsidR="00D06467" w:rsidRDefault="007046A5">
            <w:pPr>
              <w:jc w:val="right"/>
            </w:pPr>
            <w:r>
              <w:rPr>
                <w:kern w:val="0"/>
                <w:sz w:val="24"/>
              </w:rPr>
              <w:t>7,401,231.03</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12,070,000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1,198,842,746.93</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7,694,678,762.05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84.31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7,662,923,878.21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83.96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31,754,883.84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0.35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1,405,313,808.92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15.40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26,487,761.58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0.29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9,126,480,332.55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9.14</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1,127,173,326.41</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14.15</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125</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138</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61</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本基金投资组合的平均剩余期限控制在</w:t>
      </w:r>
      <w:r w:rsidRPr="00453908">
        <w:rPr>
          <w:rFonts w:eastAsiaTheme="minorEastAsia"/>
          <w:color w:val="000000" w:themeColor="text1"/>
          <w:sz w:val="24"/>
        </w:rPr>
        <w:t xml:space="preserve">180 </w:t>
      </w:r>
      <w:r w:rsidRPr="00453908">
        <w:rPr>
          <w:rFonts w:eastAsiaTheme="minorEastAsia"/>
          <w:color w:val="000000" w:themeColor="text1"/>
          <w:sz w:val="24"/>
        </w:rPr>
        <w:t>天（含）以内。</w:t>
      </w:r>
      <w:r w:rsidRPr="00453908">
        <w:rPr>
          <w:rFonts w:eastAsiaTheme="minorEastAsia"/>
          <w:color w:val="000000" w:themeColor="text1"/>
          <w:sz w:val="24"/>
        </w:rPr>
        <w:t>”</w:t>
      </w: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180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3.95</w:t>
            </w:r>
          </w:p>
        </w:tc>
        <w:tc>
          <w:tcPr>
            <w:tcW w:w="2550" w:type="dxa"/>
            <w:vAlign w:val="center"/>
          </w:tcPr>
          <w:p w:rsidR="004339AD" w:rsidRPr="0061644B" w:rsidRDefault="004339AD" w:rsidP="00792A69">
            <w:pPr>
              <w:spacing w:before="29" w:line="288" w:lineRule="auto"/>
              <w:jc w:val="right"/>
              <w:rPr>
                <w:sz w:val="24"/>
              </w:rPr>
            </w:pPr>
            <w:r w:rsidRPr="0061644B">
              <w:rPr>
                <w:sz w:val="24"/>
              </w:rPr>
              <w:t>14.15</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14.76</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43.33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52.17</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114.20</w:t>
            </w:r>
          </w:p>
        </w:tc>
        <w:tc>
          <w:tcPr>
            <w:tcW w:w="2550" w:type="dxa"/>
            <w:vAlign w:val="center"/>
          </w:tcPr>
          <w:p w:rsidR="001E0231" w:rsidRPr="0061644B" w:rsidRDefault="001E0231" w:rsidP="00792A69">
            <w:pPr>
              <w:spacing w:before="29" w:line="288" w:lineRule="auto"/>
              <w:jc w:val="right"/>
              <w:rPr>
                <w:sz w:val="24"/>
              </w:rPr>
            </w:pPr>
            <w:r w:rsidRPr="0061644B">
              <w:rPr>
                <w:sz w:val="24"/>
              </w:rPr>
              <w:t>14.15</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470,628,230.60</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5.91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470,628,230.60</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5.91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1,069,992,137.81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13.43</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6,122,303,509.80</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76.83</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7,662,923,878.21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96.17</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D06467">
        <w:tc>
          <w:tcPr>
            <w:tcW w:w="778" w:type="dxa"/>
            <w:vAlign w:val="center"/>
          </w:tcPr>
          <w:p w:rsidR="00D06467" w:rsidRDefault="007046A5">
            <w:pPr>
              <w:jc w:val="center"/>
            </w:pPr>
            <w:r>
              <w:rPr>
                <w:sz w:val="24"/>
              </w:rPr>
              <w:t>1</w:t>
            </w:r>
          </w:p>
        </w:tc>
        <w:tc>
          <w:tcPr>
            <w:tcW w:w="1348" w:type="dxa"/>
            <w:vAlign w:val="center"/>
          </w:tcPr>
          <w:p w:rsidR="00D06467" w:rsidRDefault="007046A5">
            <w:pPr>
              <w:jc w:val="center"/>
            </w:pPr>
            <w:r>
              <w:rPr>
                <w:sz w:val="24"/>
              </w:rPr>
              <w:t>111914113</w:t>
            </w:r>
          </w:p>
        </w:tc>
        <w:tc>
          <w:tcPr>
            <w:tcW w:w="1787" w:type="dxa"/>
            <w:vAlign w:val="center"/>
          </w:tcPr>
          <w:p w:rsidR="00D06467" w:rsidRDefault="007046A5">
            <w:pPr>
              <w:jc w:val="center"/>
            </w:pPr>
            <w:r>
              <w:rPr>
                <w:sz w:val="24"/>
              </w:rPr>
              <w:t>19</w:t>
            </w:r>
            <w:r>
              <w:rPr>
                <w:sz w:val="24"/>
              </w:rPr>
              <w:t>江苏银行</w:t>
            </w:r>
            <w:r>
              <w:rPr>
                <w:sz w:val="24"/>
              </w:rPr>
              <w:t>CD113</w:t>
            </w:r>
          </w:p>
        </w:tc>
        <w:tc>
          <w:tcPr>
            <w:tcW w:w="1756" w:type="dxa"/>
            <w:vAlign w:val="center"/>
          </w:tcPr>
          <w:p w:rsidR="00D06467" w:rsidRDefault="007046A5">
            <w:pPr>
              <w:jc w:val="center"/>
            </w:pPr>
            <w:r>
              <w:rPr>
                <w:sz w:val="24"/>
              </w:rPr>
              <w:t>3,500,000</w:t>
            </w:r>
          </w:p>
        </w:tc>
        <w:tc>
          <w:tcPr>
            <w:tcW w:w="2008" w:type="dxa"/>
            <w:vAlign w:val="center"/>
          </w:tcPr>
          <w:p w:rsidR="00D06467" w:rsidRDefault="007046A5">
            <w:pPr>
              <w:jc w:val="center"/>
            </w:pPr>
            <w:r>
              <w:rPr>
                <w:sz w:val="24"/>
              </w:rPr>
              <w:t>342,176,233.23</w:t>
            </w:r>
          </w:p>
        </w:tc>
        <w:tc>
          <w:tcPr>
            <w:tcW w:w="1542" w:type="dxa"/>
            <w:vAlign w:val="center"/>
          </w:tcPr>
          <w:p w:rsidR="00D06467" w:rsidRDefault="007046A5">
            <w:pPr>
              <w:jc w:val="center"/>
            </w:pPr>
            <w:r>
              <w:rPr>
                <w:sz w:val="24"/>
              </w:rPr>
              <w:t>4.29</w:t>
            </w:r>
          </w:p>
        </w:tc>
      </w:tr>
      <w:tr w:rsidR="00D06467">
        <w:tc>
          <w:tcPr>
            <w:tcW w:w="778" w:type="dxa"/>
            <w:vAlign w:val="center"/>
          </w:tcPr>
          <w:p w:rsidR="00D06467" w:rsidRDefault="007046A5">
            <w:pPr>
              <w:jc w:val="center"/>
            </w:pPr>
            <w:r>
              <w:rPr>
                <w:sz w:val="24"/>
              </w:rPr>
              <w:t>2</w:t>
            </w:r>
          </w:p>
        </w:tc>
        <w:tc>
          <w:tcPr>
            <w:tcW w:w="1348" w:type="dxa"/>
            <w:vAlign w:val="center"/>
          </w:tcPr>
          <w:p w:rsidR="00D06467" w:rsidRDefault="007046A5">
            <w:pPr>
              <w:jc w:val="center"/>
            </w:pPr>
            <w:r>
              <w:rPr>
                <w:sz w:val="24"/>
              </w:rPr>
              <w:t>111981005</w:t>
            </w:r>
          </w:p>
        </w:tc>
        <w:tc>
          <w:tcPr>
            <w:tcW w:w="1787" w:type="dxa"/>
            <w:vAlign w:val="center"/>
          </w:tcPr>
          <w:p w:rsidR="00D06467" w:rsidRDefault="007046A5">
            <w:pPr>
              <w:jc w:val="center"/>
            </w:pPr>
            <w:r>
              <w:rPr>
                <w:sz w:val="24"/>
              </w:rPr>
              <w:t>19</w:t>
            </w:r>
            <w:r>
              <w:rPr>
                <w:sz w:val="24"/>
              </w:rPr>
              <w:t>萧山农商银行</w:t>
            </w:r>
            <w:r>
              <w:rPr>
                <w:sz w:val="24"/>
              </w:rPr>
              <w:t>CD089</w:t>
            </w:r>
          </w:p>
        </w:tc>
        <w:tc>
          <w:tcPr>
            <w:tcW w:w="1756" w:type="dxa"/>
            <w:vAlign w:val="center"/>
          </w:tcPr>
          <w:p w:rsidR="00D06467" w:rsidRDefault="007046A5">
            <w:pPr>
              <w:jc w:val="center"/>
            </w:pPr>
            <w:r>
              <w:rPr>
                <w:sz w:val="24"/>
              </w:rPr>
              <w:t>3,000,000</w:t>
            </w:r>
          </w:p>
        </w:tc>
        <w:tc>
          <w:tcPr>
            <w:tcW w:w="2008" w:type="dxa"/>
            <w:vAlign w:val="center"/>
          </w:tcPr>
          <w:p w:rsidR="00D06467" w:rsidRDefault="007046A5">
            <w:pPr>
              <w:jc w:val="center"/>
            </w:pPr>
            <w:r>
              <w:rPr>
                <w:sz w:val="24"/>
              </w:rPr>
              <w:t>299,450,274.03</w:t>
            </w:r>
          </w:p>
        </w:tc>
        <w:tc>
          <w:tcPr>
            <w:tcW w:w="1542" w:type="dxa"/>
            <w:vAlign w:val="center"/>
          </w:tcPr>
          <w:p w:rsidR="00D06467" w:rsidRDefault="007046A5">
            <w:pPr>
              <w:jc w:val="center"/>
            </w:pPr>
            <w:r>
              <w:rPr>
                <w:sz w:val="24"/>
              </w:rPr>
              <w:t>3.76</w:t>
            </w:r>
          </w:p>
        </w:tc>
      </w:tr>
      <w:tr w:rsidR="00D06467">
        <w:tc>
          <w:tcPr>
            <w:tcW w:w="778" w:type="dxa"/>
            <w:vAlign w:val="center"/>
          </w:tcPr>
          <w:p w:rsidR="00D06467" w:rsidRDefault="007046A5">
            <w:pPr>
              <w:jc w:val="center"/>
            </w:pPr>
            <w:r>
              <w:rPr>
                <w:sz w:val="24"/>
              </w:rPr>
              <w:t>3</w:t>
            </w:r>
          </w:p>
        </w:tc>
        <w:tc>
          <w:tcPr>
            <w:tcW w:w="1348" w:type="dxa"/>
            <w:vAlign w:val="center"/>
          </w:tcPr>
          <w:p w:rsidR="00D06467" w:rsidRDefault="007046A5">
            <w:pPr>
              <w:jc w:val="center"/>
            </w:pPr>
            <w:r>
              <w:rPr>
                <w:sz w:val="24"/>
              </w:rPr>
              <w:t>111994393</w:t>
            </w:r>
          </w:p>
        </w:tc>
        <w:tc>
          <w:tcPr>
            <w:tcW w:w="1787" w:type="dxa"/>
            <w:vAlign w:val="center"/>
          </w:tcPr>
          <w:p w:rsidR="00D06467" w:rsidRDefault="007046A5">
            <w:pPr>
              <w:jc w:val="center"/>
            </w:pPr>
            <w:r>
              <w:rPr>
                <w:sz w:val="24"/>
              </w:rPr>
              <w:t>19</w:t>
            </w:r>
            <w:r>
              <w:rPr>
                <w:sz w:val="24"/>
              </w:rPr>
              <w:t>乌鲁木齐银行</w:t>
            </w:r>
            <w:r>
              <w:rPr>
                <w:sz w:val="24"/>
              </w:rPr>
              <w:t>CD027</w:t>
            </w:r>
          </w:p>
        </w:tc>
        <w:tc>
          <w:tcPr>
            <w:tcW w:w="1756" w:type="dxa"/>
            <w:vAlign w:val="center"/>
          </w:tcPr>
          <w:p w:rsidR="00D06467" w:rsidRDefault="007046A5">
            <w:pPr>
              <w:jc w:val="center"/>
            </w:pPr>
            <w:r>
              <w:rPr>
                <w:sz w:val="24"/>
              </w:rPr>
              <w:t>3,000,000</w:t>
            </w:r>
          </w:p>
        </w:tc>
        <w:tc>
          <w:tcPr>
            <w:tcW w:w="2008" w:type="dxa"/>
            <w:vAlign w:val="center"/>
          </w:tcPr>
          <w:p w:rsidR="00D06467" w:rsidRDefault="007046A5">
            <w:pPr>
              <w:jc w:val="center"/>
            </w:pPr>
            <w:r>
              <w:rPr>
                <w:sz w:val="24"/>
              </w:rPr>
              <w:t>297,880,985.54</w:t>
            </w:r>
          </w:p>
        </w:tc>
        <w:tc>
          <w:tcPr>
            <w:tcW w:w="1542" w:type="dxa"/>
            <w:vAlign w:val="center"/>
          </w:tcPr>
          <w:p w:rsidR="00D06467" w:rsidRDefault="007046A5">
            <w:pPr>
              <w:jc w:val="center"/>
            </w:pPr>
            <w:r>
              <w:rPr>
                <w:sz w:val="24"/>
              </w:rPr>
              <w:t>3.74</w:t>
            </w:r>
          </w:p>
        </w:tc>
      </w:tr>
      <w:tr w:rsidR="00D06467">
        <w:tc>
          <w:tcPr>
            <w:tcW w:w="778" w:type="dxa"/>
            <w:vAlign w:val="center"/>
          </w:tcPr>
          <w:p w:rsidR="00D06467" w:rsidRDefault="007046A5">
            <w:pPr>
              <w:jc w:val="center"/>
            </w:pPr>
            <w:r>
              <w:rPr>
                <w:sz w:val="24"/>
              </w:rPr>
              <w:t>4</w:t>
            </w:r>
          </w:p>
        </w:tc>
        <w:tc>
          <w:tcPr>
            <w:tcW w:w="1348" w:type="dxa"/>
            <w:vAlign w:val="center"/>
          </w:tcPr>
          <w:p w:rsidR="00D06467" w:rsidRDefault="007046A5">
            <w:pPr>
              <w:jc w:val="center"/>
            </w:pPr>
            <w:r>
              <w:rPr>
                <w:sz w:val="24"/>
              </w:rPr>
              <w:t>111980464</w:t>
            </w:r>
          </w:p>
        </w:tc>
        <w:tc>
          <w:tcPr>
            <w:tcW w:w="1787" w:type="dxa"/>
            <w:vAlign w:val="center"/>
          </w:tcPr>
          <w:p w:rsidR="00D06467" w:rsidRDefault="007046A5">
            <w:pPr>
              <w:jc w:val="center"/>
            </w:pPr>
            <w:r>
              <w:rPr>
                <w:sz w:val="24"/>
              </w:rPr>
              <w:t>19</w:t>
            </w:r>
            <w:r>
              <w:rPr>
                <w:sz w:val="24"/>
              </w:rPr>
              <w:t>桂林银行</w:t>
            </w:r>
            <w:r>
              <w:rPr>
                <w:sz w:val="24"/>
              </w:rPr>
              <w:t>CD106</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248,199,895.45</w:t>
            </w:r>
          </w:p>
        </w:tc>
        <w:tc>
          <w:tcPr>
            <w:tcW w:w="1542" w:type="dxa"/>
            <w:vAlign w:val="center"/>
          </w:tcPr>
          <w:p w:rsidR="00D06467" w:rsidRDefault="007046A5">
            <w:pPr>
              <w:jc w:val="center"/>
            </w:pPr>
            <w:r>
              <w:rPr>
                <w:sz w:val="24"/>
              </w:rPr>
              <w:t>3.11</w:t>
            </w:r>
          </w:p>
        </w:tc>
      </w:tr>
      <w:tr w:rsidR="00D06467">
        <w:tc>
          <w:tcPr>
            <w:tcW w:w="778" w:type="dxa"/>
            <w:vAlign w:val="center"/>
          </w:tcPr>
          <w:p w:rsidR="00D06467" w:rsidRDefault="007046A5">
            <w:pPr>
              <w:jc w:val="center"/>
            </w:pPr>
            <w:r>
              <w:rPr>
                <w:sz w:val="24"/>
              </w:rPr>
              <w:t>5</w:t>
            </w:r>
          </w:p>
        </w:tc>
        <w:tc>
          <w:tcPr>
            <w:tcW w:w="1348" w:type="dxa"/>
            <w:vAlign w:val="center"/>
          </w:tcPr>
          <w:p w:rsidR="00D06467" w:rsidRDefault="007046A5">
            <w:pPr>
              <w:jc w:val="center"/>
            </w:pPr>
            <w:r>
              <w:rPr>
                <w:sz w:val="24"/>
              </w:rPr>
              <w:t>111980597</w:t>
            </w:r>
          </w:p>
        </w:tc>
        <w:tc>
          <w:tcPr>
            <w:tcW w:w="1787" w:type="dxa"/>
            <w:vAlign w:val="center"/>
          </w:tcPr>
          <w:p w:rsidR="00D06467" w:rsidRDefault="007046A5">
            <w:pPr>
              <w:jc w:val="center"/>
            </w:pPr>
            <w:r>
              <w:rPr>
                <w:sz w:val="24"/>
              </w:rPr>
              <w:t>19</w:t>
            </w:r>
            <w:r>
              <w:rPr>
                <w:sz w:val="24"/>
              </w:rPr>
              <w:t>武汉农商行</w:t>
            </w:r>
            <w:r>
              <w:rPr>
                <w:sz w:val="24"/>
              </w:rPr>
              <w:t>CD042</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248,161,172.05</w:t>
            </w:r>
          </w:p>
        </w:tc>
        <w:tc>
          <w:tcPr>
            <w:tcW w:w="1542" w:type="dxa"/>
            <w:vAlign w:val="center"/>
          </w:tcPr>
          <w:p w:rsidR="00D06467" w:rsidRDefault="007046A5">
            <w:pPr>
              <w:jc w:val="center"/>
            </w:pPr>
            <w:r>
              <w:rPr>
                <w:sz w:val="24"/>
              </w:rPr>
              <w:t>3.11</w:t>
            </w:r>
          </w:p>
        </w:tc>
      </w:tr>
      <w:tr w:rsidR="00D06467">
        <w:tc>
          <w:tcPr>
            <w:tcW w:w="778" w:type="dxa"/>
            <w:vAlign w:val="center"/>
          </w:tcPr>
          <w:p w:rsidR="00D06467" w:rsidRDefault="007046A5">
            <w:pPr>
              <w:jc w:val="center"/>
            </w:pPr>
            <w:r>
              <w:rPr>
                <w:sz w:val="24"/>
              </w:rPr>
              <w:t>6</w:t>
            </w:r>
          </w:p>
        </w:tc>
        <w:tc>
          <w:tcPr>
            <w:tcW w:w="1348" w:type="dxa"/>
            <w:vAlign w:val="center"/>
          </w:tcPr>
          <w:p w:rsidR="00D06467" w:rsidRDefault="007046A5">
            <w:pPr>
              <w:jc w:val="center"/>
            </w:pPr>
            <w:r>
              <w:rPr>
                <w:sz w:val="24"/>
              </w:rPr>
              <w:t>111980586</w:t>
            </w:r>
          </w:p>
        </w:tc>
        <w:tc>
          <w:tcPr>
            <w:tcW w:w="1787" w:type="dxa"/>
            <w:vAlign w:val="center"/>
          </w:tcPr>
          <w:p w:rsidR="00D06467" w:rsidRDefault="007046A5">
            <w:pPr>
              <w:jc w:val="center"/>
            </w:pPr>
            <w:r>
              <w:rPr>
                <w:sz w:val="24"/>
              </w:rPr>
              <w:t>19</w:t>
            </w:r>
            <w:r>
              <w:rPr>
                <w:sz w:val="24"/>
              </w:rPr>
              <w:t>贵阳银行</w:t>
            </w:r>
            <w:r>
              <w:rPr>
                <w:sz w:val="24"/>
              </w:rPr>
              <w:t>CD083</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246,411,957.92</w:t>
            </w:r>
          </w:p>
        </w:tc>
        <w:tc>
          <w:tcPr>
            <w:tcW w:w="1542" w:type="dxa"/>
            <w:vAlign w:val="center"/>
          </w:tcPr>
          <w:p w:rsidR="00D06467" w:rsidRDefault="007046A5">
            <w:pPr>
              <w:jc w:val="center"/>
            </w:pPr>
            <w:r>
              <w:rPr>
                <w:sz w:val="24"/>
              </w:rPr>
              <w:t>3.09</w:t>
            </w:r>
          </w:p>
        </w:tc>
      </w:tr>
      <w:tr w:rsidR="00D06467">
        <w:tc>
          <w:tcPr>
            <w:tcW w:w="778" w:type="dxa"/>
            <w:vAlign w:val="center"/>
          </w:tcPr>
          <w:p w:rsidR="00D06467" w:rsidRDefault="007046A5">
            <w:pPr>
              <w:jc w:val="center"/>
            </w:pPr>
            <w:r>
              <w:rPr>
                <w:sz w:val="24"/>
              </w:rPr>
              <w:t>7</w:t>
            </w:r>
          </w:p>
        </w:tc>
        <w:tc>
          <w:tcPr>
            <w:tcW w:w="1348" w:type="dxa"/>
            <w:vAlign w:val="center"/>
          </w:tcPr>
          <w:p w:rsidR="00D06467" w:rsidRDefault="007046A5">
            <w:pPr>
              <w:jc w:val="center"/>
            </w:pPr>
            <w:r>
              <w:rPr>
                <w:sz w:val="24"/>
              </w:rPr>
              <w:t>111994435</w:t>
            </w:r>
          </w:p>
        </w:tc>
        <w:tc>
          <w:tcPr>
            <w:tcW w:w="1787" w:type="dxa"/>
            <w:vAlign w:val="center"/>
          </w:tcPr>
          <w:p w:rsidR="00D06467" w:rsidRDefault="007046A5">
            <w:pPr>
              <w:jc w:val="center"/>
            </w:pPr>
            <w:r>
              <w:rPr>
                <w:sz w:val="24"/>
              </w:rPr>
              <w:t>19</w:t>
            </w:r>
            <w:r>
              <w:rPr>
                <w:sz w:val="24"/>
              </w:rPr>
              <w:t>厦门国际银行</w:t>
            </w:r>
            <w:r>
              <w:rPr>
                <w:sz w:val="24"/>
              </w:rPr>
              <w:t>CD039</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246,398,899.09</w:t>
            </w:r>
          </w:p>
        </w:tc>
        <w:tc>
          <w:tcPr>
            <w:tcW w:w="1542" w:type="dxa"/>
            <w:vAlign w:val="center"/>
          </w:tcPr>
          <w:p w:rsidR="00D06467" w:rsidRDefault="007046A5">
            <w:pPr>
              <w:jc w:val="center"/>
            </w:pPr>
            <w:r>
              <w:rPr>
                <w:sz w:val="24"/>
              </w:rPr>
              <w:t>3.09</w:t>
            </w:r>
          </w:p>
        </w:tc>
      </w:tr>
      <w:tr w:rsidR="00D06467">
        <w:tc>
          <w:tcPr>
            <w:tcW w:w="778" w:type="dxa"/>
            <w:vAlign w:val="center"/>
          </w:tcPr>
          <w:p w:rsidR="00D06467" w:rsidRDefault="007046A5">
            <w:pPr>
              <w:jc w:val="center"/>
            </w:pPr>
            <w:r>
              <w:rPr>
                <w:sz w:val="24"/>
              </w:rPr>
              <w:t>8</w:t>
            </w:r>
          </w:p>
        </w:tc>
        <w:tc>
          <w:tcPr>
            <w:tcW w:w="1348" w:type="dxa"/>
            <w:vAlign w:val="center"/>
          </w:tcPr>
          <w:p w:rsidR="00D06467" w:rsidRDefault="007046A5">
            <w:pPr>
              <w:jc w:val="center"/>
            </w:pPr>
            <w:r>
              <w:rPr>
                <w:sz w:val="24"/>
              </w:rPr>
              <w:t>111980561</w:t>
            </w:r>
          </w:p>
        </w:tc>
        <w:tc>
          <w:tcPr>
            <w:tcW w:w="1787" w:type="dxa"/>
            <w:vAlign w:val="center"/>
          </w:tcPr>
          <w:p w:rsidR="00D06467" w:rsidRDefault="007046A5">
            <w:pPr>
              <w:jc w:val="center"/>
            </w:pPr>
            <w:r>
              <w:rPr>
                <w:sz w:val="24"/>
              </w:rPr>
              <w:t>19</w:t>
            </w:r>
            <w:r>
              <w:rPr>
                <w:sz w:val="24"/>
              </w:rPr>
              <w:t>长安银行</w:t>
            </w:r>
            <w:r>
              <w:rPr>
                <w:sz w:val="24"/>
              </w:rPr>
              <w:t>CD070</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245,899,679.98</w:t>
            </w:r>
          </w:p>
        </w:tc>
        <w:tc>
          <w:tcPr>
            <w:tcW w:w="1542" w:type="dxa"/>
            <w:vAlign w:val="center"/>
          </w:tcPr>
          <w:p w:rsidR="00D06467" w:rsidRDefault="007046A5">
            <w:pPr>
              <w:jc w:val="center"/>
            </w:pPr>
            <w:r>
              <w:rPr>
                <w:sz w:val="24"/>
              </w:rPr>
              <w:t>3.09</w:t>
            </w:r>
          </w:p>
        </w:tc>
      </w:tr>
      <w:tr w:rsidR="00D06467">
        <w:tc>
          <w:tcPr>
            <w:tcW w:w="778" w:type="dxa"/>
            <w:vAlign w:val="center"/>
          </w:tcPr>
          <w:p w:rsidR="00D06467" w:rsidRDefault="007046A5">
            <w:pPr>
              <w:jc w:val="center"/>
            </w:pPr>
            <w:r>
              <w:rPr>
                <w:sz w:val="24"/>
              </w:rPr>
              <w:t>9</w:t>
            </w:r>
          </w:p>
        </w:tc>
        <w:tc>
          <w:tcPr>
            <w:tcW w:w="1348" w:type="dxa"/>
            <w:vAlign w:val="center"/>
          </w:tcPr>
          <w:p w:rsidR="00D06467" w:rsidRDefault="007046A5">
            <w:pPr>
              <w:jc w:val="center"/>
            </w:pPr>
            <w:r>
              <w:rPr>
                <w:sz w:val="24"/>
              </w:rPr>
              <w:t>111980945</w:t>
            </w:r>
          </w:p>
        </w:tc>
        <w:tc>
          <w:tcPr>
            <w:tcW w:w="1787" w:type="dxa"/>
            <w:vAlign w:val="center"/>
          </w:tcPr>
          <w:p w:rsidR="00D06467" w:rsidRDefault="007046A5">
            <w:pPr>
              <w:jc w:val="center"/>
            </w:pPr>
            <w:r>
              <w:rPr>
                <w:sz w:val="24"/>
              </w:rPr>
              <w:t>19</w:t>
            </w:r>
            <w:r>
              <w:rPr>
                <w:sz w:val="24"/>
              </w:rPr>
              <w:t>广州农村商业银行</w:t>
            </w:r>
            <w:r>
              <w:rPr>
                <w:sz w:val="24"/>
              </w:rPr>
              <w:t>CD073</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244,420,589.34</w:t>
            </w:r>
          </w:p>
        </w:tc>
        <w:tc>
          <w:tcPr>
            <w:tcW w:w="1542" w:type="dxa"/>
            <w:vAlign w:val="center"/>
          </w:tcPr>
          <w:p w:rsidR="00D06467" w:rsidRDefault="007046A5">
            <w:pPr>
              <w:jc w:val="center"/>
            </w:pPr>
            <w:r>
              <w:rPr>
                <w:sz w:val="24"/>
              </w:rPr>
              <w:t>3.07</w:t>
            </w:r>
          </w:p>
        </w:tc>
      </w:tr>
      <w:tr w:rsidR="00D06467">
        <w:tc>
          <w:tcPr>
            <w:tcW w:w="778" w:type="dxa"/>
            <w:vAlign w:val="center"/>
          </w:tcPr>
          <w:p w:rsidR="00D06467" w:rsidRDefault="007046A5">
            <w:pPr>
              <w:jc w:val="center"/>
            </w:pPr>
            <w:r>
              <w:rPr>
                <w:sz w:val="24"/>
              </w:rPr>
              <w:t>10</w:t>
            </w:r>
          </w:p>
        </w:tc>
        <w:tc>
          <w:tcPr>
            <w:tcW w:w="1348" w:type="dxa"/>
            <w:vAlign w:val="center"/>
          </w:tcPr>
          <w:p w:rsidR="00D06467" w:rsidRDefault="007046A5">
            <w:pPr>
              <w:jc w:val="center"/>
            </w:pPr>
            <w:r>
              <w:rPr>
                <w:sz w:val="24"/>
              </w:rPr>
              <w:t>111913047</w:t>
            </w:r>
          </w:p>
        </w:tc>
        <w:tc>
          <w:tcPr>
            <w:tcW w:w="1787" w:type="dxa"/>
            <w:vAlign w:val="center"/>
          </w:tcPr>
          <w:p w:rsidR="00D06467" w:rsidRDefault="007046A5">
            <w:pPr>
              <w:jc w:val="center"/>
            </w:pPr>
            <w:r>
              <w:rPr>
                <w:sz w:val="24"/>
              </w:rPr>
              <w:t>19</w:t>
            </w:r>
            <w:r>
              <w:rPr>
                <w:sz w:val="24"/>
              </w:rPr>
              <w:t>浙商银行</w:t>
            </w:r>
            <w:r>
              <w:rPr>
                <w:sz w:val="24"/>
              </w:rPr>
              <w:t>CD047</w:t>
            </w:r>
          </w:p>
        </w:tc>
        <w:tc>
          <w:tcPr>
            <w:tcW w:w="1756" w:type="dxa"/>
            <w:vAlign w:val="center"/>
          </w:tcPr>
          <w:p w:rsidR="00D06467" w:rsidRDefault="007046A5">
            <w:pPr>
              <w:jc w:val="center"/>
            </w:pPr>
            <w:r>
              <w:rPr>
                <w:sz w:val="24"/>
              </w:rPr>
              <w:t>2,500,000</w:t>
            </w:r>
          </w:p>
        </w:tc>
        <w:tc>
          <w:tcPr>
            <w:tcW w:w="2008" w:type="dxa"/>
            <w:vAlign w:val="center"/>
          </w:tcPr>
          <w:p w:rsidR="00D06467" w:rsidRDefault="007046A5">
            <w:pPr>
              <w:jc w:val="center"/>
            </w:pPr>
            <w:r>
              <w:rPr>
                <w:sz w:val="24"/>
              </w:rPr>
              <w:t>244,385,731.98</w:t>
            </w:r>
          </w:p>
        </w:tc>
        <w:tc>
          <w:tcPr>
            <w:tcW w:w="1542" w:type="dxa"/>
            <w:vAlign w:val="center"/>
          </w:tcPr>
          <w:p w:rsidR="00D06467" w:rsidRDefault="007046A5">
            <w:pPr>
              <w:jc w:val="center"/>
            </w:pPr>
            <w:r>
              <w:rPr>
                <w:sz w:val="24"/>
              </w:rPr>
              <w:t>3.07</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4</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0.2631%</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-0.0168%</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0.1174%</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D06467">
        <w:tc>
          <w:tcPr>
            <w:tcW w:w="1179" w:type="dxa"/>
            <w:vAlign w:val="center"/>
          </w:tcPr>
          <w:p w:rsidR="00D06467" w:rsidRDefault="007046A5">
            <w:pPr>
              <w:jc w:val="center"/>
            </w:pPr>
            <w:r>
              <w:rPr>
                <w:sz w:val="24"/>
              </w:rPr>
              <w:t>1</w:t>
            </w:r>
          </w:p>
        </w:tc>
        <w:tc>
          <w:tcPr>
            <w:tcW w:w="1270" w:type="dxa"/>
            <w:vAlign w:val="center"/>
          </w:tcPr>
          <w:p w:rsidR="00D06467" w:rsidRDefault="007046A5">
            <w:pPr>
              <w:jc w:val="center"/>
            </w:pPr>
            <w:r>
              <w:rPr>
                <w:sz w:val="24"/>
              </w:rPr>
              <w:t>1989094</w:t>
            </w:r>
          </w:p>
        </w:tc>
        <w:tc>
          <w:tcPr>
            <w:tcW w:w="1318" w:type="dxa"/>
            <w:vAlign w:val="center"/>
          </w:tcPr>
          <w:p w:rsidR="00D06467" w:rsidRDefault="007046A5">
            <w:pPr>
              <w:jc w:val="center"/>
            </w:pPr>
            <w:r>
              <w:rPr>
                <w:sz w:val="24"/>
              </w:rPr>
              <w:t>19</w:t>
            </w:r>
            <w:r>
              <w:rPr>
                <w:sz w:val="24"/>
              </w:rPr>
              <w:t>上和</w:t>
            </w:r>
            <w:r>
              <w:rPr>
                <w:sz w:val="24"/>
              </w:rPr>
              <w:t>2A1</w:t>
            </w:r>
          </w:p>
        </w:tc>
        <w:tc>
          <w:tcPr>
            <w:tcW w:w="1468" w:type="dxa"/>
            <w:vAlign w:val="center"/>
          </w:tcPr>
          <w:p w:rsidR="00D06467" w:rsidRDefault="007046A5">
            <w:pPr>
              <w:jc w:val="right"/>
            </w:pPr>
            <w:r>
              <w:rPr>
                <w:sz w:val="24"/>
              </w:rPr>
              <w:t>600,000</w:t>
            </w:r>
          </w:p>
        </w:tc>
        <w:tc>
          <w:tcPr>
            <w:tcW w:w="1583" w:type="dxa"/>
            <w:vAlign w:val="center"/>
          </w:tcPr>
          <w:p w:rsidR="00D06467" w:rsidRDefault="007046A5">
            <w:pPr>
              <w:jc w:val="right"/>
            </w:pPr>
            <w:r>
              <w:rPr>
                <w:sz w:val="24"/>
              </w:rPr>
              <w:t>31,746,000.00</w:t>
            </w:r>
          </w:p>
        </w:tc>
        <w:tc>
          <w:tcPr>
            <w:tcW w:w="2401" w:type="dxa"/>
            <w:vAlign w:val="center"/>
          </w:tcPr>
          <w:p w:rsidR="00D06467" w:rsidRDefault="007046A5">
            <w:pPr>
              <w:jc w:val="right"/>
            </w:pPr>
            <w:r>
              <w:rPr>
                <w:sz w:val="24"/>
              </w:rPr>
              <w:t>0.40</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26,487,761.58</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26,487,761.58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90"/>
        <w:gridCol w:w="776"/>
        <w:gridCol w:w="1716"/>
        <w:gridCol w:w="1896"/>
        <w:gridCol w:w="1076"/>
        <w:gridCol w:w="147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181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55,948.84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5,807,229.54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57.35%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4,319,510.15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42.65%</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60</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497,386,581.91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7,958,185,310.61</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197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40,448,284.52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7,963,992,540.15</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4,319,510.15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0.05%</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5"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5"/>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274.76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60</w:t>
            </w:r>
            <w:r w:rsidRPr="0061644B">
              <w:rPr>
                <w:sz w:val="24"/>
              </w:rPr>
              <w:t>天债券</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274.76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60</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36" w:name="_Toc331410115"/>
      <w:bookmarkStart w:id="37" w:name="_Toc225500053"/>
      <w:r w:rsidRPr="0061644B">
        <w:rPr>
          <w:b/>
          <w:bCs/>
          <w:szCs w:val="24"/>
          <w:lang w:val="en-US"/>
        </w:rPr>
        <w:t>9</w:t>
      </w:r>
      <w:r w:rsidR="006D141C" w:rsidRPr="0061644B">
        <w:rPr>
          <w:b/>
          <w:bCs/>
          <w:szCs w:val="24"/>
          <w:lang w:val="en-US"/>
        </w:rPr>
        <w:t>开放式基金份额变动</w:t>
      </w:r>
      <w:bookmarkEnd w:id="36"/>
      <w:bookmarkEnd w:id="37"/>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60</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2013</w:t>
            </w:r>
            <w:r w:rsidRPr="0061644B">
              <w:rPr>
                <w:sz w:val="24"/>
              </w:rPr>
              <w:t>年</w:t>
            </w:r>
            <w:r w:rsidRPr="0061644B">
              <w:rPr>
                <w:sz w:val="24"/>
              </w:rPr>
              <w:t>3</w:t>
            </w:r>
            <w:r w:rsidRPr="0061644B">
              <w:rPr>
                <w:sz w:val="24"/>
              </w:rPr>
              <w:t>月</w:t>
            </w:r>
            <w:r w:rsidRPr="0061644B">
              <w:rPr>
                <w:sz w:val="24"/>
              </w:rPr>
              <w:t>13</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21,172,518.09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8,956,638.90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11,759,859,670.82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1,800,538.80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155,098,865.26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630,438.01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3,956,773,225.47</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10,126,739.69</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7,958,185,310.61</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2</w:t>
      </w:r>
      <w:r w:rsidRPr="0061644B">
        <w:rPr>
          <w:kern w:val="0"/>
          <w:sz w:val="24"/>
        </w:rPr>
        <w:t>、如果本报告期间发生转换出、份额类别调整业务，则总赎回份额中包含该业务。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38" w:name="_Toc331410116"/>
      <w:bookmarkStart w:id="39" w:name="_Toc225500054"/>
      <w:r w:rsidRPr="00B54CAD">
        <w:rPr>
          <w:b/>
          <w:bCs/>
          <w:szCs w:val="24"/>
          <w:lang w:val="en-US"/>
        </w:rPr>
        <w:t>10</w:t>
      </w:r>
      <w:r w:rsidRPr="00B54CAD">
        <w:rPr>
          <w:b/>
          <w:bCs/>
          <w:szCs w:val="24"/>
          <w:lang w:val="en-US"/>
        </w:rPr>
        <w:t>重大事件揭示</w:t>
      </w:r>
      <w:bookmarkEnd w:id="38"/>
      <w:bookmarkEnd w:id="39"/>
    </w:p>
    <w:p w:rsidR="00B54CAD" w:rsidRPr="00B54CAD" w:rsidRDefault="00B54CAD" w:rsidP="00B54CAD">
      <w:pPr>
        <w:pStyle w:val="20"/>
        <w:spacing w:before="29" w:after="0" w:line="288" w:lineRule="auto"/>
        <w:rPr>
          <w:rFonts w:ascii="Times New Roman" w:hAnsi="Times New Roman"/>
          <w:kern w:val="0"/>
          <w:szCs w:val="24"/>
        </w:rPr>
      </w:pPr>
      <w:bookmarkStart w:id="40" w:name="_Toc374438161"/>
      <w:bookmarkStart w:id="41" w:name="_Toc361324894"/>
      <w:bookmarkStart w:id="42" w:name="OLE_LINK179"/>
      <w:bookmarkStart w:id="43" w:name="OLE_LINK178"/>
      <w:bookmarkStart w:id="44" w:name="OLE_LINK174"/>
      <w:bookmarkStart w:id="45" w:name="OLE_LINK165"/>
      <w:bookmarkStart w:id="46" w:name="OLE_LINK145"/>
      <w:bookmarkStart w:id="47" w:name="OLE_LINK135"/>
      <w:bookmarkStart w:id="48" w:name="OLE_LINK84"/>
      <w:bookmarkStart w:id="49" w:name="OLE_LINK75"/>
      <w:bookmarkStart w:id="50" w:name="OLE_LINK59"/>
      <w:bookmarkStart w:id="51" w:name="OLE_LINK34"/>
      <w:bookmarkStart w:id="52" w:name="OLE_LINK33"/>
      <w:bookmarkStart w:id="53" w:name="OLE_LINK28"/>
      <w:bookmarkStart w:id="54" w:name="OLE_LINK170"/>
      <w:bookmarkStart w:id="55" w:name="OLE_LINK159"/>
      <w:bookmarkStart w:id="56" w:name="OLE_LINK143"/>
      <w:bookmarkStart w:id="57" w:name="OLE_LINK130"/>
      <w:bookmarkStart w:id="58" w:name="OLE_LINK102"/>
      <w:bookmarkStart w:id="59" w:name="OLE_LINK101"/>
      <w:bookmarkStart w:id="60" w:name="OLE_LINK72"/>
      <w:bookmarkStart w:id="61" w:name="OLE_LINK50"/>
      <w:bookmarkStart w:id="62"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0"/>
      <w:bookmarkEnd w:id="41"/>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3" w:name="_Toc374438162"/>
      <w:bookmarkStart w:id="64"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3"/>
      <w:bookmarkEnd w:id="64"/>
    </w:p>
    <w:p w:rsidR="00D06467" w:rsidRDefault="007046A5">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、基金托管人的基金托管部门的重大人事变动：本基金托管人中国建设银行股份有限公司于</w:t>
      </w:r>
      <w:r w:rsidRPr="00B54CAD">
        <w:rPr>
          <w:kern w:val="0"/>
          <w:sz w:val="24"/>
        </w:rPr>
        <w:t>2019</w:t>
      </w:r>
      <w:r w:rsidRPr="00B54CAD">
        <w:rPr>
          <w:kern w:val="0"/>
          <w:sz w:val="24"/>
        </w:rPr>
        <w:t>年</w:t>
      </w:r>
      <w:r w:rsidRPr="00B54CAD">
        <w:rPr>
          <w:kern w:val="0"/>
          <w:sz w:val="24"/>
        </w:rPr>
        <w:t>6</w:t>
      </w:r>
      <w:r w:rsidRPr="00B54CAD">
        <w:rPr>
          <w:kern w:val="0"/>
          <w:sz w:val="24"/>
        </w:rPr>
        <w:t>月</w:t>
      </w:r>
      <w:r w:rsidRPr="00B54CAD">
        <w:rPr>
          <w:kern w:val="0"/>
          <w:sz w:val="24"/>
        </w:rPr>
        <w:t>4</w:t>
      </w:r>
      <w:r w:rsidRPr="00B54CAD">
        <w:rPr>
          <w:kern w:val="0"/>
          <w:sz w:val="24"/>
        </w:rPr>
        <w:t>日发布公告，聘任蔡亚蓉为资产托管业务部总经理。</w:t>
      </w:r>
      <w:r w:rsidRPr="00B54CAD">
        <w:rPr>
          <w:kern w:val="0"/>
          <w:sz w:val="24"/>
        </w:rPr>
        <w:t xml:space="preserve"> </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5" w:name="_Toc374438163"/>
      <w:bookmarkStart w:id="66"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5"/>
      <w:bookmarkEnd w:id="66"/>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4"/>
      <w:bookmarkStart w:id="68"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67"/>
      <w:bookmarkEnd w:id="68"/>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409100103"/>
      <w:bookmarkStart w:id="70"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69"/>
      <w:bookmarkEnd w:id="70"/>
    </w:p>
    <w:p w:rsidR="00B54CAD" w:rsidRPr="00B54CAD" w:rsidRDefault="00B54CAD" w:rsidP="00B54CAD">
      <w:pPr>
        <w:tabs>
          <w:tab w:val="left" w:pos="426"/>
        </w:tabs>
        <w:spacing w:before="29" w:line="288" w:lineRule="auto"/>
        <w:jc w:val="left"/>
        <w:rPr>
          <w:kern w:val="0"/>
          <w:sz w:val="24"/>
        </w:rPr>
      </w:pPr>
      <w:bookmarkStart w:id="71"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2" w:name="_Toc361324899"/>
      <w:bookmarkStart w:id="73" w:name="_Toc409100467"/>
      <w:bookmarkStart w:id="74" w:name="_Toc409100104"/>
      <w:bookmarkEnd w:id="71"/>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2"/>
      <w:bookmarkEnd w:id="73"/>
      <w:bookmarkEnd w:id="74"/>
    </w:p>
    <w:p w:rsidR="00D06467" w:rsidRDefault="007046A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06467" w:rsidRDefault="007046A5">
      <w:pPr>
        <w:tabs>
          <w:tab w:val="left" w:pos="426"/>
        </w:tabs>
        <w:spacing w:before="29" w:line="288" w:lineRule="auto"/>
        <w:jc w:val="left"/>
        <w:rPr>
          <w:kern w:val="0"/>
          <w:sz w:val="24"/>
        </w:rPr>
      </w:pPr>
      <w:r>
        <w:rPr>
          <w:kern w:val="0"/>
          <w:sz w:val="24"/>
        </w:rPr>
        <w:t>基金管理人及其高级管理人员本报告期内未受监管部门稽查或处罚。</w:t>
      </w:r>
    </w:p>
    <w:p w:rsidR="00D06467" w:rsidRDefault="007046A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5" w:name="_Toc409100105"/>
      <w:bookmarkStart w:id="76" w:name="_Toc409100468"/>
      <w:bookmarkStart w:id="77"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5"/>
      <w:bookmarkEnd w:id="76"/>
      <w:bookmarkEnd w:id="77"/>
    </w:p>
    <w:p w:rsidR="00B54CAD" w:rsidRPr="00B54CAD" w:rsidRDefault="00B54CAD" w:rsidP="00B54CAD">
      <w:pPr>
        <w:tabs>
          <w:tab w:val="left" w:pos="426"/>
        </w:tabs>
        <w:spacing w:before="29" w:line="288" w:lineRule="auto"/>
        <w:jc w:val="left"/>
        <w:rPr>
          <w:b/>
          <w:kern w:val="0"/>
          <w:sz w:val="24"/>
        </w:rPr>
      </w:pPr>
      <w:bookmarkStart w:id="78" w:name="_Toc249760070"/>
      <w:r w:rsidRPr="00B54CAD">
        <w:rPr>
          <w:b/>
          <w:kern w:val="0"/>
          <w:sz w:val="24"/>
        </w:rPr>
        <w:t>10.8.1</w:t>
      </w:r>
      <w:r w:rsidRPr="00B54CAD">
        <w:rPr>
          <w:rFonts w:hint="eastAsia"/>
          <w:b/>
          <w:kern w:val="0"/>
          <w:sz w:val="24"/>
        </w:rPr>
        <w:t>基金租用证券公司交易单元进行股票投资及佣金支付情况</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78"/>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79"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D06467">
        <w:tc>
          <w:tcPr>
            <w:tcW w:w="1559" w:type="dxa"/>
            <w:vAlign w:val="center"/>
          </w:tcPr>
          <w:p w:rsidR="00D06467" w:rsidRDefault="007046A5">
            <w:pPr>
              <w:jc w:val="center"/>
            </w:pPr>
            <w:r>
              <w:rPr>
                <w:sz w:val="24"/>
              </w:rPr>
              <w:t>中信建投证券股份有限公司</w:t>
            </w:r>
          </w:p>
        </w:tc>
        <w:tc>
          <w:tcPr>
            <w:tcW w:w="779" w:type="dxa"/>
            <w:vAlign w:val="center"/>
          </w:tcPr>
          <w:p w:rsidR="00D06467" w:rsidRDefault="007046A5">
            <w:pPr>
              <w:jc w:val="right"/>
            </w:pPr>
            <w:r>
              <w:rPr>
                <w:sz w:val="24"/>
              </w:rPr>
              <w:t>1</w:t>
            </w:r>
          </w:p>
        </w:tc>
        <w:tc>
          <w:tcPr>
            <w:tcW w:w="1800" w:type="dxa"/>
            <w:vAlign w:val="center"/>
          </w:tcPr>
          <w:p w:rsidR="00D06467" w:rsidRDefault="007046A5">
            <w:pPr>
              <w:jc w:val="right"/>
            </w:pPr>
            <w:r>
              <w:rPr>
                <w:sz w:val="24"/>
              </w:rPr>
              <w:t>-</w:t>
            </w:r>
          </w:p>
        </w:tc>
        <w:tc>
          <w:tcPr>
            <w:tcW w:w="1080" w:type="dxa"/>
            <w:vAlign w:val="center"/>
          </w:tcPr>
          <w:p w:rsidR="00D06467" w:rsidRDefault="007046A5">
            <w:pPr>
              <w:jc w:val="right"/>
            </w:pPr>
            <w:r>
              <w:rPr>
                <w:sz w:val="24"/>
              </w:rPr>
              <w:t>-</w:t>
            </w:r>
          </w:p>
        </w:tc>
        <w:tc>
          <w:tcPr>
            <w:tcW w:w="1620" w:type="dxa"/>
            <w:vAlign w:val="center"/>
          </w:tcPr>
          <w:p w:rsidR="00D06467" w:rsidRDefault="007046A5">
            <w:pPr>
              <w:jc w:val="right"/>
            </w:pPr>
            <w:r>
              <w:rPr>
                <w:sz w:val="24"/>
              </w:rPr>
              <w:t>-</w:t>
            </w:r>
          </w:p>
        </w:tc>
        <w:tc>
          <w:tcPr>
            <w:tcW w:w="1080" w:type="dxa"/>
            <w:vAlign w:val="center"/>
          </w:tcPr>
          <w:p w:rsidR="00D06467" w:rsidRDefault="007046A5">
            <w:pPr>
              <w:jc w:val="right"/>
            </w:pPr>
            <w:r>
              <w:rPr>
                <w:sz w:val="24"/>
              </w:rPr>
              <w:t>-</w:t>
            </w:r>
          </w:p>
        </w:tc>
        <w:tc>
          <w:tcPr>
            <w:tcW w:w="1080" w:type="dxa"/>
            <w:vAlign w:val="center"/>
          </w:tcPr>
          <w:p w:rsidR="00D06467" w:rsidRDefault="007046A5">
            <w:pPr>
              <w:jc w:val="left"/>
            </w:pPr>
            <w:r>
              <w:rPr>
                <w:sz w:val="24"/>
              </w:rPr>
              <w:t>-</w:t>
            </w:r>
          </w:p>
        </w:tc>
      </w:tr>
      <w:tr w:rsidR="00D06467">
        <w:tc>
          <w:tcPr>
            <w:tcW w:w="1559" w:type="dxa"/>
            <w:vAlign w:val="center"/>
          </w:tcPr>
          <w:p w:rsidR="00D06467" w:rsidRDefault="007046A5">
            <w:pPr>
              <w:jc w:val="center"/>
            </w:pPr>
            <w:r>
              <w:rPr>
                <w:sz w:val="24"/>
              </w:rPr>
              <w:t>申万宏源证券有限公司</w:t>
            </w:r>
          </w:p>
        </w:tc>
        <w:tc>
          <w:tcPr>
            <w:tcW w:w="779" w:type="dxa"/>
            <w:vAlign w:val="center"/>
          </w:tcPr>
          <w:p w:rsidR="00D06467" w:rsidRDefault="007046A5">
            <w:pPr>
              <w:jc w:val="right"/>
            </w:pPr>
            <w:r>
              <w:rPr>
                <w:sz w:val="24"/>
              </w:rPr>
              <w:t>1</w:t>
            </w:r>
          </w:p>
        </w:tc>
        <w:tc>
          <w:tcPr>
            <w:tcW w:w="1800" w:type="dxa"/>
            <w:vAlign w:val="center"/>
          </w:tcPr>
          <w:p w:rsidR="00D06467" w:rsidRDefault="007046A5">
            <w:pPr>
              <w:jc w:val="right"/>
            </w:pPr>
            <w:r>
              <w:rPr>
                <w:sz w:val="24"/>
              </w:rPr>
              <w:t>-</w:t>
            </w:r>
          </w:p>
        </w:tc>
        <w:tc>
          <w:tcPr>
            <w:tcW w:w="1080" w:type="dxa"/>
            <w:vAlign w:val="center"/>
          </w:tcPr>
          <w:p w:rsidR="00D06467" w:rsidRDefault="007046A5">
            <w:pPr>
              <w:jc w:val="right"/>
            </w:pPr>
            <w:r>
              <w:rPr>
                <w:sz w:val="24"/>
              </w:rPr>
              <w:t>-</w:t>
            </w:r>
          </w:p>
        </w:tc>
        <w:tc>
          <w:tcPr>
            <w:tcW w:w="1620" w:type="dxa"/>
            <w:vAlign w:val="center"/>
          </w:tcPr>
          <w:p w:rsidR="00D06467" w:rsidRDefault="007046A5">
            <w:pPr>
              <w:jc w:val="right"/>
            </w:pPr>
            <w:r>
              <w:rPr>
                <w:sz w:val="24"/>
              </w:rPr>
              <w:t>-</w:t>
            </w:r>
          </w:p>
        </w:tc>
        <w:tc>
          <w:tcPr>
            <w:tcW w:w="1080" w:type="dxa"/>
            <w:vAlign w:val="center"/>
          </w:tcPr>
          <w:p w:rsidR="00D06467" w:rsidRDefault="007046A5">
            <w:pPr>
              <w:jc w:val="right"/>
            </w:pPr>
            <w:r>
              <w:rPr>
                <w:sz w:val="24"/>
              </w:rPr>
              <w:t>-</w:t>
            </w:r>
          </w:p>
        </w:tc>
        <w:tc>
          <w:tcPr>
            <w:tcW w:w="1080" w:type="dxa"/>
            <w:vAlign w:val="center"/>
          </w:tcPr>
          <w:p w:rsidR="00D06467" w:rsidRDefault="007046A5">
            <w:pPr>
              <w:jc w:val="left"/>
            </w:pPr>
            <w:r>
              <w:rPr>
                <w:sz w:val="24"/>
              </w:rPr>
              <w:t>-</w:t>
            </w:r>
          </w:p>
        </w:tc>
      </w:tr>
    </w:tbl>
    <w:p w:rsidR="00D06467" w:rsidRDefault="007046A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06467" w:rsidRDefault="007046A5">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54CAD" w:rsidRDefault="006D141C" w:rsidP="00792A69">
      <w:pPr>
        <w:tabs>
          <w:tab w:val="left" w:pos="426"/>
        </w:tabs>
        <w:spacing w:before="29" w:line="288" w:lineRule="auto"/>
        <w:jc w:val="left"/>
        <w:rPr>
          <w:kern w:val="0"/>
          <w:sz w:val="24"/>
        </w:rPr>
      </w:pPr>
      <w:r w:rsidRPr="00B54CAD">
        <w:rPr>
          <w:kern w:val="0"/>
          <w:sz w:val="24"/>
        </w:rPr>
        <w:t>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0" w:name="OLE_LINK177"/>
      <w:bookmarkStart w:id="81" w:name="OLE_LINK176"/>
      <w:bookmarkStart w:id="82" w:name="OLE_LINK175"/>
      <w:bookmarkStart w:id="83" w:name="OLE_LINK156"/>
      <w:bookmarkStart w:id="84" w:name="OLE_LINK146"/>
      <w:bookmarkStart w:id="85" w:name="OLE_LINK108"/>
      <w:bookmarkStart w:id="86" w:name="OLE_LINK37"/>
      <w:bookmarkStart w:id="87" w:name="OLE_LINK36"/>
      <w:bookmarkStart w:id="88" w:name="OLE_LINK35"/>
      <w:bookmarkStart w:id="89" w:name="OLE_LINK32"/>
      <w:bookmarkStart w:id="90" w:name="OLE_LINK31"/>
      <w:bookmarkStart w:id="91" w:name="OLE_LINK30"/>
      <w:bookmarkStart w:id="92" w:name="OLE_LINK29"/>
      <w:bookmarkEnd w:id="79"/>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0"/>
      <w:bookmarkEnd w:id="81"/>
      <w:bookmarkEnd w:id="82"/>
      <w:bookmarkEnd w:id="83"/>
      <w:bookmarkEnd w:id="84"/>
      <w:bookmarkEnd w:id="85"/>
      <w:bookmarkEnd w:id="86"/>
      <w:bookmarkEnd w:id="87"/>
      <w:bookmarkEnd w:id="88"/>
      <w:bookmarkEnd w:id="89"/>
      <w:bookmarkEnd w:id="90"/>
      <w:bookmarkEnd w:id="91"/>
      <w:bookmarkEnd w:id="92"/>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3"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3"/>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06467">
        <w:tc>
          <w:tcPr>
            <w:tcW w:w="993" w:type="dxa"/>
            <w:vMerge w:val="restart"/>
          </w:tcPr>
          <w:p w:rsidR="00D06467" w:rsidRDefault="00D06467"/>
          <w:p w:rsidR="00D06467" w:rsidRDefault="007046A5">
            <w:r>
              <w:rPr>
                <w:rFonts w:ascii="宋体" w:hAnsi="宋体" w:hint="eastAsia"/>
                <w:bCs/>
                <w:color w:val="000000"/>
                <w:kern w:val="0"/>
                <w:szCs w:val="21"/>
              </w:rPr>
              <w:t>机构</w:t>
            </w:r>
          </w:p>
        </w:tc>
        <w:tc>
          <w:tcPr>
            <w:tcW w:w="992" w:type="dxa"/>
            <w:vAlign w:val="center"/>
          </w:tcPr>
          <w:p w:rsidR="00D06467" w:rsidRDefault="007046A5">
            <w:pPr>
              <w:jc w:val="center"/>
            </w:pPr>
            <w:r>
              <w:rPr>
                <w:rFonts w:ascii="宋体" w:hAnsi="宋体"/>
                <w:color w:val="000000"/>
                <w:kern w:val="0"/>
                <w:szCs w:val="21"/>
              </w:rPr>
              <w:t>1</w:t>
            </w:r>
          </w:p>
        </w:tc>
        <w:tc>
          <w:tcPr>
            <w:tcW w:w="1843" w:type="dxa"/>
            <w:vAlign w:val="center"/>
          </w:tcPr>
          <w:p w:rsidR="00D06467" w:rsidRDefault="007046A5">
            <w:pPr>
              <w:jc w:val="center"/>
            </w:pPr>
            <w:r>
              <w:rPr>
                <w:rFonts w:ascii="宋体" w:hAnsi="宋体"/>
                <w:color w:val="000000"/>
                <w:kern w:val="0"/>
                <w:szCs w:val="21"/>
              </w:rPr>
              <w:t>2019/1/1-2019/6/30</w:t>
            </w:r>
          </w:p>
        </w:tc>
        <w:tc>
          <w:tcPr>
            <w:tcW w:w="851" w:type="dxa"/>
            <w:vAlign w:val="center"/>
          </w:tcPr>
          <w:p w:rsidR="00D06467" w:rsidRDefault="007046A5">
            <w:pPr>
              <w:jc w:val="center"/>
            </w:pPr>
            <w:r>
              <w:rPr>
                <w:rFonts w:ascii="宋体" w:hAnsi="宋体"/>
                <w:color w:val="000000"/>
                <w:kern w:val="0"/>
                <w:szCs w:val="21"/>
              </w:rPr>
              <w:t>2,058,909,336.83</w:t>
            </w:r>
          </w:p>
        </w:tc>
        <w:tc>
          <w:tcPr>
            <w:tcW w:w="850" w:type="dxa"/>
            <w:vAlign w:val="center"/>
          </w:tcPr>
          <w:p w:rsidR="00D06467" w:rsidRDefault="007046A5">
            <w:pPr>
              <w:jc w:val="center"/>
            </w:pPr>
            <w:r>
              <w:rPr>
                <w:rFonts w:ascii="宋体" w:hAnsi="宋体"/>
                <w:color w:val="000000"/>
                <w:kern w:val="0"/>
                <w:szCs w:val="21"/>
              </w:rPr>
              <w:t>36,363,401.65</w:t>
            </w:r>
          </w:p>
        </w:tc>
        <w:tc>
          <w:tcPr>
            <w:tcW w:w="1134" w:type="dxa"/>
            <w:vAlign w:val="center"/>
          </w:tcPr>
          <w:p w:rsidR="00D06467" w:rsidRDefault="007046A5">
            <w:pPr>
              <w:jc w:val="center"/>
            </w:pPr>
            <w:r>
              <w:rPr>
                <w:rFonts w:ascii="宋体" w:hAnsi="宋体"/>
                <w:color w:val="000000"/>
                <w:kern w:val="0"/>
                <w:szCs w:val="21"/>
              </w:rPr>
              <w:t>-</w:t>
            </w:r>
          </w:p>
        </w:tc>
        <w:tc>
          <w:tcPr>
            <w:tcW w:w="1419" w:type="dxa"/>
            <w:vAlign w:val="center"/>
          </w:tcPr>
          <w:p w:rsidR="00D06467" w:rsidRDefault="007046A5">
            <w:pPr>
              <w:jc w:val="center"/>
            </w:pPr>
            <w:r>
              <w:rPr>
                <w:rFonts w:ascii="宋体" w:hAnsi="宋体"/>
                <w:color w:val="000000"/>
                <w:kern w:val="0"/>
                <w:szCs w:val="21"/>
              </w:rPr>
              <w:t>2,095,272,738.48</w:t>
            </w:r>
          </w:p>
        </w:tc>
        <w:tc>
          <w:tcPr>
            <w:tcW w:w="1130" w:type="dxa"/>
            <w:vAlign w:val="center"/>
          </w:tcPr>
          <w:p w:rsidR="00D06467" w:rsidRDefault="007046A5">
            <w:pPr>
              <w:jc w:val="center"/>
            </w:pPr>
            <w:r>
              <w:rPr>
                <w:rFonts w:ascii="宋体" w:hAnsi="宋体"/>
                <w:color w:val="000000"/>
                <w:kern w:val="0"/>
                <w:szCs w:val="21"/>
              </w:rPr>
              <w:t>26.30%</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7046A5"/>
    <w:sectPr w:rsidR="00000000"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7046A5">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7046A5">
      <w:rPr>
        <w:noProof/>
        <w:kern w:val="0"/>
        <w:szCs w:val="21"/>
      </w:rPr>
      <w:t>31</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交银施罗德理财</w:t>
    </w:r>
    <w:r w:rsidRPr="0023771C">
      <w:rPr>
        <w:rFonts w:hint="eastAsia"/>
      </w:rPr>
      <w:t>60</w:t>
    </w:r>
    <w:r w:rsidRPr="0023771C">
      <w:rPr>
        <w:rFonts w:hint="eastAsia"/>
      </w:rPr>
      <w:t>天债券型证券投资基金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6A5"/>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46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EC36-629A-4637-A409-84D52CFA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3357</Words>
  <Characters>19140</Characters>
  <Application>Microsoft Office Word</Application>
  <DocSecurity>0</DocSecurity>
  <Lines>159</Lines>
  <Paragraphs>44</Paragraphs>
  <ScaleCrop>false</ScaleCrop>
  <Company/>
  <LinksUpToDate>false</LinksUpToDate>
  <CharactersWithSpaces>22453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20</cp:revision>
  <cp:lastPrinted>2007-07-19T00:46:00Z</cp:lastPrinted>
  <dcterms:created xsi:type="dcterms:W3CDTF">2017-08-23T01:30:00Z</dcterms:created>
  <dcterms:modified xsi:type="dcterms:W3CDTF">2019-08-28T02:10:00Z</dcterms:modified>
</cp:coreProperties>
</file>