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spacing w:before="29" w:line="288" w:lineRule="auto"/>
        <w:jc w:val="center"/>
        <w:rPr>
          <w:b/>
          <w:sz w:val="36"/>
          <w:szCs w:val="36"/>
        </w:rPr>
      </w:pPr>
      <w:r w:rsidRPr="008A1551">
        <w:rPr>
          <w:b/>
          <w:sz w:val="36"/>
          <w:szCs w:val="36"/>
        </w:rPr>
        <w:t>交银施罗德丰润收益债券型证券投资基金</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年半年度报告</w:t>
      </w:r>
      <w:r w:rsidR="00835AA6" w:rsidRPr="008A1551">
        <w:rPr>
          <w:b/>
          <w:sz w:val="36"/>
          <w:szCs w:val="36"/>
        </w:rPr>
        <w:t>摘要</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w:t>
      </w:r>
      <w:r w:rsidRPr="008A1551">
        <w:rPr>
          <w:b/>
          <w:sz w:val="36"/>
          <w:szCs w:val="36"/>
        </w:rPr>
        <w:t>6</w:t>
      </w:r>
      <w:r w:rsidRPr="008A1551">
        <w:rPr>
          <w:b/>
          <w:sz w:val="36"/>
          <w:szCs w:val="36"/>
        </w:rPr>
        <w:t>月</w:t>
      </w:r>
      <w:r w:rsidRPr="008A1551">
        <w:rPr>
          <w:b/>
          <w:sz w:val="36"/>
          <w:szCs w:val="36"/>
        </w:rPr>
        <w:t>30</w:t>
      </w:r>
      <w:r w:rsidRPr="008A1551">
        <w:rPr>
          <w:b/>
          <w:sz w:val="36"/>
          <w:szCs w:val="36"/>
        </w:rPr>
        <w:t>日</w:t>
      </w: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rPr>
          <w:b/>
          <w:color w:val="000000"/>
          <w:sz w:val="24"/>
        </w:rPr>
      </w:pP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基金管理人：交银施罗德基金管理有限公司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基金托管人：中信银行股份有限公司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报告送出日期：二〇一九年八月二十九日</w:t>
      </w:r>
    </w:p>
    <w:p w:rsidR="001548F9" w:rsidRPr="008A1551" w:rsidRDefault="001548F9" w:rsidP="009E1EA4">
      <w:pPr>
        <w:widowControl/>
        <w:spacing w:before="29" w:line="288" w:lineRule="auto"/>
        <w:jc w:val="left"/>
        <w:rPr>
          <w:color w:val="000000"/>
          <w:sz w:val="24"/>
        </w:rPr>
        <w:sectPr w:rsidR="001548F9" w:rsidRPr="008A1551" w:rsidSect="00B015FE">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8A1551">
        <w:rPr>
          <w:b/>
          <w:bCs/>
          <w:szCs w:val="24"/>
          <w:lang w:val="en-US"/>
        </w:rPr>
        <w:lastRenderedPageBreak/>
        <w:t xml:space="preserve">1  </w:t>
      </w:r>
      <w:r w:rsidRPr="008A1551">
        <w:rPr>
          <w:b/>
          <w:bCs/>
          <w:szCs w:val="24"/>
          <w:lang w:val="en-US"/>
        </w:rPr>
        <w:t>重要提示</w:t>
      </w:r>
      <w:bookmarkEnd w:id="0"/>
      <w:bookmarkEnd w:id="1"/>
    </w:p>
    <w:p w:rsidR="001548F9" w:rsidRPr="008A1551" w:rsidRDefault="001548F9" w:rsidP="009E1EA4">
      <w:pPr>
        <w:pStyle w:val="20"/>
        <w:spacing w:before="29" w:after="0" w:line="288" w:lineRule="auto"/>
        <w:rPr>
          <w:rFonts w:ascii="Times New Roman" w:hAnsi="Times New Roman"/>
          <w:kern w:val="0"/>
          <w:szCs w:val="24"/>
        </w:rPr>
      </w:pPr>
      <w:bookmarkStart w:id="2" w:name="_Toc331410067"/>
      <w:r w:rsidRPr="008A1551">
        <w:rPr>
          <w:rFonts w:ascii="Times New Roman" w:hAnsi="Times New Roman"/>
          <w:kern w:val="0"/>
          <w:szCs w:val="24"/>
        </w:rPr>
        <w:t xml:space="preserve">1.1 </w:t>
      </w:r>
      <w:r w:rsidRPr="008A1551">
        <w:rPr>
          <w:rFonts w:ascii="Times New Roman" w:hAnsi="Times New Roman"/>
          <w:kern w:val="0"/>
          <w:szCs w:val="24"/>
        </w:rPr>
        <w:t>重要提示</w:t>
      </w:r>
      <w:bookmarkEnd w:id="2"/>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基金管理人的董事会、董事保证本报告所载资料不存在虚假记载、误导性陈述或重大遗漏，并对其内容的真实性、准确性和完整性承担个别及连带的法律责任。</w:t>
      </w:r>
      <w:proofErr w:type="gramStart"/>
      <w:r w:rsidRPr="008A1551">
        <w:rPr>
          <w:color w:val="000000"/>
          <w:sz w:val="24"/>
        </w:rPr>
        <w:t>本半年度</w:t>
      </w:r>
      <w:proofErr w:type="gramEnd"/>
      <w:r w:rsidRPr="008A1551">
        <w:rPr>
          <w:color w:val="000000"/>
          <w:sz w:val="24"/>
        </w:rPr>
        <w:t>报告已经三分之二以上独立董事签字同意，并由董事长签发。</w:t>
      </w:r>
    </w:p>
    <w:p w:rsidR="006E59C6" w:rsidRPr="008A1551" w:rsidRDefault="006E59C6" w:rsidP="009E1EA4">
      <w:pPr>
        <w:spacing w:before="29" w:line="288" w:lineRule="auto"/>
        <w:ind w:firstLineChars="200" w:firstLine="480"/>
        <w:rPr>
          <w:color w:val="000000"/>
          <w:sz w:val="24"/>
        </w:rPr>
      </w:pPr>
      <w:r w:rsidRPr="008A1551">
        <w:rPr>
          <w:color w:val="000000"/>
          <w:sz w:val="24"/>
        </w:rPr>
        <w:t>基金托管人</w:t>
      </w:r>
      <w:r w:rsidRPr="008A1551">
        <w:rPr>
          <w:sz w:val="24"/>
        </w:rPr>
        <w:t>中信银行股份有限公司</w:t>
      </w:r>
      <w:r w:rsidRPr="008A1551">
        <w:rPr>
          <w:color w:val="000000"/>
          <w:sz w:val="24"/>
        </w:rPr>
        <w:t>根据本基金合同规定，于</w:t>
      </w:r>
      <w:r w:rsidRPr="008A1551">
        <w:rPr>
          <w:color w:val="000000"/>
          <w:sz w:val="24"/>
        </w:rPr>
        <w:t>2019</w:t>
      </w:r>
      <w:r w:rsidRPr="008A1551">
        <w:rPr>
          <w:color w:val="000000"/>
          <w:sz w:val="24"/>
        </w:rPr>
        <w:t>年</w:t>
      </w:r>
      <w:r w:rsidRPr="008A1551">
        <w:rPr>
          <w:color w:val="000000"/>
          <w:sz w:val="24"/>
        </w:rPr>
        <w:t>8</w:t>
      </w:r>
      <w:r w:rsidRPr="008A1551">
        <w:rPr>
          <w:color w:val="000000"/>
          <w:sz w:val="24"/>
        </w:rPr>
        <w:t>月</w:t>
      </w:r>
      <w:r w:rsidRPr="008A1551">
        <w:rPr>
          <w:color w:val="000000"/>
          <w:sz w:val="24"/>
        </w:rPr>
        <w:t>28</w:t>
      </w:r>
      <w:r w:rsidRPr="008A1551">
        <w:rPr>
          <w:color w:val="000000"/>
          <w:sz w:val="24"/>
        </w:rPr>
        <w:t>日复核了本报告中的财务指标、净值表现、利润分配情况、财务会计报告、投资组合报告等内容，保证复核内容不存在虚假记载、误导性陈述或者重大遗漏。</w:t>
      </w:r>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基金管理人承诺以诚实信用、勤勉尽责的原则管理和运用基金资产，但不保证基金一定盈利。</w:t>
      </w:r>
    </w:p>
    <w:p w:rsidR="006E59C6" w:rsidRPr="008A1551" w:rsidRDefault="006E59C6" w:rsidP="009E1EA4">
      <w:pPr>
        <w:spacing w:before="29" w:line="288" w:lineRule="auto"/>
        <w:ind w:firstLineChars="200" w:firstLine="480"/>
        <w:rPr>
          <w:color w:val="000000"/>
          <w:sz w:val="24"/>
        </w:rPr>
      </w:pPr>
      <w:r w:rsidRPr="008A1551">
        <w:rPr>
          <w:color w:val="000000"/>
          <w:sz w:val="24"/>
        </w:rPr>
        <w:t>基金的过往业绩并不代表其未来表现。投资有风险，投资者在</w:t>
      </w:r>
      <w:proofErr w:type="gramStart"/>
      <w:r w:rsidRPr="008A1551">
        <w:rPr>
          <w:color w:val="000000"/>
          <w:sz w:val="24"/>
        </w:rPr>
        <w:t>作出</w:t>
      </w:r>
      <w:proofErr w:type="gramEnd"/>
      <w:r w:rsidRPr="008A1551">
        <w:rPr>
          <w:color w:val="000000"/>
          <w:sz w:val="24"/>
        </w:rPr>
        <w:t>投资决策前应仔细阅读本基金的招募说明书及其更新。</w:t>
      </w:r>
    </w:p>
    <w:p w:rsidR="00650AA5" w:rsidRPr="008A1551" w:rsidRDefault="00650AA5" w:rsidP="009E1EA4">
      <w:pPr>
        <w:spacing w:before="29" w:line="288" w:lineRule="auto"/>
        <w:ind w:firstLineChars="200" w:firstLine="480"/>
        <w:rPr>
          <w:color w:val="000000"/>
          <w:sz w:val="24"/>
        </w:rPr>
      </w:pPr>
      <w:proofErr w:type="gramStart"/>
      <w:r w:rsidRPr="008A1551">
        <w:rPr>
          <w:color w:val="000000"/>
          <w:sz w:val="24"/>
        </w:rPr>
        <w:t>本半年度</w:t>
      </w:r>
      <w:proofErr w:type="gramEnd"/>
      <w:r w:rsidRPr="008A1551">
        <w:rPr>
          <w:color w:val="000000"/>
          <w:sz w:val="24"/>
        </w:rPr>
        <w:t>报告摘要摘自半年度报告正文，投资者欲了解详细内容，应阅读半年度报告正文。</w:t>
      </w:r>
    </w:p>
    <w:p w:rsidR="006E59C6" w:rsidRPr="008A1551" w:rsidRDefault="006E59C6" w:rsidP="009E1EA4">
      <w:pPr>
        <w:spacing w:before="29" w:line="288" w:lineRule="auto"/>
        <w:ind w:firstLineChars="200" w:firstLine="480"/>
        <w:rPr>
          <w:color w:val="000000"/>
          <w:sz w:val="24"/>
        </w:rPr>
      </w:pPr>
      <w:r w:rsidRPr="008A1551">
        <w:rPr>
          <w:color w:val="000000"/>
          <w:sz w:val="24"/>
        </w:rPr>
        <w:t>本报告中财务资料未经审计。</w:t>
      </w:r>
    </w:p>
    <w:p w:rsidR="00BC5DB0" w:rsidRPr="008A1551" w:rsidRDefault="00BC5DB0" w:rsidP="009E1EA4">
      <w:pPr>
        <w:spacing w:before="29" w:line="288" w:lineRule="auto"/>
        <w:ind w:firstLineChars="200" w:firstLine="480"/>
        <w:rPr>
          <w:kern w:val="0"/>
          <w:sz w:val="24"/>
        </w:rPr>
      </w:pPr>
      <w:r w:rsidRPr="008A1551">
        <w:rPr>
          <w:kern w:val="0"/>
          <w:sz w:val="24"/>
        </w:rPr>
        <w:t>本报告期自</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日起至</w:t>
      </w:r>
      <w:r w:rsidRPr="008A1551">
        <w:rPr>
          <w:kern w:val="0"/>
          <w:sz w:val="24"/>
        </w:rPr>
        <w:t>6</w:t>
      </w:r>
      <w:r w:rsidRPr="008A1551">
        <w:rPr>
          <w:kern w:val="0"/>
          <w:sz w:val="24"/>
        </w:rPr>
        <w:t>月</w:t>
      </w:r>
      <w:r w:rsidRPr="008A1551">
        <w:rPr>
          <w:kern w:val="0"/>
          <w:sz w:val="24"/>
        </w:rPr>
        <w:t>30</w:t>
      </w:r>
      <w:r w:rsidRPr="008A1551">
        <w:rPr>
          <w:kern w:val="0"/>
          <w:sz w:val="24"/>
        </w:rPr>
        <w:t>日止。</w:t>
      </w:r>
    </w:p>
    <w:p w:rsidR="00816848" w:rsidRPr="008A1551" w:rsidRDefault="00816848" w:rsidP="009E1EA4">
      <w:pPr>
        <w:spacing w:before="29" w:line="288" w:lineRule="auto"/>
        <w:ind w:firstLineChars="200" w:firstLine="480"/>
        <w:rPr>
          <w:color w:val="000000"/>
          <w:sz w:val="24"/>
        </w:rPr>
      </w:pPr>
    </w:p>
    <w:p w:rsidR="00EB2B24" w:rsidRPr="008A1551" w:rsidRDefault="001548F9" w:rsidP="009E1EA4">
      <w:pPr>
        <w:spacing w:before="29" w:line="288" w:lineRule="auto"/>
        <w:ind w:firstLineChars="200" w:firstLine="480"/>
        <w:rPr>
          <w:b/>
          <w:color w:val="000000"/>
          <w:kern w:val="0"/>
          <w:sz w:val="24"/>
        </w:rPr>
      </w:pPr>
      <w:r w:rsidRPr="008A1551">
        <w:rPr>
          <w:sz w:val="24"/>
        </w:rPr>
        <w:br w:type="page"/>
      </w:r>
    </w:p>
    <w:p w:rsidR="001548F9" w:rsidRPr="008A1551" w:rsidRDefault="001548F9" w:rsidP="00A7746B">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8A1551">
        <w:rPr>
          <w:b/>
          <w:bCs/>
          <w:szCs w:val="24"/>
          <w:lang w:val="en-US"/>
        </w:rPr>
        <w:lastRenderedPageBreak/>
        <w:t xml:space="preserve">2  </w:t>
      </w:r>
      <w:r w:rsidRPr="008A1551">
        <w:rPr>
          <w:b/>
          <w:bCs/>
          <w:szCs w:val="24"/>
          <w:lang w:val="en-US"/>
        </w:rPr>
        <w:t>基金简介</w:t>
      </w:r>
      <w:bookmarkEnd w:id="3"/>
      <w:bookmarkEnd w:id="4"/>
    </w:p>
    <w:p w:rsidR="001548F9" w:rsidRPr="008A1551" w:rsidRDefault="00F00927" w:rsidP="009E1EA4">
      <w:pPr>
        <w:pStyle w:val="20"/>
        <w:spacing w:before="29" w:after="0" w:line="288" w:lineRule="auto"/>
        <w:rPr>
          <w:rFonts w:ascii="Times New Roman" w:hAnsi="Times New Roman"/>
          <w:color w:val="000000"/>
          <w:szCs w:val="24"/>
        </w:rPr>
      </w:pPr>
      <w:bookmarkStart w:id="5" w:name="_Toc331410069"/>
      <w:r w:rsidRPr="008A1551">
        <w:rPr>
          <w:rFonts w:ascii="Times New Roman" w:hAnsi="Times New Roman"/>
          <w:kern w:val="0"/>
          <w:szCs w:val="24"/>
        </w:rPr>
        <w:t>2.1</w:t>
      </w:r>
      <w:r w:rsidR="001548F9" w:rsidRPr="008A1551">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3"/>
        <w:gridCol w:w="2709"/>
        <w:gridCol w:w="2596"/>
      </w:tblGrid>
      <w:tr w:rsidR="001548F9" w:rsidRPr="008A1551" w:rsidTr="00405B9D">
        <w:tc>
          <w:tcPr>
            <w:tcW w:w="3693" w:type="dxa"/>
            <w:vAlign w:val="center"/>
          </w:tcPr>
          <w:p w:rsidR="001548F9" w:rsidRPr="008A1551" w:rsidRDefault="001548F9" w:rsidP="009E1EA4">
            <w:pPr>
              <w:spacing w:before="29" w:line="288" w:lineRule="auto"/>
              <w:rPr>
                <w:color w:val="000000"/>
                <w:kern w:val="0"/>
                <w:sz w:val="24"/>
              </w:rPr>
            </w:pPr>
            <w:r w:rsidRPr="008A1551">
              <w:rPr>
                <w:sz w:val="24"/>
              </w:rPr>
              <w:t>基金简称</w:t>
            </w:r>
          </w:p>
        </w:tc>
        <w:tc>
          <w:tcPr>
            <w:tcW w:w="5305" w:type="dxa"/>
            <w:gridSpan w:val="2"/>
            <w:vAlign w:val="center"/>
          </w:tcPr>
          <w:p w:rsidR="001548F9" w:rsidRPr="008A1551" w:rsidRDefault="001548F9" w:rsidP="009E1EA4">
            <w:pPr>
              <w:spacing w:before="29" w:line="288" w:lineRule="auto"/>
              <w:jc w:val="center"/>
              <w:rPr>
                <w:sz w:val="24"/>
              </w:rPr>
            </w:pPr>
            <w:r w:rsidRPr="008A1551">
              <w:rPr>
                <w:sz w:val="24"/>
              </w:rPr>
              <w:t>交银丰润收益债券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基金主代码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519743</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基金运作方式</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契约型</w:t>
            </w:r>
            <w:r w:rsidRPr="008A1551">
              <w:rPr>
                <w:sz w:val="24"/>
              </w:rPr>
              <w:t>,</w:t>
            </w:r>
            <w:r w:rsidRPr="008A1551">
              <w:rPr>
                <w:sz w:val="24"/>
              </w:rPr>
              <w:t>本基金在基金合同生效之日起两年（含两年）的期间内封闭式运作（按照基金合同的约定提前转换基金运作方式的除外</w:t>
            </w:r>
            <w:r w:rsidRPr="008A1551">
              <w:rPr>
                <w:sz w:val="24"/>
              </w:rPr>
              <w:t>)</w:t>
            </w:r>
            <w:r w:rsidRPr="008A1551">
              <w:rPr>
                <w:sz w:val="24"/>
              </w:rPr>
              <w:t>，封闭期结束后转为开放式运作</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基金合同生效日</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2014</w:t>
            </w:r>
            <w:r w:rsidRPr="008A1551">
              <w:rPr>
                <w:sz w:val="24"/>
              </w:rPr>
              <w:t>年</w:t>
            </w:r>
            <w:r w:rsidRPr="008A1551">
              <w:rPr>
                <w:sz w:val="24"/>
              </w:rPr>
              <w:t>12</w:t>
            </w:r>
            <w:r w:rsidRPr="008A1551">
              <w:rPr>
                <w:sz w:val="24"/>
              </w:rPr>
              <w:t>月</w:t>
            </w:r>
            <w:r w:rsidRPr="008A1551">
              <w:rPr>
                <w:sz w:val="24"/>
              </w:rPr>
              <w:t>15</w:t>
            </w:r>
            <w:r w:rsidRPr="008A1551">
              <w:rPr>
                <w:sz w:val="24"/>
              </w:rPr>
              <w:t>日</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基金管理人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交银施罗德基金管理有限公司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基金托管人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中信银行股份有限公司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报告期末基金份额总额</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1,547,015,875.01</w:t>
            </w:r>
            <w:r w:rsidRPr="008A1551">
              <w:rPr>
                <w:sz w:val="24"/>
              </w:rPr>
              <w:t>份</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基金合同存续期</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不定期</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下属分级基金的基金简称</w:t>
            </w:r>
          </w:p>
        </w:tc>
        <w:tc>
          <w:tcPr>
            <w:tcW w:w="2709" w:type="dxa"/>
            <w:vAlign w:val="center"/>
          </w:tcPr>
          <w:p w:rsidR="00405B9D" w:rsidRPr="008A1551" w:rsidRDefault="00405B9D" w:rsidP="009E1EA4">
            <w:pPr>
              <w:spacing w:before="29" w:line="288" w:lineRule="auto"/>
              <w:jc w:val="center"/>
              <w:rPr>
                <w:sz w:val="24"/>
              </w:rPr>
            </w:pPr>
            <w:r w:rsidRPr="008A1551">
              <w:rPr>
                <w:sz w:val="24"/>
              </w:rPr>
              <w:t>交银丰润收益债券</w:t>
            </w:r>
            <w:r w:rsidRPr="008A1551">
              <w:rPr>
                <w:sz w:val="24"/>
              </w:rPr>
              <w:t>A</w:t>
            </w:r>
          </w:p>
        </w:tc>
        <w:tc>
          <w:tcPr>
            <w:tcW w:w="2596" w:type="dxa"/>
            <w:vAlign w:val="center"/>
          </w:tcPr>
          <w:p w:rsidR="00405B9D" w:rsidRPr="008A1551" w:rsidRDefault="00405B9D" w:rsidP="009E1EA4">
            <w:pPr>
              <w:spacing w:before="29" w:line="288" w:lineRule="auto"/>
              <w:jc w:val="center"/>
              <w:rPr>
                <w:sz w:val="24"/>
              </w:rPr>
            </w:pPr>
            <w:r w:rsidRPr="008A1551">
              <w:rPr>
                <w:sz w:val="24"/>
              </w:rPr>
              <w:t>交银丰润收益债券</w:t>
            </w:r>
            <w:r w:rsidRPr="008A1551">
              <w:rPr>
                <w:sz w:val="24"/>
              </w:rPr>
              <w:t>C</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下属分级基金的交易代码</w:t>
            </w:r>
          </w:p>
        </w:tc>
        <w:tc>
          <w:tcPr>
            <w:tcW w:w="2709" w:type="dxa"/>
            <w:vAlign w:val="center"/>
          </w:tcPr>
          <w:p w:rsidR="0073136C" w:rsidRPr="008A1551" w:rsidRDefault="0073136C" w:rsidP="0073136C">
            <w:pPr>
              <w:spacing w:before="29" w:line="288" w:lineRule="auto"/>
              <w:jc w:val="center"/>
              <w:rPr>
                <w:sz w:val="24"/>
              </w:rPr>
            </w:pPr>
            <w:r w:rsidRPr="008A1551">
              <w:rPr>
                <w:sz w:val="24"/>
              </w:rPr>
              <w:t>519743</w:t>
            </w:r>
          </w:p>
        </w:tc>
        <w:tc>
          <w:tcPr>
            <w:tcW w:w="2596" w:type="dxa"/>
            <w:vAlign w:val="center"/>
          </w:tcPr>
          <w:p w:rsidR="0073136C" w:rsidRPr="008A1551" w:rsidRDefault="0073136C" w:rsidP="009E1EA4">
            <w:pPr>
              <w:spacing w:before="29" w:line="288" w:lineRule="auto"/>
              <w:jc w:val="center"/>
              <w:rPr>
                <w:sz w:val="24"/>
              </w:rPr>
            </w:pPr>
            <w:r w:rsidRPr="008A1551">
              <w:rPr>
                <w:sz w:val="24"/>
              </w:rPr>
              <w:t>519745</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报告期末下属分级基金的份额总额</w:t>
            </w:r>
          </w:p>
        </w:tc>
        <w:tc>
          <w:tcPr>
            <w:tcW w:w="2709" w:type="dxa"/>
            <w:vAlign w:val="center"/>
          </w:tcPr>
          <w:p w:rsidR="0073136C" w:rsidRPr="008A1551" w:rsidRDefault="0073136C" w:rsidP="009E1EA4">
            <w:pPr>
              <w:spacing w:before="29" w:line="288" w:lineRule="auto"/>
              <w:jc w:val="center"/>
              <w:rPr>
                <w:sz w:val="24"/>
              </w:rPr>
            </w:pPr>
            <w:r w:rsidRPr="008A1551">
              <w:rPr>
                <w:sz w:val="24"/>
              </w:rPr>
              <w:t>1,546,168,095.42</w:t>
            </w:r>
            <w:r w:rsidRPr="008A1551">
              <w:rPr>
                <w:sz w:val="24"/>
              </w:rPr>
              <w:t>份</w:t>
            </w:r>
          </w:p>
        </w:tc>
        <w:tc>
          <w:tcPr>
            <w:tcW w:w="2596" w:type="dxa"/>
            <w:vAlign w:val="center"/>
          </w:tcPr>
          <w:p w:rsidR="0073136C" w:rsidRPr="008A1551" w:rsidRDefault="0073136C" w:rsidP="009E1EA4">
            <w:pPr>
              <w:spacing w:before="29" w:line="288" w:lineRule="auto"/>
              <w:jc w:val="center"/>
              <w:rPr>
                <w:sz w:val="24"/>
              </w:rPr>
            </w:pPr>
            <w:r w:rsidRPr="008A1551">
              <w:rPr>
                <w:sz w:val="24"/>
              </w:rPr>
              <w:t>847,779.59</w:t>
            </w:r>
            <w:r w:rsidRPr="008A1551">
              <w:rPr>
                <w:sz w:val="24"/>
              </w:rPr>
              <w:t>份</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注：本基金自</w:t>
      </w:r>
      <w:r w:rsidRPr="008A1551">
        <w:rPr>
          <w:kern w:val="0"/>
          <w:sz w:val="24"/>
        </w:rPr>
        <w:t>2016</w:t>
      </w:r>
      <w:r w:rsidRPr="008A1551">
        <w:rPr>
          <w:kern w:val="0"/>
          <w:sz w:val="24"/>
        </w:rPr>
        <w:t>年</w:t>
      </w:r>
      <w:r w:rsidRPr="008A1551">
        <w:rPr>
          <w:kern w:val="0"/>
          <w:sz w:val="24"/>
        </w:rPr>
        <w:t>12</w:t>
      </w:r>
      <w:r w:rsidRPr="008A1551">
        <w:rPr>
          <w:kern w:val="0"/>
          <w:sz w:val="24"/>
        </w:rPr>
        <w:t>月</w:t>
      </w:r>
      <w:r w:rsidRPr="008A1551">
        <w:rPr>
          <w:kern w:val="0"/>
          <w:sz w:val="24"/>
        </w:rPr>
        <w:t>16</w:t>
      </w:r>
      <w:r w:rsidRPr="008A1551">
        <w:rPr>
          <w:kern w:val="0"/>
          <w:sz w:val="24"/>
        </w:rPr>
        <w:t>日起转为开放式运作。</w:t>
      </w: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color w:val="000000"/>
          <w:szCs w:val="24"/>
        </w:rPr>
      </w:pPr>
      <w:bookmarkStart w:id="6" w:name="_Toc331410070"/>
      <w:r w:rsidRPr="008A1551">
        <w:rPr>
          <w:rFonts w:ascii="Times New Roman" w:hAnsi="Times New Roman"/>
          <w:kern w:val="0"/>
          <w:szCs w:val="24"/>
        </w:rPr>
        <w:t xml:space="preserve">2.2 </w:t>
      </w:r>
      <w:r w:rsidRPr="008A1551">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投资目标</w:t>
            </w:r>
          </w:p>
        </w:tc>
        <w:tc>
          <w:tcPr>
            <w:tcW w:w="6873" w:type="dxa"/>
            <w:vAlign w:val="center"/>
          </w:tcPr>
          <w:p w:rsidR="001548F9" w:rsidRPr="008A1551" w:rsidRDefault="001548F9" w:rsidP="009E1EA4">
            <w:pPr>
              <w:spacing w:before="29" w:line="288" w:lineRule="auto"/>
              <w:rPr>
                <w:sz w:val="24"/>
              </w:rPr>
            </w:pPr>
            <w:r w:rsidRPr="008A1551">
              <w:rPr>
                <w:sz w:val="24"/>
              </w:rPr>
              <w:t>在严格控制风险的基础上</w:t>
            </w:r>
            <w:r w:rsidRPr="008A1551">
              <w:rPr>
                <w:sz w:val="24"/>
              </w:rPr>
              <w:t>,</w:t>
            </w:r>
            <w:r w:rsidRPr="008A1551">
              <w:rPr>
                <w:sz w:val="24"/>
              </w:rPr>
              <w:t>力求获得高于业绩基准的投资收益。</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投资策略</w:t>
            </w:r>
          </w:p>
        </w:tc>
        <w:tc>
          <w:tcPr>
            <w:tcW w:w="6873" w:type="dxa"/>
            <w:vAlign w:val="center"/>
          </w:tcPr>
          <w:p w:rsidR="004957AA" w:rsidRDefault="00EF5A3D">
            <w:pPr>
              <w:spacing w:before="29" w:line="288" w:lineRule="auto"/>
              <w:rPr>
                <w:sz w:val="24"/>
              </w:rPr>
            </w:pPr>
            <w:r>
              <w:rPr>
                <w:sz w:val="24"/>
              </w:rPr>
              <w:t>封闭期内投资策略：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w:t>
            </w:r>
            <w:proofErr w:type="gramStart"/>
            <w:r>
              <w:rPr>
                <w:sz w:val="24"/>
              </w:rPr>
              <w:t>考量</w:t>
            </w:r>
            <w:proofErr w:type="gramEnd"/>
            <w:r>
              <w:rPr>
                <w:sz w:val="24"/>
              </w:rPr>
              <w:t>信用债券的信用评级，以及各类债券的流动性、供求关系和收益率水平等，自下而上精选个</w:t>
            </w:r>
            <w:proofErr w:type="gramStart"/>
            <w:r>
              <w:rPr>
                <w:sz w:val="24"/>
              </w:rPr>
              <w:t>券</w:t>
            </w:r>
            <w:proofErr w:type="gramEnd"/>
            <w:r>
              <w:rPr>
                <w:sz w:val="24"/>
              </w:rPr>
              <w:t>。</w:t>
            </w:r>
          </w:p>
          <w:p w:rsidR="001548F9" w:rsidRPr="008A1551" w:rsidRDefault="001548F9" w:rsidP="009E1EA4">
            <w:pPr>
              <w:spacing w:before="29" w:line="288" w:lineRule="auto"/>
              <w:rPr>
                <w:sz w:val="24"/>
              </w:rPr>
            </w:pPr>
            <w:r w:rsidRPr="008A1551">
              <w:rPr>
                <w:sz w:val="24"/>
              </w:rPr>
              <w:t>开放期内投资策略：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w:t>
            </w:r>
            <w:proofErr w:type="gramStart"/>
            <w:r w:rsidRPr="008A1551">
              <w:rPr>
                <w:sz w:val="24"/>
              </w:rPr>
              <w:t>考量</w:t>
            </w:r>
            <w:proofErr w:type="gramEnd"/>
            <w:r w:rsidRPr="008A1551">
              <w:rPr>
                <w:sz w:val="24"/>
              </w:rPr>
              <w:t>信用债券的信用评级，以及各类债券的流动性、供求关系和收益率水平等，自下而上精选个</w:t>
            </w:r>
            <w:proofErr w:type="gramStart"/>
            <w:r w:rsidRPr="008A1551">
              <w:rPr>
                <w:sz w:val="24"/>
              </w:rPr>
              <w:t>券</w:t>
            </w:r>
            <w:proofErr w:type="gramEnd"/>
            <w:r w:rsidRPr="008A1551">
              <w:rPr>
                <w:sz w:val="24"/>
              </w:rPr>
              <w:t>。</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lastRenderedPageBreak/>
              <w:t>业绩比较基准</w:t>
            </w:r>
          </w:p>
        </w:tc>
        <w:tc>
          <w:tcPr>
            <w:tcW w:w="6873" w:type="dxa"/>
            <w:vAlign w:val="center"/>
          </w:tcPr>
          <w:p w:rsidR="004957AA" w:rsidRDefault="00EF5A3D">
            <w:pPr>
              <w:spacing w:before="29" w:line="288" w:lineRule="auto"/>
              <w:rPr>
                <w:sz w:val="24"/>
              </w:rPr>
            </w:pPr>
            <w:r>
              <w:rPr>
                <w:sz w:val="24"/>
              </w:rPr>
              <w:t>封闭期内业绩比较基准：两年期银行定期存款税后收益率</w:t>
            </w:r>
            <w:r>
              <w:rPr>
                <w:sz w:val="24"/>
              </w:rPr>
              <w:t>+1.25%</w:t>
            </w:r>
          </w:p>
          <w:p w:rsidR="001548F9" w:rsidRPr="008A1551" w:rsidRDefault="001548F9" w:rsidP="009E1EA4">
            <w:pPr>
              <w:spacing w:before="29" w:line="288" w:lineRule="auto"/>
              <w:rPr>
                <w:sz w:val="24"/>
              </w:rPr>
            </w:pPr>
            <w:r w:rsidRPr="008A1551">
              <w:rPr>
                <w:sz w:val="24"/>
              </w:rPr>
              <w:t>开放期内业绩比较基准：中</w:t>
            </w:r>
            <w:proofErr w:type="gramStart"/>
            <w:r w:rsidRPr="008A1551">
              <w:rPr>
                <w:sz w:val="24"/>
              </w:rPr>
              <w:t>债综合全价指数</w:t>
            </w:r>
            <w:proofErr w:type="gramEnd"/>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风险收益特征</w:t>
            </w:r>
          </w:p>
        </w:tc>
        <w:tc>
          <w:tcPr>
            <w:tcW w:w="6873" w:type="dxa"/>
            <w:vAlign w:val="center"/>
          </w:tcPr>
          <w:p w:rsidR="001548F9" w:rsidRPr="008A1551" w:rsidRDefault="001548F9" w:rsidP="009E1EA4">
            <w:pPr>
              <w:spacing w:before="29" w:line="288" w:lineRule="auto"/>
              <w:rPr>
                <w:sz w:val="24"/>
              </w:rPr>
            </w:pPr>
            <w:r w:rsidRPr="008A1551">
              <w:rPr>
                <w:sz w:val="24"/>
              </w:rPr>
              <w:t>本基金是一只债券型基金，其风险与预期收益高于货币市场基金，低于混合型基金和股票型基金，属于证券投资基金中中等风险的品种。</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kern w:val="0"/>
          <w:szCs w:val="24"/>
        </w:rPr>
      </w:pPr>
      <w:bookmarkStart w:id="7" w:name="_Toc331410071"/>
      <w:bookmarkStart w:id="8" w:name="_Toc225498247"/>
      <w:r w:rsidRPr="008A1551">
        <w:rPr>
          <w:rFonts w:ascii="Times New Roman" w:hAnsi="Times New Roman"/>
          <w:kern w:val="0"/>
          <w:szCs w:val="24"/>
        </w:rPr>
        <w:t xml:space="preserve">2.3 </w:t>
      </w:r>
      <w:r w:rsidRPr="008A1551">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项目</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基金管理人</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基金托管人</w:t>
            </w:r>
          </w:p>
        </w:tc>
      </w:tr>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kern w:val="0"/>
                <w:sz w:val="24"/>
              </w:rPr>
              <w:t>名称</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交银施罗德基金管理有限公司</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中信银行股份有限公司</w:t>
            </w:r>
          </w:p>
        </w:tc>
      </w:tr>
      <w:tr w:rsidR="001548F9" w:rsidRPr="008A1551" w:rsidTr="00402CC3">
        <w:tc>
          <w:tcPr>
            <w:tcW w:w="1260" w:type="dxa"/>
            <w:vMerge w:val="restart"/>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sz w:val="24"/>
              </w:rPr>
              <w:t>信息披露负责人</w:t>
            </w:r>
          </w:p>
        </w:tc>
        <w:tc>
          <w:tcPr>
            <w:tcW w:w="1371" w:type="dxa"/>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王晚婷</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roofErr w:type="gramStart"/>
            <w:r w:rsidRPr="008A1551">
              <w:rPr>
                <w:color w:val="000000"/>
                <w:kern w:val="0"/>
                <w:sz w:val="24"/>
              </w:rPr>
              <w:t>李修滨</w:t>
            </w:r>
            <w:proofErr w:type="gramEnd"/>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联系电话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4006800000</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电子邮箱</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xxpl@jysld.com,disclosure@jysld.com</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lixiubin@citicbank.com</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客户服务电话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400-700-5000</w:t>
            </w:r>
            <w:r w:rsidRPr="008A1551">
              <w:rPr>
                <w:color w:val="000000"/>
                <w:kern w:val="0"/>
                <w:sz w:val="24"/>
              </w:rPr>
              <w:t>，</w:t>
            </w:r>
            <w:r w:rsidRPr="008A1551">
              <w:rPr>
                <w:color w:val="000000"/>
                <w:kern w:val="0"/>
                <w:sz w:val="24"/>
              </w:rPr>
              <w:t>021-61055000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95558</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传真</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61055054</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010-85230024</w:t>
            </w:r>
          </w:p>
        </w:tc>
      </w:tr>
    </w:tbl>
    <w:p w:rsidR="001548F9" w:rsidRPr="008A1551" w:rsidRDefault="001548F9" w:rsidP="009E1EA4">
      <w:pPr>
        <w:tabs>
          <w:tab w:val="left" w:pos="1740"/>
        </w:tabs>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9" w:name="_Toc331410072"/>
      <w:bookmarkStart w:id="10" w:name="_Toc225498248"/>
      <w:r w:rsidRPr="008A1551">
        <w:rPr>
          <w:rFonts w:ascii="Times New Roman" w:hAnsi="Times New Roman"/>
          <w:kern w:val="0"/>
          <w:szCs w:val="24"/>
        </w:rPr>
        <w:t xml:space="preserve">2.4 </w:t>
      </w:r>
      <w:r w:rsidRPr="008A1551">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登载基金</w:t>
            </w:r>
            <w:r w:rsidR="00106605" w:rsidRPr="008A1551">
              <w:rPr>
                <w:color w:val="000000"/>
                <w:sz w:val="24"/>
              </w:rPr>
              <w:t>半</w:t>
            </w:r>
            <w:r w:rsidR="00524625" w:rsidRPr="008A1551">
              <w:rPr>
                <w:color w:val="000000"/>
                <w:sz w:val="24"/>
              </w:rPr>
              <w:t>年度报告正文</w:t>
            </w:r>
            <w:r w:rsidRPr="008A1551">
              <w:rPr>
                <w:color w:val="000000"/>
                <w:sz w:val="24"/>
              </w:rPr>
              <w:t>的管理人互联网网址</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www.fund001.com</w:t>
            </w:r>
          </w:p>
        </w:tc>
      </w:tr>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w:t>
            </w:r>
            <w:r w:rsidR="00813F84" w:rsidRPr="008A1551">
              <w:rPr>
                <w:color w:val="000000"/>
                <w:sz w:val="24"/>
              </w:rPr>
              <w:t>半</w:t>
            </w:r>
            <w:r w:rsidRPr="008A1551">
              <w:rPr>
                <w:color w:val="000000"/>
                <w:sz w:val="24"/>
              </w:rPr>
              <w:t>年度报告备置地点</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基金管理人的办公场所</w:t>
            </w:r>
          </w:p>
        </w:tc>
      </w:tr>
    </w:tbl>
    <w:p w:rsidR="008D0FBC" w:rsidRPr="008A1551" w:rsidRDefault="008D0FBC"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8A1551">
        <w:rPr>
          <w:b/>
          <w:bCs/>
          <w:szCs w:val="24"/>
          <w:lang w:val="en-US"/>
        </w:rPr>
        <w:t xml:space="preserve">3  </w:t>
      </w:r>
      <w:r w:rsidRPr="008A1551">
        <w:rPr>
          <w:b/>
          <w:bCs/>
          <w:szCs w:val="24"/>
          <w:lang w:val="en-US"/>
        </w:rPr>
        <w:t>主要财务指标和基金净值表现</w:t>
      </w:r>
      <w:bookmarkEnd w:id="11"/>
      <w:bookmarkEnd w:id="12"/>
    </w:p>
    <w:p w:rsidR="001548F9" w:rsidRPr="008A1551" w:rsidRDefault="001548F9" w:rsidP="009E1EA4">
      <w:pPr>
        <w:pStyle w:val="20"/>
        <w:spacing w:before="29" w:after="0" w:line="288" w:lineRule="auto"/>
        <w:rPr>
          <w:rFonts w:ascii="Times New Roman" w:hAnsi="Times New Roman"/>
          <w:kern w:val="0"/>
          <w:szCs w:val="24"/>
        </w:rPr>
      </w:pPr>
      <w:bookmarkStart w:id="15" w:name="_Toc286996129"/>
      <w:r w:rsidRPr="008A1551">
        <w:rPr>
          <w:rFonts w:ascii="Times New Roman" w:hAnsi="Times New Roman"/>
          <w:kern w:val="0"/>
          <w:szCs w:val="24"/>
        </w:rPr>
        <w:t xml:space="preserve">3.1 </w:t>
      </w:r>
      <w:r w:rsidRPr="008A1551">
        <w:rPr>
          <w:rFonts w:ascii="Times New Roman" w:hAnsi="Times New Roman"/>
          <w:kern w:val="0"/>
          <w:szCs w:val="24"/>
        </w:rPr>
        <w:t>主要会计数据和财务指标</w:t>
      </w:r>
      <w:bookmarkEnd w:id="15"/>
    </w:p>
    <w:p w:rsidR="00A929AA" w:rsidRPr="008A1551" w:rsidRDefault="00A929AA" w:rsidP="009E1EA4">
      <w:pPr>
        <w:autoSpaceDE w:val="0"/>
        <w:autoSpaceDN w:val="0"/>
        <w:adjustRightInd w:val="0"/>
        <w:spacing w:before="29" w:line="288" w:lineRule="auto"/>
        <w:ind w:left="15"/>
        <w:jc w:val="right"/>
        <w:rPr>
          <w:color w:val="000000"/>
          <w:kern w:val="0"/>
          <w:sz w:val="24"/>
        </w:rPr>
      </w:pPr>
      <w:r w:rsidRPr="008A1551">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8A1551" w:rsidTr="00402CC3">
        <w:trPr>
          <w:trHeight w:val="487"/>
        </w:trPr>
        <w:tc>
          <w:tcPr>
            <w:tcW w:w="4404" w:type="dxa"/>
            <w:vMerge w:val="restart"/>
            <w:vAlign w:val="center"/>
          </w:tcPr>
          <w:bookmarkEnd w:id="13"/>
          <w:bookmarkEnd w:id="14"/>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3.1.1</w:t>
            </w:r>
            <w:r w:rsidRPr="008A1551">
              <w:rPr>
                <w:b/>
                <w:color w:val="000000"/>
                <w:sz w:val="24"/>
              </w:rPr>
              <w:t>期间数据和指标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w:t>
            </w:r>
            <w:r w:rsidR="0058437B" w:rsidRPr="008A1551">
              <w:rPr>
                <w:b/>
                <w:sz w:val="24"/>
              </w:rPr>
              <w:t>2019</w:t>
            </w:r>
            <w:r w:rsidR="0058437B" w:rsidRPr="008A1551">
              <w:rPr>
                <w:b/>
                <w:sz w:val="24"/>
              </w:rPr>
              <w:t>年</w:t>
            </w:r>
            <w:r w:rsidR="0058437B" w:rsidRPr="008A1551">
              <w:rPr>
                <w:b/>
                <w:sz w:val="24"/>
              </w:rPr>
              <w:t>1</w:t>
            </w:r>
            <w:r w:rsidR="0058437B" w:rsidRPr="008A1551">
              <w:rPr>
                <w:b/>
                <w:sz w:val="24"/>
              </w:rPr>
              <w:t>月</w:t>
            </w:r>
            <w:r w:rsidR="0058437B" w:rsidRPr="008A1551">
              <w:rPr>
                <w:b/>
                <w:sz w:val="24"/>
              </w:rPr>
              <w:t>1</w:t>
            </w:r>
            <w:r w:rsidR="0058437B" w:rsidRPr="008A1551">
              <w:rPr>
                <w:b/>
                <w:sz w:val="24"/>
              </w:rPr>
              <w:t>日至</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p>
        </w:tc>
      </w:tr>
      <w:tr w:rsidR="001548F9" w:rsidRPr="008A1551" w:rsidTr="00402CC3">
        <w:trPr>
          <w:trHeight w:val="487"/>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jc w:val="center"/>
              <w:rPr>
                <w:sz w:val="24"/>
              </w:rPr>
            </w:pPr>
            <w:r w:rsidRPr="008A1551">
              <w:rPr>
                <w:sz w:val="24"/>
              </w:rPr>
              <w:t>交银丰润收益债券</w:t>
            </w:r>
            <w:r w:rsidRPr="008A1551">
              <w:rPr>
                <w:sz w:val="24"/>
              </w:rPr>
              <w:t>A</w:t>
            </w:r>
          </w:p>
        </w:tc>
        <w:tc>
          <w:tcPr>
            <w:tcW w:w="2558" w:type="dxa"/>
            <w:vAlign w:val="center"/>
          </w:tcPr>
          <w:p w:rsidR="001548F9" w:rsidRPr="008A1551" w:rsidRDefault="001548F9" w:rsidP="009E1EA4">
            <w:pPr>
              <w:spacing w:before="29" w:line="288" w:lineRule="auto"/>
              <w:jc w:val="center"/>
              <w:rPr>
                <w:sz w:val="24"/>
              </w:rPr>
            </w:pPr>
            <w:r w:rsidRPr="008A1551">
              <w:rPr>
                <w:sz w:val="24"/>
              </w:rPr>
              <w:t>交银丰润收益债券</w:t>
            </w:r>
            <w:r w:rsidRPr="008A1551">
              <w:rPr>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本期已实现收益</w:t>
            </w:r>
          </w:p>
        </w:tc>
        <w:tc>
          <w:tcPr>
            <w:tcW w:w="2410" w:type="dxa"/>
            <w:vAlign w:val="center"/>
          </w:tcPr>
          <w:p w:rsidR="001548F9" w:rsidRPr="008A1551" w:rsidRDefault="001548F9" w:rsidP="009E1EA4">
            <w:pPr>
              <w:spacing w:before="29" w:line="288" w:lineRule="auto"/>
              <w:jc w:val="right"/>
              <w:rPr>
                <w:sz w:val="24"/>
              </w:rPr>
            </w:pPr>
            <w:r w:rsidRPr="008A1551">
              <w:rPr>
                <w:sz w:val="24"/>
              </w:rPr>
              <w:t>29,739,533.09</w:t>
            </w:r>
          </w:p>
        </w:tc>
        <w:tc>
          <w:tcPr>
            <w:tcW w:w="2558" w:type="dxa"/>
            <w:vAlign w:val="center"/>
          </w:tcPr>
          <w:p w:rsidR="001548F9" w:rsidRPr="008A1551" w:rsidRDefault="001548F9" w:rsidP="009E1EA4">
            <w:pPr>
              <w:spacing w:before="29" w:line="288" w:lineRule="auto"/>
              <w:jc w:val="right"/>
              <w:rPr>
                <w:sz w:val="24"/>
              </w:rPr>
            </w:pPr>
            <w:r w:rsidRPr="008A1551">
              <w:rPr>
                <w:sz w:val="24"/>
              </w:rPr>
              <w:t>18,052.00</w:t>
            </w:r>
          </w:p>
        </w:tc>
      </w:tr>
      <w:tr w:rsidR="001548F9" w:rsidRPr="008A1551" w:rsidTr="00402CC3">
        <w:trPr>
          <w:trHeight w:val="754"/>
        </w:trPr>
        <w:tc>
          <w:tcPr>
            <w:tcW w:w="4404" w:type="dxa"/>
            <w:vAlign w:val="center"/>
          </w:tcPr>
          <w:p w:rsidR="001548F9" w:rsidRPr="008A1551" w:rsidRDefault="001548F9" w:rsidP="009E1EA4">
            <w:pPr>
              <w:spacing w:before="29" w:line="288" w:lineRule="auto"/>
              <w:rPr>
                <w:sz w:val="24"/>
              </w:rPr>
            </w:pPr>
            <w:r w:rsidRPr="008A1551">
              <w:rPr>
                <w:sz w:val="24"/>
              </w:rPr>
              <w:t>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23,525,883.50</w:t>
            </w:r>
          </w:p>
        </w:tc>
        <w:tc>
          <w:tcPr>
            <w:tcW w:w="2558" w:type="dxa"/>
            <w:vAlign w:val="center"/>
          </w:tcPr>
          <w:p w:rsidR="001548F9" w:rsidRPr="008A1551" w:rsidRDefault="001548F9" w:rsidP="009E1EA4">
            <w:pPr>
              <w:spacing w:before="29" w:line="288" w:lineRule="auto"/>
              <w:jc w:val="right"/>
              <w:rPr>
                <w:sz w:val="24"/>
              </w:rPr>
            </w:pPr>
            <w:r w:rsidRPr="008A1551">
              <w:rPr>
                <w:sz w:val="24"/>
              </w:rPr>
              <w:t>14,746.50</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加权平均基金份额本期利润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0.0168</w:t>
            </w:r>
          </w:p>
        </w:tc>
        <w:tc>
          <w:tcPr>
            <w:tcW w:w="2558" w:type="dxa"/>
            <w:vAlign w:val="center"/>
          </w:tcPr>
          <w:p w:rsidR="001548F9" w:rsidRPr="008A1551" w:rsidRDefault="001548F9" w:rsidP="009E1EA4">
            <w:pPr>
              <w:spacing w:before="29" w:line="288" w:lineRule="auto"/>
              <w:jc w:val="right"/>
              <w:rPr>
                <w:sz w:val="24"/>
              </w:rPr>
            </w:pPr>
            <w:r w:rsidRPr="008A1551">
              <w:rPr>
                <w:sz w:val="24"/>
              </w:rPr>
              <w:t>0.0161</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lastRenderedPageBreak/>
              <w:t>本期基金份额净值增长率</w:t>
            </w:r>
          </w:p>
        </w:tc>
        <w:tc>
          <w:tcPr>
            <w:tcW w:w="2410" w:type="dxa"/>
            <w:vAlign w:val="center"/>
          </w:tcPr>
          <w:p w:rsidR="001548F9" w:rsidRPr="008A1551" w:rsidRDefault="001548F9" w:rsidP="009E1EA4">
            <w:pPr>
              <w:spacing w:before="29" w:line="288" w:lineRule="auto"/>
              <w:jc w:val="right"/>
              <w:rPr>
                <w:sz w:val="24"/>
              </w:rPr>
            </w:pPr>
            <w:r w:rsidRPr="008A1551">
              <w:rPr>
                <w:sz w:val="24"/>
              </w:rPr>
              <w:t>1.81%</w:t>
            </w:r>
          </w:p>
        </w:tc>
        <w:tc>
          <w:tcPr>
            <w:tcW w:w="2558" w:type="dxa"/>
            <w:vAlign w:val="center"/>
          </w:tcPr>
          <w:p w:rsidR="001548F9" w:rsidRPr="008A1551" w:rsidRDefault="001548F9" w:rsidP="009E1EA4">
            <w:pPr>
              <w:spacing w:before="29" w:line="288" w:lineRule="auto"/>
              <w:jc w:val="right"/>
              <w:rPr>
                <w:sz w:val="24"/>
              </w:rPr>
            </w:pPr>
            <w:r w:rsidRPr="008A1551">
              <w:rPr>
                <w:sz w:val="24"/>
              </w:rPr>
              <w:t>1.61%</w:t>
            </w:r>
          </w:p>
        </w:tc>
      </w:tr>
      <w:tr w:rsidR="001548F9" w:rsidRPr="008A1551" w:rsidTr="00402CC3">
        <w:tc>
          <w:tcPr>
            <w:tcW w:w="4404" w:type="dxa"/>
            <w:vMerge w:val="restart"/>
            <w:vAlign w:val="center"/>
          </w:tcPr>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3.1.2</w:t>
            </w:r>
            <w:r w:rsidRPr="008A1551">
              <w:rPr>
                <w:b/>
                <w:color w:val="000000"/>
                <w:sz w:val="24"/>
              </w:rPr>
              <w:t>期末数据和指标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报告期末</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r w:rsidRPr="008A1551">
              <w:rPr>
                <w:b/>
                <w:sz w:val="24"/>
              </w:rPr>
              <w:t>)</w:t>
            </w:r>
          </w:p>
        </w:tc>
      </w:tr>
      <w:tr w:rsidR="001548F9" w:rsidRPr="008A1551" w:rsidTr="00402CC3">
        <w:trPr>
          <w:trHeight w:val="373"/>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交银丰润收益债券</w:t>
            </w:r>
            <w:r w:rsidRPr="008A1551">
              <w:rPr>
                <w:color w:val="000000"/>
                <w:sz w:val="24"/>
              </w:rPr>
              <w:t>A</w:t>
            </w:r>
          </w:p>
        </w:tc>
        <w:tc>
          <w:tcPr>
            <w:tcW w:w="2558"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交银丰润收益债券</w:t>
            </w:r>
            <w:r w:rsidRPr="008A1551">
              <w:rPr>
                <w:color w:val="000000"/>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期末可供分配基金份额利润</w:t>
            </w:r>
          </w:p>
        </w:tc>
        <w:tc>
          <w:tcPr>
            <w:tcW w:w="2410" w:type="dxa"/>
            <w:vAlign w:val="center"/>
          </w:tcPr>
          <w:p w:rsidR="001548F9" w:rsidRPr="008A1551" w:rsidRDefault="001548F9" w:rsidP="009E1EA4">
            <w:pPr>
              <w:spacing w:before="29" w:line="288" w:lineRule="auto"/>
              <w:jc w:val="right"/>
              <w:rPr>
                <w:sz w:val="24"/>
              </w:rPr>
            </w:pPr>
            <w:r w:rsidRPr="008A1551">
              <w:rPr>
                <w:sz w:val="24"/>
              </w:rPr>
              <w:t>0.033</w:t>
            </w:r>
          </w:p>
        </w:tc>
        <w:tc>
          <w:tcPr>
            <w:tcW w:w="2558" w:type="dxa"/>
            <w:vAlign w:val="center"/>
          </w:tcPr>
          <w:p w:rsidR="001548F9" w:rsidRPr="008A1551" w:rsidRDefault="001548F9" w:rsidP="009E1EA4">
            <w:pPr>
              <w:spacing w:before="29" w:line="288" w:lineRule="auto"/>
              <w:jc w:val="right"/>
              <w:rPr>
                <w:sz w:val="24"/>
              </w:rPr>
            </w:pPr>
            <w:r w:rsidRPr="008A1551">
              <w:rPr>
                <w:sz w:val="24"/>
              </w:rPr>
              <w:t>0.060</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期末基金资产净值</w:t>
            </w:r>
          </w:p>
        </w:tc>
        <w:tc>
          <w:tcPr>
            <w:tcW w:w="2410" w:type="dxa"/>
            <w:vAlign w:val="center"/>
          </w:tcPr>
          <w:p w:rsidR="001548F9" w:rsidRPr="008A1551" w:rsidRDefault="001548F9" w:rsidP="009E1EA4">
            <w:pPr>
              <w:spacing w:before="29" w:line="288" w:lineRule="auto"/>
              <w:jc w:val="right"/>
              <w:rPr>
                <w:sz w:val="24"/>
              </w:rPr>
            </w:pPr>
            <w:r w:rsidRPr="008A1551">
              <w:rPr>
                <w:sz w:val="24"/>
              </w:rPr>
              <w:t>1,597,952,293.54</w:t>
            </w:r>
          </w:p>
        </w:tc>
        <w:tc>
          <w:tcPr>
            <w:tcW w:w="2558" w:type="dxa"/>
            <w:vAlign w:val="center"/>
          </w:tcPr>
          <w:p w:rsidR="001548F9" w:rsidRPr="008A1551" w:rsidRDefault="001548F9" w:rsidP="009E1EA4">
            <w:pPr>
              <w:spacing w:before="29" w:line="288" w:lineRule="auto"/>
              <w:jc w:val="right"/>
              <w:rPr>
                <w:sz w:val="24"/>
              </w:rPr>
            </w:pPr>
            <w:r w:rsidRPr="008A1551">
              <w:rPr>
                <w:sz w:val="24"/>
              </w:rPr>
              <w:t>898,884.33</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期末基金份额净值</w:t>
            </w:r>
          </w:p>
        </w:tc>
        <w:tc>
          <w:tcPr>
            <w:tcW w:w="2410" w:type="dxa"/>
            <w:vAlign w:val="center"/>
          </w:tcPr>
          <w:p w:rsidR="001548F9" w:rsidRPr="008A1551" w:rsidRDefault="001548F9" w:rsidP="009E1EA4">
            <w:pPr>
              <w:spacing w:before="29" w:line="288" w:lineRule="auto"/>
              <w:jc w:val="right"/>
              <w:rPr>
                <w:sz w:val="24"/>
              </w:rPr>
            </w:pPr>
            <w:r w:rsidRPr="008A1551">
              <w:rPr>
                <w:sz w:val="24"/>
              </w:rPr>
              <w:t>1.0335</w:t>
            </w:r>
          </w:p>
        </w:tc>
        <w:tc>
          <w:tcPr>
            <w:tcW w:w="2558" w:type="dxa"/>
            <w:vAlign w:val="center"/>
          </w:tcPr>
          <w:p w:rsidR="001548F9" w:rsidRPr="008A1551" w:rsidRDefault="001548F9" w:rsidP="009E1EA4">
            <w:pPr>
              <w:spacing w:before="29" w:line="288" w:lineRule="auto"/>
              <w:jc w:val="right"/>
              <w:rPr>
                <w:sz w:val="24"/>
              </w:rPr>
            </w:pPr>
            <w:r w:rsidRPr="008A1551">
              <w:rPr>
                <w:sz w:val="24"/>
              </w:rPr>
              <w:t>1.0603</w:t>
            </w:r>
          </w:p>
        </w:tc>
      </w:tr>
    </w:tbl>
    <w:p w:rsidR="004957AA" w:rsidRDefault="00EF5A3D">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proofErr w:type="gramStart"/>
      <w:r>
        <w:rPr>
          <w:kern w:val="0"/>
          <w:sz w:val="24"/>
        </w:rPr>
        <w:t>类业绩</w:t>
      </w:r>
      <w:proofErr w:type="gramEnd"/>
      <w:r>
        <w:rPr>
          <w:kern w:val="0"/>
          <w:sz w:val="24"/>
        </w:rPr>
        <w:t>指标不包括持有人认购或交易基金的各项费用，计入费用后的实际收益水平要低于所列数字；</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、本期已实现收益指基金本期利息收入、投资收益、其他收入（不含公允价值变动收益）扣除相关费用后的余额，本期利润为本期已实现收益加上本期公允价值变动收益。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6" w:name="_Toc331410076"/>
      <w:bookmarkStart w:id="17" w:name="_Toc225498252"/>
      <w:r w:rsidRPr="008A1551">
        <w:rPr>
          <w:rFonts w:ascii="Times New Roman" w:hAnsi="Times New Roman"/>
          <w:kern w:val="0"/>
          <w:szCs w:val="24"/>
        </w:rPr>
        <w:t xml:space="preserve">3.2 </w:t>
      </w:r>
      <w:r w:rsidRPr="008A1551">
        <w:rPr>
          <w:rFonts w:ascii="Times New Roman" w:hAnsi="Times New Roman"/>
          <w:kern w:val="0"/>
          <w:szCs w:val="24"/>
        </w:rPr>
        <w:t>基金净值表现</w:t>
      </w:r>
      <w:bookmarkEnd w:id="16"/>
      <w:bookmarkEnd w:id="17"/>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3.2.1 </w:t>
      </w:r>
      <w:r w:rsidRPr="008A1551">
        <w:rPr>
          <w:b/>
          <w:color w:val="000000"/>
          <w:kern w:val="0"/>
          <w:sz w:val="24"/>
        </w:rPr>
        <w:t>基金份额净值增长率及其与同期业绩比较基准收益率的比较</w:t>
      </w: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交银丰润收益债券</w:t>
      </w:r>
      <w:r w:rsidRPr="008A1551">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4957AA">
        <w:tc>
          <w:tcPr>
            <w:tcW w:w="1497" w:type="dxa"/>
            <w:vAlign w:val="center"/>
          </w:tcPr>
          <w:p w:rsidR="004957AA" w:rsidRDefault="00EF5A3D">
            <w:pPr>
              <w:jc w:val="left"/>
            </w:pPr>
            <w:r>
              <w:rPr>
                <w:color w:val="000000"/>
                <w:sz w:val="24"/>
              </w:rPr>
              <w:t>过去一个月</w:t>
            </w:r>
          </w:p>
        </w:tc>
        <w:tc>
          <w:tcPr>
            <w:tcW w:w="1251" w:type="dxa"/>
            <w:vAlign w:val="center"/>
          </w:tcPr>
          <w:p w:rsidR="004957AA" w:rsidRDefault="00EF5A3D">
            <w:pPr>
              <w:jc w:val="center"/>
            </w:pPr>
            <w:r>
              <w:rPr>
                <w:color w:val="000000"/>
                <w:sz w:val="24"/>
              </w:rPr>
              <w:t>0.58%</w:t>
            </w:r>
          </w:p>
        </w:tc>
        <w:tc>
          <w:tcPr>
            <w:tcW w:w="1250" w:type="dxa"/>
            <w:vAlign w:val="center"/>
          </w:tcPr>
          <w:p w:rsidR="004957AA" w:rsidRDefault="00EF5A3D">
            <w:pPr>
              <w:jc w:val="center"/>
            </w:pPr>
            <w:r>
              <w:rPr>
                <w:color w:val="000000"/>
                <w:sz w:val="24"/>
              </w:rPr>
              <w:t>0.02%</w:t>
            </w:r>
          </w:p>
        </w:tc>
        <w:tc>
          <w:tcPr>
            <w:tcW w:w="1250" w:type="dxa"/>
            <w:vAlign w:val="center"/>
          </w:tcPr>
          <w:p w:rsidR="004957AA" w:rsidRDefault="00EF5A3D">
            <w:pPr>
              <w:jc w:val="center"/>
            </w:pPr>
            <w:r>
              <w:rPr>
                <w:color w:val="000000"/>
                <w:sz w:val="24"/>
              </w:rPr>
              <w:t>0.28%</w:t>
            </w:r>
          </w:p>
        </w:tc>
        <w:tc>
          <w:tcPr>
            <w:tcW w:w="1250" w:type="dxa"/>
            <w:vAlign w:val="center"/>
          </w:tcPr>
          <w:p w:rsidR="004957AA" w:rsidRDefault="00EF5A3D">
            <w:pPr>
              <w:jc w:val="center"/>
            </w:pPr>
            <w:r>
              <w:rPr>
                <w:color w:val="000000"/>
                <w:sz w:val="24"/>
              </w:rPr>
              <w:t>0.03%</w:t>
            </w:r>
          </w:p>
        </w:tc>
        <w:tc>
          <w:tcPr>
            <w:tcW w:w="1250" w:type="dxa"/>
            <w:vAlign w:val="center"/>
          </w:tcPr>
          <w:p w:rsidR="004957AA" w:rsidRDefault="00EF5A3D">
            <w:pPr>
              <w:jc w:val="center"/>
            </w:pPr>
            <w:r>
              <w:rPr>
                <w:color w:val="000000"/>
                <w:sz w:val="24"/>
              </w:rPr>
              <w:t>0.30%</w:t>
            </w:r>
          </w:p>
        </w:tc>
        <w:tc>
          <w:tcPr>
            <w:tcW w:w="1250" w:type="dxa"/>
            <w:vAlign w:val="center"/>
          </w:tcPr>
          <w:p w:rsidR="004957AA" w:rsidRDefault="00EF5A3D">
            <w:pPr>
              <w:jc w:val="center"/>
            </w:pPr>
            <w:r>
              <w:rPr>
                <w:color w:val="000000"/>
                <w:sz w:val="24"/>
              </w:rPr>
              <w:t>-0.01%</w:t>
            </w:r>
          </w:p>
        </w:tc>
      </w:tr>
      <w:tr w:rsidR="004957AA">
        <w:tc>
          <w:tcPr>
            <w:tcW w:w="1497" w:type="dxa"/>
            <w:vAlign w:val="center"/>
          </w:tcPr>
          <w:p w:rsidR="004957AA" w:rsidRDefault="00EF5A3D">
            <w:pPr>
              <w:jc w:val="left"/>
            </w:pPr>
            <w:r>
              <w:rPr>
                <w:color w:val="000000"/>
                <w:sz w:val="24"/>
              </w:rPr>
              <w:t>过去三个月</w:t>
            </w:r>
          </w:p>
        </w:tc>
        <w:tc>
          <w:tcPr>
            <w:tcW w:w="1251" w:type="dxa"/>
            <w:vAlign w:val="center"/>
          </w:tcPr>
          <w:p w:rsidR="004957AA" w:rsidRDefault="00EF5A3D">
            <w:pPr>
              <w:jc w:val="center"/>
            </w:pPr>
            <w:r>
              <w:rPr>
                <w:color w:val="000000"/>
                <w:sz w:val="24"/>
              </w:rPr>
              <w:t>0.53%</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-0.23%</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0.76%</w:t>
            </w:r>
          </w:p>
        </w:tc>
        <w:tc>
          <w:tcPr>
            <w:tcW w:w="1250" w:type="dxa"/>
            <w:vAlign w:val="center"/>
          </w:tcPr>
          <w:p w:rsidR="004957AA" w:rsidRDefault="00EF5A3D">
            <w:pPr>
              <w:jc w:val="center"/>
            </w:pPr>
            <w:r>
              <w:rPr>
                <w:color w:val="000000"/>
                <w:sz w:val="24"/>
              </w:rPr>
              <w:t>0.00%</w:t>
            </w:r>
          </w:p>
        </w:tc>
      </w:tr>
      <w:tr w:rsidR="004957AA">
        <w:tc>
          <w:tcPr>
            <w:tcW w:w="1497" w:type="dxa"/>
            <w:vAlign w:val="center"/>
          </w:tcPr>
          <w:p w:rsidR="004957AA" w:rsidRDefault="00EF5A3D">
            <w:pPr>
              <w:jc w:val="left"/>
            </w:pPr>
            <w:r>
              <w:rPr>
                <w:color w:val="000000"/>
                <w:sz w:val="24"/>
              </w:rPr>
              <w:t>过去六个月</w:t>
            </w:r>
          </w:p>
        </w:tc>
        <w:tc>
          <w:tcPr>
            <w:tcW w:w="1251" w:type="dxa"/>
            <w:vAlign w:val="center"/>
          </w:tcPr>
          <w:p w:rsidR="004957AA" w:rsidRDefault="00EF5A3D">
            <w:pPr>
              <w:jc w:val="center"/>
            </w:pPr>
            <w:r>
              <w:rPr>
                <w:color w:val="000000"/>
                <w:sz w:val="24"/>
              </w:rPr>
              <w:t>1.81%</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0.24%</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1.57%</w:t>
            </w:r>
          </w:p>
        </w:tc>
        <w:tc>
          <w:tcPr>
            <w:tcW w:w="1250" w:type="dxa"/>
            <w:vAlign w:val="center"/>
          </w:tcPr>
          <w:p w:rsidR="004957AA" w:rsidRDefault="00EF5A3D">
            <w:pPr>
              <w:jc w:val="center"/>
            </w:pPr>
            <w:r>
              <w:rPr>
                <w:color w:val="000000"/>
                <w:sz w:val="24"/>
              </w:rPr>
              <w:t>0.00%</w:t>
            </w:r>
          </w:p>
        </w:tc>
      </w:tr>
      <w:tr w:rsidR="004957AA">
        <w:tc>
          <w:tcPr>
            <w:tcW w:w="1497" w:type="dxa"/>
            <w:vAlign w:val="center"/>
          </w:tcPr>
          <w:p w:rsidR="004957AA" w:rsidRDefault="00EF5A3D">
            <w:pPr>
              <w:jc w:val="left"/>
            </w:pPr>
            <w:r>
              <w:rPr>
                <w:color w:val="000000"/>
                <w:sz w:val="24"/>
              </w:rPr>
              <w:t>过去一年</w:t>
            </w:r>
          </w:p>
        </w:tc>
        <w:tc>
          <w:tcPr>
            <w:tcW w:w="1251" w:type="dxa"/>
            <w:vAlign w:val="center"/>
          </w:tcPr>
          <w:p w:rsidR="004957AA" w:rsidRDefault="00EF5A3D">
            <w:pPr>
              <w:jc w:val="center"/>
            </w:pPr>
            <w:r>
              <w:rPr>
                <w:color w:val="000000"/>
                <w:sz w:val="24"/>
              </w:rPr>
              <w:t>4.58%</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2.81%</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1.77%</w:t>
            </w:r>
          </w:p>
        </w:tc>
        <w:tc>
          <w:tcPr>
            <w:tcW w:w="1250" w:type="dxa"/>
            <w:vAlign w:val="center"/>
          </w:tcPr>
          <w:p w:rsidR="004957AA" w:rsidRDefault="00EF5A3D">
            <w:pPr>
              <w:jc w:val="center"/>
            </w:pPr>
            <w:r>
              <w:rPr>
                <w:color w:val="000000"/>
                <w:sz w:val="24"/>
              </w:rPr>
              <w:t>0.00%</w:t>
            </w:r>
          </w:p>
        </w:tc>
      </w:tr>
      <w:tr w:rsidR="004957AA">
        <w:tc>
          <w:tcPr>
            <w:tcW w:w="1497" w:type="dxa"/>
            <w:vAlign w:val="center"/>
          </w:tcPr>
          <w:p w:rsidR="004957AA" w:rsidRDefault="00EF5A3D">
            <w:pPr>
              <w:jc w:val="left"/>
            </w:pPr>
            <w:r>
              <w:rPr>
                <w:color w:val="000000"/>
                <w:sz w:val="24"/>
              </w:rPr>
              <w:t>过去三年</w:t>
            </w:r>
          </w:p>
        </w:tc>
        <w:tc>
          <w:tcPr>
            <w:tcW w:w="1251" w:type="dxa"/>
            <w:vAlign w:val="center"/>
          </w:tcPr>
          <w:p w:rsidR="004957AA" w:rsidRDefault="00EF5A3D">
            <w:pPr>
              <w:jc w:val="center"/>
            </w:pPr>
            <w:r>
              <w:rPr>
                <w:color w:val="000000"/>
                <w:sz w:val="24"/>
              </w:rPr>
              <w:t>11.76%</w:t>
            </w:r>
          </w:p>
        </w:tc>
        <w:tc>
          <w:tcPr>
            <w:tcW w:w="1250" w:type="dxa"/>
            <w:vAlign w:val="center"/>
          </w:tcPr>
          <w:p w:rsidR="004957AA" w:rsidRDefault="00EF5A3D">
            <w:pPr>
              <w:jc w:val="center"/>
            </w:pPr>
            <w:r>
              <w:rPr>
                <w:color w:val="000000"/>
                <w:sz w:val="24"/>
              </w:rPr>
              <w:t>0.05%</w:t>
            </w:r>
          </w:p>
        </w:tc>
        <w:tc>
          <w:tcPr>
            <w:tcW w:w="1250" w:type="dxa"/>
            <w:vAlign w:val="center"/>
          </w:tcPr>
          <w:p w:rsidR="004957AA" w:rsidRDefault="00EF5A3D">
            <w:pPr>
              <w:jc w:val="center"/>
            </w:pPr>
            <w:r>
              <w:rPr>
                <w:color w:val="000000"/>
                <w:sz w:val="24"/>
              </w:rPr>
              <w:t>3.76%</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8.00%</w:t>
            </w:r>
          </w:p>
        </w:tc>
        <w:tc>
          <w:tcPr>
            <w:tcW w:w="1250" w:type="dxa"/>
            <w:vAlign w:val="center"/>
          </w:tcPr>
          <w:p w:rsidR="004957AA" w:rsidRDefault="00EF5A3D">
            <w:pPr>
              <w:jc w:val="center"/>
            </w:pPr>
            <w:r>
              <w:rPr>
                <w:color w:val="000000"/>
                <w:sz w:val="24"/>
              </w:rPr>
              <w:t>-0.01%</w:t>
            </w:r>
          </w:p>
        </w:tc>
      </w:tr>
      <w:tr w:rsidR="004957AA">
        <w:tc>
          <w:tcPr>
            <w:tcW w:w="1497" w:type="dxa"/>
            <w:vAlign w:val="center"/>
          </w:tcPr>
          <w:p w:rsidR="004957AA" w:rsidRDefault="00EF5A3D">
            <w:pPr>
              <w:jc w:val="left"/>
            </w:pPr>
            <w:r>
              <w:rPr>
                <w:color w:val="000000"/>
                <w:sz w:val="24"/>
              </w:rPr>
              <w:t>自基金合同生效起至今</w:t>
            </w:r>
          </w:p>
        </w:tc>
        <w:tc>
          <w:tcPr>
            <w:tcW w:w="1251" w:type="dxa"/>
            <w:vAlign w:val="center"/>
          </w:tcPr>
          <w:p w:rsidR="004957AA" w:rsidRDefault="00EF5A3D">
            <w:pPr>
              <w:jc w:val="center"/>
            </w:pPr>
            <w:r>
              <w:rPr>
                <w:color w:val="000000"/>
                <w:sz w:val="24"/>
              </w:rPr>
              <w:t>25.60%</w:t>
            </w:r>
          </w:p>
        </w:tc>
        <w:tc>
          <w:tcPr>
            <w:tcW w:w="1250" w:type="dxa"/>
            <w:vAlign w:val="center"/>
          </w:tcPr>
          <w:p w:rsidR="004957AA" w:rsidRDefault="00EF5A3D">
            <w:pPr>
              <w:jc w:val="center"/>
            </w:pPr>
            <w:r>
              <w:rPr>
                <w:color w:val="000000"/>
                <w:sz w:val="24"/>
              </w:rPr>
              <w:t>0.09%</w:t>
            </w:r>
          </w:p>
        </w:tc>
        <w:tc>
          <w:tcPr>
            <w:tcW w:w="1250" w:type="dxa"/>
            <w:vAlign w:val="center"/>
          </w:tcPr>
          <w:p w:rsidR="004957AA" w:rsidRDefault="00EF5A3D">
            <w:pPr>
              <w:jc w:val="center"/>
            </w:pPr>
            <w:r>
              <w:rPr>
                <w:color w:val="000000"/>
                <w:sz w:val="24"/>
              </w:rPr>
              <w:t>9.91%</w:t>
            </w:r>
          </w:p>
        </w:tc>
        <w:tc>
          <w:tcPr>
            <w:tcW w:w="1250" w:type="dxa"/>
            <w:vAlign w:val="center"/>
          </w:tcPr>
          <w:p w:rsidR="004957AA" w:rsidRDefault="00EF5A3D">
            <w:pPr>
              <w:jc w:val="center"/>
            </w:pPr>
            <w:r>
              <w:rPr>
                <w:color w:val="000000"/>
                <w:sz w:val="24"/>
              </w:rPr>
              <w:t>0.05%</w:t>
            </w:r>
          </w:p>
        </w:tc>
        <w:tc>
          <w:tcPr>
            <w:tcW w:w="1250" w:type="dxa"/>
            <w:vAlign w:val="center"/>
          </w:tcPr>
          <w:p w:rsidR="004957AA" w:rsidRDefault="00EF5A3D">
            <w:pPr>
              <w:jc w:val="center"/>
            </w:pPr>
            <w:r>
              <w:rPr>
                <w:color w:val="000000"/>
                <w:sz w:val="24"/>
              </w:rPr>
              <w:t>15.69%</w:t>
            </w:r>
          </w:p>
        </w:tc>
        <w:tc>
          <w:tcPr>
            <w:tcW w:w="1250" w:type="dxa"/>
            <w:vAlign w:val="center"/>
          </w:tcPr>
          <w:p w:rsidR="004957AA" w:rsidRDefault="00EF5A3D">
            <w:pPr>
              <w:jc w:val="center"/>
            </w:pPr>
            <w:r>
              <w:rPr>
                <w:color w:val="000000"/>
                <w:sz w:val="24"/>
              </w:rPr>
              <w:t>0.04%</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注：本基金封闭期内的业绩比较基准为两年期银行定期存款税后收益率</w:t>
      </w:r>
      <w:r w:rsidRPr="008A1551">
        <w:rPr>
          <w:kern w:val="0"/>
          <w:sz w:val="24"/>
        </w:rPr>
        <w:t>+1.25%</w:t>
      </w:r>
      <w:r w:rsidRPr="008A1551">
        <w:rPr>
          <w:kern w:val="0"/>
          <w:sz w:val="24"/>
        </w:rPr>
        <w:t>，开放期内业绩比较基准：中</w:t>
      </w:r>
      <w:proofErr w:type="gramStart"/>
      <w:r w:rsidRPr="008A1551">
        <w:rPr>
          <w:kern w:val="0"/>
          <w:sz w:val="24"/>
        </w:rPr>
        <w:t>债综合</w:t>
      </w:r>
      <w:proofErr w:type="gramEnd"/>
      <w:r w:rsidRPr="008A1551">
        <w:rPr>
          <w:kern w:val="0"/>
          <w:sz w:val="24"/>
        </w:rPr>
        <w:t>全价指数。</w:t>
      </w:r>
    </w:p>
    <w:p w:rsidR="00F83933" w:rsidRPr="008A1551" w:rsidRDefault="00F83933" w:rsidP="009E1EA4">
      <w:pPr>
        <w:tabs>
          <w:tab w:val="left" w:pos="426"/>
        </w:tabs>
        <w:spacing w:before="29" w:line="288" w:lineRule="auto"/>
        <w:jc w:val="left"/>
        <w:rPr>
          <w:kern w:val="0"/>
          <w:sz w:val="24"/>
        </w:rPr>
      </w:pP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交银丰润收益债券</w:t>
      </w:r>
      <w:r w:rsidRPr="008A1551">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4957AA">
        <w:tc>
          <w:tcPr>
            <w:tcW w:w="1497" w:type="dxa"/>
            <w:vAlign w:val="center"/>
          </w:tcPr>
          <w:p w:rsidR="004957AA" w:rsidRDefault="00EF5A3D">
            <w:pPr>
              <w:jc w:val="left"/>
            </w:pPr>
            <w:r>
              <w:rPr>
                <w:color w:val="000000"/>
                <w:sz w:val="24"/>
              </w:rPr>
              <w:t>过去一个月</w:t>
            </w:r>
          </w:p>
        </w:tc>
        <w:tc>
          <w:tcPr>
            <w:tcW w:w="1251" w:type="dxa"/>
            <w:vAlign w:val="center"/>
          </w:tcPr>
          <w:p w:rsidR="004957AA" w:rsidRDefault="00EF5A3D">
            <w:pPr>
              <w:jc w:val="center"/>
            </w:pPr>
            <w:r>
              <w:rPr>
                <w:color w:val="000000"/>
                <w:sz w:val="24"/>
              </w:rPr>
              <w:t>0.55%</w:t>
            </w:r>
          </w:p>
        </w:tc>
        <w:tc>
          <w:tcPr>
            <w:tcW w:w="1250" w:type="dxa"/>
            <w:vAlign w:val="center"/>
          </w:tcPr>
          <w:p w:rsidR="004957AA" w:rsidRDefault="00EF5A3D">
            <w:pPr>
              <w:jc w:val="center"/>
            </w:pPr>
            <w:r>
              <w:rPr>
                <w:color w:val="000000"/>
                <w:sz w:val="24"/>
              </w:rPr>
              <w:t>0.02%</w:t>
            </w:r>
          </w:p>
        </w:tc>
        <w:tc>
          <w:tcPr>
            <w:tcW w:w="1250" w:type="dxa"/>
            <w:vAlign w:val="center"/>
          </w:tcPr>
          <w:p w:rsidR="004957AA" w:rsidRDefault="00EF5A3D">
            <w:pPr>
              <w:jc w:val="center"/>
            </w:pPr>
            <w:r>
              <w:rPr>
                <w:color w:val="000000"/>
                <w:sz w:val="24"/>
              </w:rPr>
              <w:t>0.28%</w:t>
            </w:r>
          </w:p>
        </w:tc>
        <w:tc>
          <w:tcPr>
            <w:tcW w:w="1250" w:type="dxa"/>
            <w:vAlign w:val="center"/>
          </w:tcPr>
          <w:p w:rsidR="004957AA" w:rsidRDefault="00EF5A3D">
            <w:pPr>
              <w:jc w:val="center"/>
            </w:pPr>
            <w:r>
              <w:rPr>
                <w:color w:val="000000"/>
                <w:sz w:val="24"/>
              </w:rPr>
              <w:t>0.03%</w:t>
            </w:r>
          </w:p>
        </w:tc>
        <w:tc>
          <w:tcPr>
            <w:tcW w:w="1250" w:type="dxa"/>
            <w:vAlign w:val="center"/>
          </w:tcPr>
          <w:p w:rsidR="004957AA" w:rsidRDefault="00EF5A3D">
            <w:pPr>
              <w:jc w:val="center"/>
            </w:pPr>
            <w:r>
              <w:rPr>
                <w:color w:val="000000"/>
                <w:sz w:val="24"/>
              </w:rPr>
              <w:t>0.27%</w:t>
            </w:r>
          </w:p>
        </w:tc>
        <w:tc>
          <w:tcPr>
            <w:tcW w:w="1250" w:type="dxa"/>
            <w:vAlign w:val="center"/>
          </w:tcPr>
          <w:p w:rsidR="004957AA" w:rsidRDefault="00EF5A3D">
            <w:pPr>
              <w:jc w:val="center"/>
            </w:pPr>
            <w:r>
              <w:rPr>
                <w:color w:val="000000"/>
                <w:sz w:val="24"/>
              </w:rPr>
              <w:t>-0.01%</w:t>
            </w:r>
          </w:p>
        </w:tc>
      </w:tr>
      <w:tr w:rsidR="004957AA">
        <w:tc>
          <w:tcPr>
            <w:tcW w:w="1497" w:type="dxa"/>
            <w:vAlign w:val="center"/>
          </w:tcPr>
          <w:p w:rsidR="004957AA" w:rsidRDefault="00EF5A3D">
            <w:pPr>
              <w:jc w:val="left"/>
            </w:pPr>
            <w:r>
              <w:rPr>
                <w:color w:val="000000"/>
                <w:sz w:val="24"/>
              </w:rPr>
              <w:t>过去三个月</w:t>
            </w:r>
          </w:p>
        </w:tc>
        <w:tc>
          <w:tcPr>
            <w:tcW w:w="1251" w:type="dxa"/>
            <w:vAlign w:val="center"/>
          </w:tcPr>
          <w:p w:rsidR="004957AA" w:rsidRDefault="00EF5A3D">
            <w:pPr>
              <w:jc w:val="center"/>
            </w:pPr>
            <w:r>
              <w:rPr>
                <w:color w:val="000000"/>
                <w:sz w:val="24"/>
              </w:rPr>
              <w:t>0.44%</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-0.23%</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0.67%</w:t>
            </w:r>
          </w:p>
        </w:tc>
        <w:tc>
          <w:tcPr>
            <w:tcW w:w="1250" w:type="dxa"/>
            <w:vAlign w:val="center"/>
          </w:tcPr>
          <w:p w:rsidR="004957AA" w:rsidRDefault="00EF5A3D">
            <w:pPr>
              <w:jc w:val="center"/>
            </w:pPr>
            <w:r>
              <w:rPr>
                <w:color w:val="000000"/>
                <w:sz w:val="24"/>
              </w:rPr>
              <w:t>0.00%</w:t>
            </w:r>
          </w:p>
        </w:tc>
      </w:tr>
      <w:tr w:rsidR="004957AA">
        <w:tc>
          <w:tcPr>
            <w:tcW w:w="1497" w:type="dxa"/>
            <w:vAlign w:val="center"/>
          </w:tcPr>
          <w:p w:rsidR="004957AA" w:rsidRDefault="00EF5A3D">
            <w:pPr>
              <w:jc w:val="left"/>
            </w:pPr>
            <w:r>
              <w:rPr>
                <w:color w:val="000000"/>
                <w:sz w:val="24"/>
              </w:rPr>
              <w:t>过去六个月</w:t>
            </w:r>
          </w:p>
        </w:tc>
        <w:tc>
          <w:tcPr>
            <w:tcW w:w="1251" w:type="dxa"/>
            <w:vAlign w:val="center"/>
          </w:tcPr>
          <w:p w:rsidR="004957AA" w:rsidRDefault="00EF5A3D">
            <w:pPr>
              <w:jc w:val="center"/>
            </w:pPr>
            <w:r>
              <w:rPr>
                <w:color w:val="000000"/>
                <w:sz w:val="24"/>
              </w:rPr>
              <w:t>1.61%</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0.24%</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1.37%</w:t>
            </w:r>
          </w:p>
        </w:tc>
        <w:tc>
          <w:tcPr>
            <w:tcW w:w="1250" w:type="dxa"/>
            <w:vAlign w:val="center"/>
          </w:tcPr>
          <w:p w:rsidR="004957AA" w:rsidRDefault="00EF5A3D">
            <w:pPr>
              <w:jc w:val="center"/>
            </w:pPr>
            <w:r>
              <w:rPr>
                <w:color w:val="000000"/>
                <w:sz w:val="24"/>
              </w:rPr>
              <w:t>0.00%</w:t>
            </w:r>
          </w:p>
        </w:tc>
      </w:tr>
      <w:tr w:rsidR="004957AA">
        <w:tc>
          <w:tcPr>
            <w:tcW w:w="1497" w:type="dxa"/>
            <w:vAlign w:val="center"/>
          </w:tcPr>
          <w:p w:rsidR="004957AA" w:rsidRDefault="00EF5A3D">
            <w:pPr>
              <w:jc w:val="left"/>
            </w:pPr>
            <w:r>
              <w:rPr>
                <w:color w:val="000000"/>
                <w:sz w:val="24"/>
              </w:rPr>
              <w:t>过去一年</w:t>
            </w:r>
          </w:p>
        </w:tc>
        <w:tc>
          <w:tcPr>
            <w:tcW w:w="1251" w:type="dxa"/>
            <w:vAlign w:val="center"/>
          </w:tcPr>
          <w:p w:rsidR="004957AA" w:rsidRDefault="00EF5A3D">
            <w:pPr>
              <w:jc w:val="center"/>
            </w:pPr>
            <w:r>
              <w:rPr>
                <w:color w:val="000000"/>
                <w:sz w:val="24"/>
              </w:rPr>
              <w:t>3.75%</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2.81%</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0.94%</w:t>
            </w:r>
          </w:p>
        </w:tc>
        <w:tc>
          <w:tcPr>
            <w:tcW w:w="1250" w:type="dxa"/>
            <w:vAlign w:val="center"/>
          </w:tcPr>
          <w:p w:rsidR="004957AA" w:rsidRDefault="00EF5A3D">
            <w:pPr>
              <w:jc w:val="center"/>
            </w:pPr>
            <w:r>
              <w:rPr>
                <w:color w:val="000000"/>
                <w:sz w:val="24"/>
              </w:rPr>
              <w:t>0.00%</w:t>
            </w:r>
          </w:p>
        </w:tc>
      </w:tr>
      <w:tr w:rsidR="004957AA">
        <w:tc>
          <w:tcPr>
            <w:tcW w:w="1497" w:type="dxa"/>
            <w:vAlign w:val="center"/>
          </w:tcPr>
          <w:p w:rsidR="004957AA" w:rsidRDefault="00EF5A3D">
            <w:pPr>
              <w:jc w:val="left"/>
            </w:pPr>
            <w:r>
              <w:rPr>
                <w:color w:val="000000"/>
                <w:sz w:val="24"/>
              </w:rPr>
              <w:t>过去三年</w:t>
            </w:r>
          </w:p>
        </w:tc>
        <w:tc>
          <w:tcPr>
            <w:tcW w:w="1251" w:type="dxa"/>
            <w:vAlign w:val="center"/>
          </w:tcPr>
          <w:p w:rsidR="004957AA" w:rsidRDefault="00EF5A3D">
            <w:pPr>
              <w:jc w:val="center"/>
            </w:pPr>
            <w:r>
              <w:rPr>
                <w:color w:val="000000"/>
                <w:sz w:val="24"/>
              </w:rPr>
              <w:t>6.77%</w:t>
            </w:r>
          </w:p>
        </w:tc>
        <w:tc>
          <w:tcPr>
            <w:tcW w:w="1250" w:type="dxa"/>
            <w:vAlign w:val="center"/>
          </w:tcPr>
          <w:p w:rsidR="004957AA" w:rsidRDefault="00EF5A3D">
            <w:pPr>
              <w:jc w:val="center"/>
            </w:pPr>
            <w:r>
              <w:rPr>
                <w:color w:val="000000"/>
                <w:sz w:val="24"/>
              </w:rPr>
              <w:t>0.11%</w:t>
            </w:r>
          </w:p>
        </w:tc>
        <w:tc>
          <w:tcPr>
            <w:tcW w:w="1250" w:type="dxa"/>
            <w:vAlign w:val="center"/>
          </w:tcPr>
          <w:p w:rsidR="004957AA" w:rsidRDefault="00EF5A3D">
            <w:pPr>
              <w:jc w:val="center"/>
            </w:pPr>
            <w:r>
              <w:rPr>
                <w:color w:val="000000"/>
                <w:sz w:val="24"/>
              </w:rPr>
              <w:t>3.76%</w:t>
            </w:r>
          </w:p>
        </w:tc>
        <w:tc>
          <w:tcPr>
            <w:tcW w:w="1250" w:type="dxa"/>
            <w:vAlign w:val="center"/>
          </w:tcPr>
          <w:p w:rsidR="004957AA" w:rsidRDefault="00EF5A3D">
            <w:pPr>
              <w:jc w:val="center"/>
            </w:pPr>
            <w:r>
              <w:rPr>
                <w:color w:val="000000"/>
                <w:sz w:val="24"/>
              </w:rPr>
              <w:t>0.06%</w:t>
            </w:r>
          </w:p>
        </w:tc>
        <w:tc>
          <w:tcPr>
            <w:tcW w:w="1250" w:type="dxa"/>
            <w:vAlign w:val="center"/>
          </w:tcPr>
          <w:p w:rsidR="004957AA" w:rsidRDefault="00EF5A3D">
            <w:pPr>
              <w:jc w:val="center"/>
            </w:pPr>
            <w:r>
              <w:rPr>
                <w:color w:val="000000"/>
                <w:sz w:val="24"/>
              </w:rPr>
              <w:t>3.01%</w:t>
            </w:r>
          </w:p>
        </w:tc>
        <w:tc>
          <w:tcPr>
            <w:tcW w:w="1250" w:type="dxa"/>
            <w:vAlign w:val="center"/>
          </w:tcPr>
          <w:p w:rsidR="004957AA" w:rsidRDefault="00EF5A3D">
            <w:pPr>
              <w:jc w:val="center"/>
            </w:pPr>
            <w:r>
              <w:rPr>
                <w:color w:val="000000"/>
                <w:sz w:val="24"/>
              </w:rPr>
              <w:t>0.05%</w:t>
            </w:r>
          </w:p>
        </w:tc>
      </w:tr>
      <w:tr w:rsidR="004957AA">
        <w:tc>
          <w:tcPr>
            <w:tcW w:w="1497" w:type="dxa"/>
            <w:vAlign w:val="center"/>
          </w:tcPr>
          <w:p w:rsidR="004957AA" w:rsidRDefault="00EF5A3D">
            <w:pPr>
              <w:jc w:val="left"/>
            </w:pPr>
            <w:r>
              <w:rPr>
                <w:color w:val="000000"/>
                <w:sz w:val="24"/>
              </w:rPr>
              <w:t>自基金合同生效起至今</w:t>
            </w:r>
          </w:p>
        </w:tc>
        <w:tc>
          <w:tcPr>
            <w:tcW w:w="1251" w:type="dxa"/>
            <w:vAlign w:val="center"/>
          </w:tcPr>
          <w:p w:rsidR="004957AA" w:rsidRDefault="00EF5A3D">
            <w:pPr>
              <w:jc w:val="center"/>
            </w:pPr>
            <w:r>
              <w:rPr>
                <w:color w:val="000000"/>
                <w:sz w:val="24"/>
              </w:rPr>
              <w:t>18.90%</w:t>
            </w:r>
          </w:p>
        </w:tc>
        <w:tc>
          <w:tcPr>
            <w:tcW w:w="1250" w:type="dxa"/>
            <w:vAlign w:val="center"/>
          </w:tcPr>
          <w:p w:rsidR="004957AA" w:rsidRDefault="00EF5A3D">
            <w:pPr>
              <w:jc w:val="center"/>
            </w:pPr>
            <w:r>
              <w:rPr>
                <w:color w:val="000000"/>
                <w:sz w:val="24"/>
              </w:rPr>
              <w:t>0.12%</w:t>
            </w:r>
          </w:p>
        </w:tc>
        <w:tc>
          <w:tcPr>
            <w:tcW w:w="1250" w:type="dxa"/>
            <w:vAlign w:val="center"/>
          </w:tcPr>
          <w:p w:rsidR="004957AA" w:rsidRDefault="00EF5A3D">
            <w:pPr>
              <w:jc w:val="center"/>
            </w:pPr>
            <w:r>
              <w:rPr>
                <w:color w:val="000000"/>
                <w:sz w:val="24"/>
              </w:rPr>
              <w:t>9.91%</w:t>
            </w:r>
          </w:p>
        </w:tc>
        <w:tc>
          <w:tcPr>
            <w:tcW w:w="1250" w:type="dxa"/>
            <w:vAlign w:val="center"/>
          </w:tcPr>
          <w:p w:rsidR="004957AA" w:rsidRDefault="00EF5A3D">
            <w:pPr>
              <w:jc w:val="center"/>
            </w:pPr>
            <w:r>
              <w:rPr>
                <w:color w:val="000000"/>
                <w:sz w:val="24"/>
              </w:rPr>
              <w:t>0.05%</w:t>
            </w:r>
          </w:p>
        </w:tc>
        <w:tc>
          <w:tcPr>
            <w:tcW w:w="1250" w:type="dxa"/>
            <w:vAlign w:val="center"/>
          </w:tcPr>
          <w:p w:rsidR="004957AA" w:rsidRDefault="00EF5A3D">
            <w:pPr>
              <w:jc w:val="center"/>
            </w:pPr>
            <w:r>
              <w:rPr>
                <w:color w:val="000000"/>
                <w:sz w:val="24"/>
              </w:rPr>
              <w:t>8.99%</w:t>
            </w:r>
          </w:p>
        </w:tc>
        <w:tc>
          <w:tcPr>
            <w:tcW w:w="1250" w:type="dxa"/>
            <w:vAlign w:val="center"/>
          </w:tcPr>
          <w:p w:rsidR="004957AA" w:rsidRDefault="00EF5A3D">
            <w:pPr>
              <w:jc w:val="center"/>
            </w:pPr>
            <w:r>
              <w:rPr>
                <w:color w:val="000000"/>
                <w:sz w:val="24"/>
              </w:rPr>
              <w:t>0.07%</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注：本基金封闭期内的业绩比较基准为两年期银行定期存款税后收益率</w:t>
      </w:r>
      <w:r w:rsidRPr="008A1551">
        <w:rPr>
          <w:kern w:val="0"/>
          <w:sz w:val="24"/>
        </w:rPr>
        <w:t>+1.25%</w:t>
      </w:r>
      <w:r w:rsidRPr="008A1551">
        <w:rPr>
          <w:kern w:val="0"/>
          <w:sz w:val="24"/>
        </w:rPr>
        <w:t>，开放期内业绩比较基准：中</w:t>
      </w:r>
      <w:proofErr w:type="gramStart"/>
      <w:r w:rsidRPr="008A1551">
        <w:rPr>
          <w:kern w:val="0"/>
          <w:sz w:val="24"/>
        </w:rPr>
        <w:t>债综合</w:t>
      </w:r>
      <w:proofErr w:type="gramEnd"/>
      <w:r w:rsidRPr="008A1551">
        <w:rPr>
          <w:kern w:val="0"/>
          <w:sz w:val="24"/>
        </w:rPr>
        <w:t>全价指数。</w:t>
      </w:r>
    </w:p>
    <w:p w:rsidR="001548F9" w:rsidRPr="008A1551" w:rsidRDefault="001548F9" w:rsidP="009E1EA4">
      <w:pPr>
        <w:pStyle w:val="21"/>
        <w:adjustRightInd w:val="0"/>
        <w:snapToGrid w:val="0"/>
        <w:spacing w:before="29" w:line="288" w:lineRule="auto"/>
        <w:ind w:firstLineChars="0" w:firstLine="0"/>
        <w:rPr>
          <w:rFonts w:ascii="Times New Roman" w:hAnsi="Times New Roman"/>
          <w:color w:val="auto"/>
        </w:rPr>
      </w:pPr>
    </w:p>
    <w:p w:rsidR="001548F9" w:rsidRPr="008A1551" w:rsidRDefault="001548F9" w:rsidP="009E1EA4">
      <w:pPr>
        <w:spacing w:before="29" w:line="288" w:lineRule="auto"/>
        <w:rPr>
          <w:b/>
          <w:kern w:val="0"/>
          <w:sz w:val="24"/>
        </w:rPr>
      </w:pPr>
      <w:r w:rsidRPr="008A1551">
        <w:rPr>
          <w:b/>
          <w:kern w:val="0"/>
          <w:sz w:val="24"/>
        </w:rPr>
        <w:t xml:space="preserve">3.2.2 </w:t>
      </w:r>
      <w:r w:rsidR="00D53082" w:rsidRPr="008A1551">
        <w:rPr>
          <w:b/>
          <w:kern w:val="0"/>
          <w:sz w:val="24"/>
        </w:rPr>
        <w:t>自基金合同生效以来</w:t>
      </w:r>
      <w:r w:rsidRPr="008A1551">
        <w:rPr>
          <w:b/>
          <w:kern w:val="0"/>
          <w:sz w:val="24"/>
        </w:rPr>
        <w:t>基金份额累计净值增长率变动及其与同期业绩比较基准收益率变动的比较</w:t>
      </w:r>
    </w:p>
    <w:p w:rsidR="001548F9" w:rsidRPr="008A1551" w:rsidRDefault="001548F9" w:rsidP="009E1EA4">
      <w:pPr>
        <w:spacing w:before="29" w:line="288" w:lineRule="auto"/>
        <w:ind w:firstLine="420"/>
        <w:jc w:val="center"/>
        <w:rPr>
          <w:kern w:val="0"/>
          <w:sz w:val="24"/>
        </w:rPr>
      </w:pPr>
      <w:r w:rsidRPr="008A1551">
        <w:rPr>
          <w:kern w:val="0"/>
          <w:sz w:val="24"/>
        </w:rPr>
        <w:t>交银施罗德丰润收益债券型证券投资基金</w:t>
      </w:r>
    </w:p>
    <w:p w:rsidR="001548F9" w:rsidRPr="008A1551" w:rsidRDefault="00CE3047" w:rsidP="009E1EA4">
      <w:pPr>
        <w:spacing w:before="29" w:line="288" w:lineRule="auto"/>
        <w:ind w:firstLine="420"/>
        <w:jc w:val="center"/>
        <w:rPr>
          <w:kern w:val="0"/>
          <w:sz w:val="24"/>
        </w:rPr>
      </w:pPr>
      <w:r w:rsidRPr="008A1551">
        <w:rPr>
          <w:kern w:val="0"/>
          <w:sz w:val="24"/>
        </w:rPr>
        <w:t>份额累计净值增长率与业绩比较基准收益率</w:t>
      </w:r>
      <w:r w:rsidR="001548F9" w:rsidRPr="008A1551">
        <w:rPr>
          <w:kern w:val="0"/>
          <w:sz w:val="24"/>
        </w:rPr>
        <w:t>历史走势对比图</w:t>
      </w:r>
    </w:p>
    <w:p w:rsidR="001548F9" w:rsidRPr="008A1551" w:rsidRDefault="00777C63" w:rsidP="009E1EA4">
      <w:pPr>
        <w:pStyle w:val="a5"/>
        <w:snapToGrid w:val="0"/>
        <w:spacing w:before="29" w:line="288" w:lineRule="auto"/>
        <w:ind w:firstLine="480"/>
        <w:jc w:val="center"/>
        <w:rPr>
          <w:rFonts w:ascii="Times New Roman" w:hAnsi="Times New Roman"/>
          <w:sz w:val="24"/>
          <w:szCs w:val="24"/>
        </w:rPr>
      </w:pPr>
      <w:r w:rsidRPr="008A1551">
        <w:rPr>
          <w:rFonts w:ascii="Times New Roman" w:hAnsi="Times New Roman"/>
          <w:sz w:val="24"/>
          <w:szCs w:val="24"/>
        </w:rPr>
        <w:t>（</w:t>
      </w:r>
      <w:r w:rsidR="001548F9" w:rsidRPr="008A1551">
        <w:rPr>
          <w:rFonts w:ascii="Times New Roman" w:hAnsi="Times New Roman"/>
          <w:sz w:val="24"/>
          <w:szCs w:val="24"/>
        </w:rPr>
        <w:t>2014</w:t>
      </w:r>
      <w:r w:rsidR="001548F9" w:rsidRPr="008A1551">
        <w:rPr>
          <w:rFonts w:ascii="Times New Roman" w:hAnsi="Times New Roman"/>
          <w:sz w:val="24"/>
          <w:szCs w:val="24"/>
        </w:rPr>
        <w:t>年</w:t>
      </w:r>
      <w:r w:rsidR="001548F9" w:rsidRPr="008A1551">
        <w:rPr>
          <w:rFonts w:ascii="Times New Roman" w:hAnsi="Times New Roman"/>
          <w:sz w:val="24"/>
          <w:szCs w:val="24"/>
        </w:rPr>
        <w:t>12</w:t>
      </w:r>
      <w:r w:rsidR="001548F9" w:rsidRPr="008A1551">
        <w:rPr>
          <w:rFonts w:ascii="Times New Roman" w:hAnsi="Times New Roman"/>
          <w:sz w:val="24"/>
          <w:szCs w:val="24"/>
        </w:rPr>
        <w:t>月</w:t>
      </w:r>
      <w:r w:rsidR="001548F9" w:rsidRPr="008A1551">
        <w:rPr>
          <w:rFonts w:ascii="Times New Roman" w:hAnsi="Times New Roman"/>
          <w:sz w:val="24"/>
          <w:szCs w:val="24"/>
        </w:rPr>
        <w:t>15</w:t>
      </w:r>
      <w:r w:rsidR="001548F9" w:rsidRPr="008A1551">
        <w:rPr>
          <w:rFonts w:ascii="Times New Roman" w:hAnsi="Times New Roman"/>
          <w:sz w:val="24"/>
          <w:szCs w:val="24"/>
        </w:rPr>
        <w:t>日至</w:t>
      </w:r>
      <w:r w:rsidRPr="008A1551">
        <w:rPr>
          <w:rFonts w:ascii="Times New Roman" w:hAnsi="Times New Roman"/>
          <w:sz w:val="24"/>
          <w:szCs w:val="24"/>
        </w:rPr>
        <w:t>2019</w:t>
      </w:r>
      <w:r w:rsidRPr="008A1551">
        <w:rPr>
          <w:rFonts w:ascii="Times New Roman" w:hAnsi="Times New Roman"/>
          <w:sz w:val="24"/>
          <w:szCs w:val="24"/>
        </w:rPr>
        <w:t>年</w:t>
      </w:r>
      <w:r w:rsidRPr="008A1551">
        <w:rPr>
          <w:rFonts w:ascii="Times New Roman" w:hAnsi="Times New Roman"/>
          <w:sz w:val="24"/>
          <w:szCs w:val="24"/>
        </w:rPr>
        <w:t>6</w:t>
      </w:r>
      <w:r w:rsidRPr="008A1551">
        <w:rPr>
          <w:rFonts w:ascii="Times New Roman" w:hAnsi="Times New Roman"/>
          <w:sz w:val="24"/>
          <w:szCs w:val="24"/>
        </w:rPr>
        <w:t>月</w:t>
      </w:r>
      <w:r w:rsidRPr="008A1551">
        <w:rPr>
          <w:rFonts w:ascii="Times New Roman" w:hAnsi="Times New Roman"/>
          <w:sz w:val="24"/>
          <w:szCs w:val="24"/>
        </w:rPr>
        <w:t>30</w:t>
      </w:r>
      <w:r w:rsidRPr="008A1551">
        <w:rPr>
          <w:rFonts w:ascii="Times New Roman" w:hAnsi="Times New Roman"/>
          <w:sz w:val="24"/>
          <w:szCs w:val="24"/>
        </w:rPr>
        <w:t>日）</w:t>
      </w:r>
    </w:p>
    <w:p w:rsidR="002C42E4" w:rsidRPr="008A1551" w:rsidRDefault="002C42E4" w:rsidP="009E1EA4">
      <w:pPr>
        <w:pStyle w:val="21"/>
        <w:spacing w:before="29" w:line="288" w:lineRule="auto"/>
        <w:ind w:firstLineChars="0" w:firstLine="0"/>
        <w:rPr>
          <w:rFonts w:ascii="Times New Roman" w:hAnsi="Times New Roman"/>
        </w:rPr>
      </w:pPr>
      <w:r w:rsidRPr="008A1551">
        <w:rPr>
          <w:rFonts w:ascii="Times New Roman" w:hAnsi="Times New Roman"/>
          <w:color w:val="auto"/>
        </w:rPr>
        <w:t>交银丰润收益债券</w:t>
      </w:r>
      <w:r w:rsidRPr="008A1551">
        <w:rPr>
          <w:rFonts w:ascii="Times New Roman" w:hAnsi="Times New Roman"/>
          <w:color w:val="auto"/>
        </w:rPr>
        <w:t>A</w:t>
      </w:r>
    </w:p>
    <w:p w:rsidR="001548F9"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Pr="008A1551" w:rsidRDefault="002C42E4" w:rsidP="009E1EA4">
      <w:pPr>
        <w:tabs>
          <w:tab w:val="left" w:pos="426"/>
        </w:tabs>
        <w:spacing w:before="29" w:line="288" w:lineRule="auto"/>
        <w:jc w:val="left"/>
        <w:rPr>
          <w:kern w:val="0"/>
          <w:sz w:val="24"/>
        </w:rPr>
      </w:pPr>
      <w:r w:rsidRPr="008A1551">
        <w:rPr>
          <w:kern w:val="0"/>
          <w:sz w:val="24"/>
        </w:rPr>
        <w:t>注：本基金建仓期为自基金合同生效日起的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交银丰润收益债券</w:t>
      </w:r>
      <w:r w:rsidRPr="008A1551">
        <w:rPr>
          <w:rFonts w:ascii="Times New Roman" w:hAnsi="Times New Roman"/>
          <w:color w:val="auto"/>
        </w:rPr>
        <w:t>C</w:t>
      </w:r>
    </w:p>
    <w:p w:rsidR="002C42E4"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8A1551" w:rsidRDefault="001548F9" w:rsidP="009E1EA4">
      <w:pPr>
        <w:tabs>
          <w:tab w:val="left" w:pos="426"/>
        </w:tabs>
        <w:spacing w:before="29" w:line="288" w:lineRule="auto"/>
        <w:jc w:val="left"/>
        <w:rPr>
          <w:kern w:val="0"/>
          <w:sz w:val="24"/>
        </w:rPr>
      </w:pPr>
      <w:r w:rsidRPr="008A1551">
        <w:rPr>
          <w:kern w:val="0"/>
          <w:sz w:val="24"/>
        </w:rPr>
        <w:t>注：本基金建仓期为自基金合同生效日起的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tabs>
          <w:tab w:val="left" w:pos="426"/>
        </w:tabs>
        <w:spacing w:before="29" w:line="288" w:lineRule="auto"/>
        <w:jc w:val="left"/>
        <w:rPr>
          <w:kern w:val="0"/>
          <w:sz w:val="24"/>
        </w:rPr>
      </w:pPr>
    </w:p>
    <w:p w:rsidR="001548F9" w:rsidRPr="008A1551" w:rsidRDefault="001548F9"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8A1551">
        <w:rPr>
          <w:b/>
          <w:bCs/>
          <w:szCs w:val="24"/>
          <w:lang w:val="en-US"/>
        </w:rPr>
        <w:t xml:space="preserve">4  </w:t>
      </w:r>
      <w:r w:rsidRPr="008A1551">
        <w:rPr>
          <w:b/>
          <w:bCs/>
          <w:szCs w:val="24"/>
          <w:lang w:val="en-US"/>
        </w:rPr>
        <w:t>管理人报告</w:t>
      </w:r>
      <w:bookmarkEnd w:id="18"/>
      <w:bookmarkEnd w:id="19"/>
    </w:p>
    <w:p w:rsidR="001548F9" w:rsidRPr="008A1551" w:rsidRDefault="001548F9" w:rsidP="009E1EA4">
      <w:pPr>
        <w:pStyle w:val="20"/>
        <w:spacing w:before="29" w:after="0" w:line="288" w:lineRule="auto"/>
        <w:rPr>
          <w:rFonts w:ascii="Times New Roman" w:hAnsi="Times New Roman"/>
          <w:kern w:val="0"/>
          <w:szCs w:val="24"/>
        </w:rPr>
      </w:pPr>
      <w:bookmarkStart w:id="20" w:name="_Toc331410079"/>
      <w:r w:rsidRPr="008A1551">
        <w:rPr>
          <w:rFonts w:ascii="Times New Roman" w:hAnsi="Times New Roman"/>
          <w:kern w:val="0"/>
          <w:szCs w:val="24"/>
        </w:rPr>
        <w:t xml:space="preserve">4.1 </w:t>
      </w:r>
      <w:r w:rsidRPr="008A1551">
        <w:rPr>
          <w:rFonts w:ascii="Times New Roman" w:hAnsi="Times New Roman"/>
          <w:kern w:val="0"/>
          <w:szCs w:val="24"/>
        </w:rPr>
        <w:t>基金管理人及基金经理情况</w:t>
      </w:r>
      <w:bookmarkEnd w:id="20"/>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4.1.1 </w:t>
      </w:r>
      <w:r w:rsidRPr="008A1551">
        <w:rPr>
          <w:b/>
          <w:color w:val="000000"/>
          <w:kern w:val="0"/>
          <w:sz w:val="24"/>
        </w:rPr>
        <w:t>基金管理人及其管理基金的经验</w:t>
      </w:r>
    </w:p>
    <w:p w:rsidR="004957AA" w:rsidRDefault="00EF5A3D">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8A1551" w:rsidRDefault="001548F9" w:rsidP="009E1EA4">
      <w:pPr>
        <w:spacing w:before="29" w:line="288" w:lineRule="auto"/>
        <w:ind w:firstLineChars="200" w:firstLine="480"/>
        <w:rPr>
          <w:color w:val="000000"/>
          <w:sz w:val="24"/>
        </w:rPr>
      </w:pPr>
      <w:r w:rsidRPr="008A1551">
        <w:rPr>
          <w:color w:val="000000"/>
          <w:sz w:val="24"/>
        </w:rPr>
        <w:t>截至报告期末，公司管理了包括货币型、债券型、普通混合型和股票型在内的</w:t>
      </w:r>
      <w:r w:rsidRPr="008A1551">
        <w:rPr>
          <w:color w:val="000000"/>
          <w:sz w:val="24"/>
        </w:rPr>
        <w:t>80</w:t>
      </w:r>
      <w:r w:rsidRPr="008A1551">
        <w:rPr>
          <w:color w:val="000000"/>
          <w:sz w:val="24"/>
        </w:rPr>
        <w:t>只基金，其中股票型涵盖普通指数型、交易型开放式（</w:t>
      </w:r>
      <w:r w:rsidRPr="008A1551">
        <w:rPr>
          <w:color w:val="000000"/>
          <w:sz w:val="24"/>
        </w:rPr>
        <w:t>ETF</w:t>
      </w:r>
      <w:r w:rsidRPr="008A1551">
        <w:rPr>
          <w:color w:val="000000"/>
          <w:sz w:val="24"/>
        </w:rPr>
        <w:t>）、</w:t>
      </w:r>
      <w:r w:rsidRPr="008A1551">
        <w:rPr>
          <w:color w:val="000000"/>
          <w:sz w:val="24"/>
        </w:rPr>
        <w:t>QDII</w:t>
      </w:r>
      <w:r w:rsidRPr="008A1551">
        <w:rPr>
          <w:color w:val="000000"/>
          <w:sz w:val="24"/>
        </w:rPr>
        <w:t>等不同类型基金。</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4.1.2 </w:t>
      </w:r>
      <w:r w:rsidRPr="008A155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8A1551" w:rsidTr="00402CC3">
        <w:tc>
          <w:tcPr>
            <w:tcW w:w="109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150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职务</w:t>
            </w:r>
          </w:p>
        </w:tc>
        <w:tc>
          <w:tcPr>
            <w:tcW w:w="2450" w:type="dxa"/>
            <w:gridSpan w:val="2"/>
            <w:vAlign w:val="center"/>
          </w:tcPr>
          <w:p w:rsidR="001548F9" w:rsidRPr="008A1551" w:rsidRDefault="001548F9" w:rsidP="009E1EA4">
            <w:pPr>
              <w:spacing w:before="29" w:line="288" w:lineRule="auto"/>
              <w:jc w:val="center"/>
              <w:rPr>
                <w:color w:val="000000"/>
                <w:sz w:val="24"/>
              </w:rPr>
            </w:pPr>
            <w:proofErr w:type="gramStart"/>
            <w:r w:rsidRPr="008A1551">
              <w:rPr>
                <w:color w:val="000000"/>
                <w:sz w:val="24"/>
              </w:rPr>
              <w:t>任本基金</w:t>
            </w:r>
            <w:proofErr w:type="gramEnd"/>
            <w:r w:rsidRPr="008A1551">
              <w:rPr>
                <w:color w:val="000000"/>
                <w:sz w:val="24"/>
              </w:rPr>
              <w:t>的基金经理（助理）期限</w:t>
            </w:r>
          </w:p>
        </w:tc>
        <w:tc>
          <w:tcPr>
            <w:tcW w:w="1236"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证券从业年限</w:t>
            </w:r>
          </w:p>
        </w:tc>
        <w:tc>
          <w:tcPr>
            <w:tcW w:w="3264"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说明</w:t>
            </w:r>
          </w:p>
        </w:tc>
      </w:tr>
      <w:tr w:rsidR="001548F9" w:rsidRPr="008A1551" w:rsidTr="00402CC3">
        <w:tc>
          <w:tcPr>
            <w:tcW w:w="1090" w:type="dxa"/>
            <w:vMerge/>
            <w:vAlign w:val="center"/>
          </w:tcPr>
          <w:p w:rsidR="001548F9" w:rsidRPr="008A1551" w:rsidRDefault="001548F9" w:rsidP="009E1EA4">
            <w:pPr>
              <w:widowControl/>
              <w:spacing w:before="29" w:line="288" w:lineRule="auto"/>
              <w:jc w:val="left"/>
              <w:rPr>
                <w:color w:val="000000"/>
                <w:sz w:val="24"/>
              </w:rPr>
            </w:pPr>
          </w:p>
        </w:tc>
        <w:tc>
          <w:tcPr>
            <w:tcW w:w="1500" w:type="dxa"/>
            <w:vMerge/>
            <w:vAlign w:val="center"/>
          </w:tcPr>
          <w:p w:rsidR="001548F9" w:rsidRPr="008A1551" w:rsidRDefault="001548F9" w:rsidP="009E1EA4">
            <w:pPr>
              <w:widowControl/>
              <w:spacing w:before="29" w:line="288" w:lineRule="auto"/>
              <w:jc w:val="left"/>
              <w:rPr>
                <w:color w:val="000000"/>
                <w:sz w:val="24"/>
              </w:rPr>
            </w:pPr>
          </w:p>
        </w:tc>
        <w:tc>
          <w:tcPr>
            <w:tcW w:w="1190" w:type="dxa"/>
            <w:vAlign w:val="center"/>
          </w:tcPr>
          <w:p w:rsidR="001548F9" w:rsidRPr="008A1551" w:rsidRDefault="001548F9" w:rsidP="009E1EA4">
            <w:pPr>
              <w:spacing w:before="29" w:line="288" w:lineRule="auto"/>
              <w:jc w:val="center"/>
              <w:rPr>
                <w:color w:val="000000"/>
                <w:sz w:val="24"/>
              </w:rPr>
            </w:pPr>
            <w:r w:rsidRPr="008A1551">
              <w:rPr>
                <w:color w:val="000000"/>
                <w:sz w:val="24"/>
              </w:rPr>
              <w:t>任职日期</w:t>
            </w:r>
          </w:p>
        </w:tc>
        <w:tc>
          <w:tcPr>
            <w:tcW w:w="1260" w:type="dxa"/>
            <w:vAlign w:val="center"/>
          </w:tcPr>
          <w:p w:rsidR="001548F9" w:rsidRPr="008A1551" w:rsidRDefault="001548F9" w:rsidP="009E1EA4">
            <w:pPr>
              <w:spacing w:before="29" w:line="288" w:lineRule="auto"/>
              <w:jc w:val="center"/>
              <w:rPr>
                <w:color w:val="000000"/>
                <w:sz w:val="24"/>
              </w:rPr>
            </w:pPr>
            <w:r w:rsidRPr="008A1551">
              <w:rPr>
                <w:color w:val="000000"/>
                <w:sz w:val="24"/>
              </w:rPr>
              <w:t>离任日期</w:t>
            </w:r>
          </w:p>
        </w:tc>
        <w:tc>
          <w:tcPr>
            <w:tcW w:w="1236" w:type="dxa"/>
            <w:vMerge/>
            <w:vAlign w:val="center"/>
          </w:tcPr>
          <w:p w:rsidR="001548F9" w:rsidRPr="008A1551" w:rsidRDefault="001548F9" w:rsidP="009E1EA4">
            <w:pPr>
              <w:widowControl/>
              <w:spacing w:before="29" w:line="288" w:lineRule="auto"/>
              <w:jc w:val="left"/>
              <w:rPr>
                <w:color w:val="000000"/>
                <w:sz w:val="24"/>
              </w:rPr>
            </w:pPr>
          </w:p>
        </w:tc>
        <w:tc>
          <w:tcPr>
            <w:tcW w:w="3264" w:type="dxa"/>
            <w:vMerge/>
            <w:vAlign w:val="center"/>
          </w:tcPr>
          <w:p w:rsidR="001548F9" w:rsidRPr="008A1551" w:rsidRDefault="001548F9" w:rsidP="009E1EA4">
            <w:pPr>
              <w:widowControl/>
              <w:spacing w:before="29" w:line="288" w:lineRule="auto"/>
              <w:jc w:val="left"/>
              <w:rPr>
                <w:color w:val="000000"/>
                <w:sz w:val="24"/>
              </w:rPr>
            </w:pPr>
          </w:p>
        </w:tc>
      </w:tr>
      <w:tr w:rsidR="004957AA">
        <w:tc>
          <w:tcPr>
            <w:tcW w:w="1033" w:type="dxa"/>
            <w:vAlign w:val="center"/>
          </w:tcPr>
          <w:p w:rsidR="004957AA" w:rsidRDefault="00EF5A3D">
            <w:pPr>
              <w:jc w:val="center"/>
            </w:pPr>
            <w:r>
              <w:rPr>
                <w:color w:val="000000"/>
                <w:sz w:val="24"/>
              </w:rPr>
              <w:t>连端清</w:t>
            </w:r>
          </w:p>
        </w:tc>
        <w:tc>
          <w:tcPr>
            <w:tcW w:w="1416" w:type="dxa"/>
            <w:vAlign w:val="center"/>
          </w:tcPr>
          <w:p w:rsidR="004957AA" w:rsidRDefault="00EF5A3D">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w:t>
            </w:r>
            <w:proofErr w:type="gramStart"/>
            <w:r>
              <w:rPr>
                <w:color w:val="000000"/>
                <w:sz w:val="24"/>
              </w:rPr>
              <w:t>银裕盈纯债</w:t>
            </w:r>
            <w:proofErr w:type="gramEnd"/>
            <w:r>
              <w:rPr>
                <w:color w:val="000000"/>
                <w:sz w:val="24"/>
              </w:rPr>
              <w:t>债券、交</w:t>
            </w:r>
            <w:proofErr w:type="gramStart"/>
            <w:r>
              <w:rPr>
                <w:color w:val="000000"/>
                <w:sz w:val="24"/>
              </w:rPr>
              <w:t>银裕利纯债</w:t>
            </w:r>
            <w:proofErr w:type="gramEnd"/>
            <w:r>
              <w:rPr>
                <w:color w:val="000000"/>
                <w:sz w:val="24"/>
              </w:rPr>
              <w:t>债券、交</w:t>
            </w:r>
            <w:proofErr w:type="gramStart"/>
            <w:r>
              <w:rPr>
                <w:color w:val="000000"/>
                <w:sz w:val="24"/>
              </w:rPr>
              <w:t>银裕隆纯债</w:t>
            </w:r>
            <w:proofErr w:type="gramEnd"/>
            <w:r>
              <w:rPr>
                <w:color w:val="000000"/>
                <w:sz w:val="24"/>
              </w:rPr>
              <w:t>债券、交银天</w:t>
            </w:r>
            <w:proofErr w:type="gramStart"/>
            <w:r>
              <w:rPr>
                <w:color w:val="000000"/>
                <w:sz w:val="24"/>
              </w:rPr>
              <w:t>鑫</w:t>
            </w:r>
            <w:proofErr w:type="gramEnd"/>
            <w:r>
              <w:rPr>
                <w:color w:val="000000"/>
                <w:sz w:val="24"/>
              </w:rPr>
              <w:t>宝货币、交银天益宝货币、交</w:t>
            </w:r>
            <w:proofErr w:type="gramStart"/>
            <w:r>
              <w:rPr>
                <w:color w:val="000000"/>
                <w:sz w:val="24"/>
              </w:rPr>
              <w:t>银境尚</w:t>
            </w:r>
            <w:proofErr w:type="gramEnd"/>
            <w:r>
              <w:rPr>
                <w:color w:val="000000"/>
                <w:sz w:val="24"/>
              </w:rPr>
              <w:t>收益债券、交银天运</w:t>
            </w:r>
            <w:proofErr w:type="gramStart"/>
            <w:r>
              <w:rPr>
                <w:color w:val="000000"/>
                <w:sz w:val="24"/>
              </w:rPr>
              <w:t>宝货币</w:t>
            </w:r>
            <w:proofErr w:type="gramEnd"/>
            <w:r>
              <w:rPr>
                <w:color w:val="000000"/>
                <w:sz w:val="24"/>
              </w:rPr>
              <w:t>的基金经理</w:t>
            </w:r>
          </w:p>
        </w:tc>
        <w:tc>
          <w:tcPr>
            <w:tcW w:w="1126" w:type="dxa"/>
            <w:vAlign w:val="center"/>
          </w:tcPr>
          <w:p w:rsidR="004957AA" w:rsidRDefault="00EF5A3D">
            <w:pPr>
              <w:jc w:val="center"/>
            </w:pPr>
            <w:r>
              <w:rPr>
                <w:color w:val="000000"/>
                <w:sz w:val="24"/>
              </w:rPr>
              <w:t>2015-08-04</w:t>
            </w:r>
          </w:p>
        </w:tc>
        <w:tc>
          <w:tcPr>
            <w:tcW w:w="1192" w:type="dxa"/>
            <w:vAlign w:val="center"/>
          </w:tcPr>
          <w:p w:rsidR="004957AA" w:rsidRDefault="00EF5A3D">
            <w:pPr>
              <w:jc w:val="center"/>
            </w:pPr>
            <w:r>
              <w:rPr>
                <w:color w:val="000000"/>
                <w:sz w:val="24"/>
              </w:rPr>
              <w:t>-</w:t>
            </w:r>
          </w:p>
        </w:tc>
        <w:tc>
          <w:tcPr>
            <w:tcW w:w="1169" w:type="dxa"/>
            <w:vAlign w:val="center"/>
          </w:tcPr>
          <w:p w:rsidR="004957AA" w:rsidRDefault="00EF5A3D">
            <w:pPr>
              <w:jc w:val="center"/>
            </w:pPr>
            <w:r>
              <w:rPr>
                <w:color w:val="000000"/>
                <w:sz w:val="24"/>
              </w:rPr>
              <w:t>6</w:t>
            </w:r>
            <w:r>
              <w:rPr>
                <w:color w:val="000000"/>
                <w:sz w:val="24"/>
              </w:rPr>
              <w:t>年</w:t>
            </w:r>
          </w:p>
        </w:tc>
        <w:tc>
          <w:tcPr>
            <w:tcW w:w="3062" w:type="dxa"/>
            <w:vAlign w:val="center"/>
          </w:tcPr>
          <w:p w:rsidR="004957AA" w:rsidRDefault="00EF5A3D">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w:t>
            </w:r>
            <w:proofErr w:type="gramStart"/>
            <w:r>
              <w:rPr>
                <w:color w:val="000000"/>
                <w:sz w:val="24"/>
              </w:rPr>
              <w:t>兴纯债</w:t>
            </w:r>
            <w:proofErr w:type="gramEnd"/>
            <w:r>
              <w:rPr>
                <w:color w:val="000000"/>
                <w:sz w:val="24"/>
              </w:rPr>
              <w:t>债券型证券投资基金的基金经理。</w:t>
            </w:r>
          </w:p>
        </w:tc>
      </w:tr>
      <w:tr w:rsidR="004957AA">
        <w:tc>
          <w:tcPr>
            <w:tcW w:w="1033" w:type="dxa"/>
            <w:vAlign w:val="center"/>
          </w:tcPr>
          <w:p w:rsidR="004957AA" w:rsidRDefault="00EF5A3D">
            <w:pPr>
              <w:jc w:val="center"/>
            </w:pPr>
            <w:r>
              <w:rPr>
                <w:color w:val="000000"/>
                <w:sz w:val="24"/>
              </w:rPr>
              <w:t>魏玉敏</w:t>
            </w:r>
          </w:p>
        </w:tc>
        <w:tc>
          <w:tcPr>
            <w:tcW w:w="1416" w:type="dxa"/>
            <w:vAlign w:val="center"/>
          </w:tcPr>
          <w:p w:rsidR="004957AA" w:rsidRDefault="00EF5A3D">
            <w:pPr>
              <w:jc w:val="center"/>
            </w:pPr>
            <w:r>
              <w:rPr>
                <w:color w:val="000000"/>
                <w:sz w:val="24"/>
              </w:rPr>
              <w:t>交银增利债券、交</w:t>
            </w:r>
            <w:proofErr w:type="gramStart"/>
            <w:r>
              <w:rPr>
                <w:color w:val="000000"/>
                <w:sz w:val="24"/>
              </w:rPr>
              <w:t>银纯债</w:t>
            </w:r>
            <w:proofErr w:type="gramEnd"/>
            <w:r>
              <w:rPr>
                <w:color w:val="000000"/>
                <w:sz w:val="24"/>
              </w:rPr>
              <w:t>债券发起、交银丰润收益债券、交银增利增强债券、交银丰晟收益债券、交银</w:t>
            </w:r>
            <w:proofErr w:type="gramStart"/>
            <w:r>
              <w:rPr>
                <w:color w:val="000000"/>
                <w:sz w:val="24"/>
              </w:rPr>
              <w:t>裕如纯债债券</w:t>
            </w:r>
            <w:proofErr w:type="gramEnd"/>
            <w:r>
              <w:rPr>
                <w:color w:val="000000"/>
                <w:sz w:val="24"/>
              </w:rPr>
              <w:t>、交银中债</w:t>
            </w:r>
            <w:r>
              <w:rPr>
                <w:color w:val="000000"/>
                <w:sz w:val="24"/>
              </w:rPr>
              <w:t>1-3</w:t>
            </w:r>
            <w:r>
              <w:rPr>
                <w:color w:val="000000"/>
                <w:sz w:val="24"/>
              </w:rPr>
              <w:t>年农发债指数的基金经理</w:t>
            </w:r>
          </w:p>
        </w:tc>
        <w:tc>
          <w:tcPr>
            <w:tcW w:w="1126" w:type="dxa"/>
            <w:vAlign w:val="center"/>
          </w:tcPr>
          <w:p w:rsidR="004957AA" w:rsidRDefault="00EF5A3D">
            <w:pPr>
              <w:jc w:val="center"/>
            </w:pPr>
            <w:r>
              <w:rPr>
                <w:color w:val="000000"/>
                <w:sz w:val="24"/>
              </w:rPr>
              <w:t>2018-11-02</w:t>
            </w:r>
          </w:p>
        </w:tc>
        <w:tc>
          <w:tcPr>
            <w:tcW w:w="1192" w:type="dxa"/>
            <w:vAlign w:val="center"/>
          </w:tcPr>
          <w:p w:rsidR="004957AA" w:rsidRDefault="00EF5A3D">
            <w:pPr>
              <w:jc w:val="center"/>
            </w:pPr>
            <w:r>
              <w:rPr>
                <w:color w:val="000000"/>
                <w:sz w:val="24"/>
              </w:rPr>
              <w:t>-</w:t>
            </w:r>
          </w:p>
        </w:tc>
        <w:tc>
          <w:tcPr>
            <w:tcW w:w="1169" w:type="dxa"/>
            <w:vAlign w:val="center"/>
          </w:tcPr>
          <w:p w:rsidR="004957AA" w:rsidRDefault="00EF5A3D">
            <w:pPr>
              <w:jc w:val="center"/>
            </w:pPr>
            <w:r>
              <w:rPr>
                <w:color w:val="000000"/>
                <w:sz w:val="24"/>
              </w:rPr>
              <w:t>7</w:t>
            </w:r>
            <w:r>
              <w:rPr>
                <w:color w:val="000000"/>
                <w:sz w:val="24"/>
              </w:rPr>
              <w:t>年</w:t>
            </w:r>
          </w:p>
        </w:tc>
        <w:tc>
          <w:tcPr>
            <w:tcW w:w="3062" w:type="dxa"/>
            <w:vAlign w:val="center"/>
          </w:tcPr>
          <w:p w:rsidR="004957AA" w:rsidRDefault="00EF5A3D">
            <w:r>
              <w:rPr>
                <w:color w:val="000000"/>
                <w:sz w:val="24"/>
              </w:rPr>
              <w:t>魏玉敏女士，厦门大学金融学硕士、学士。</w:t>
            </w:r>
            <w:r>
              <w:rPr>
                <w:color w:val="000000"/>
                <w:sz w:val="24"/>
              </w:rPr>
              <w:t>2012</w:t>
            </w:r>
            <w:r>
              <w:rPr>
                <w:color w:val="000000"/>
                <w:sz w:val="24"/>
              </w:rPr>
              <w:t>年至</w:t>
            </w:r>
            <w:r>
              <w:rPr>
                <w:color w:val="000000"/>
                <w:sz w:val="24"/>
              </w:rPr>
              <w:t>2013</w:t>
            </w:r>
            <w:r>
              <w:rPr>
                <w:color w:val="000000"/>
                <w:sz w:val="24"/>
              </w:rPr>
              <w:t>年任招商证券固定收益研究员，</w:t>
            </w:r>
            <w:r>
              <w:rPr>
                <w:color w:val="000000"/>
                <w:sz w:val="24"/>
              </w:rPr>
              <w:t>2013</w:t>
            </w:r>
            <w:r>
              <w:rPr>
                <w:color w:val="000000"/>
                <w:sz w:val="24"/>
              </w:rPr>
              <w:t>年至</w:t>
            </w:r>
            <w:r>
              <w:rPr>
                <w:color w:val="000000"/>
                <w:sz w:val="24"/>
              </w:rPr>
              <w:t>2016</w:t>
            </w:r>
            <w:r>
              <w:rPr>
                <w:color w:val="000000"/>
                <w:sz w:val="24"/>
              </w:rPr>
              <w:t>年任国信证券固定收益高级分析师。</w:t>
            </w:r>
            <w:r>
              <w:rPr>
                <w:color w:val="000000"/>
                <w:sz w:val="24"/>
              </w:rPr>
              <w:t>2016</w:t>
            </w:r>
            <w:r>
              <w:rPr>
                <w:color w:val="000000"/>
                <w:sz w:val="24"/>
              </w:rPr>
              <w:t>年加入交银施罗德基金管理有限公司，历任基金经理助理。</w:t>
            </w:r>
          </w:p>
        </w:tc>
      </w:tr>
    </w:tbl>
    <w:p w:rsidR="004957AA" w:rsidRDefault="00EF5A3D">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4957AA" w:rsidRDefault="00EF5A3D">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、基金经理（或基金经理小组）期后变动（如有）敬请关注基金管理人发布的相关公告。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21" w:name="_Toc331410080"/>
      <w:bookmarkStart w:id="22" w:name="_Toc225498256"/>
      <w:r w:rsidRPr="008A1551">
        <w:rPr>
          <w:rFonts w:ascii="Times New Roman" w:hAnsi="Times New Roman"/>
          <w:kern w:val="0"/>
          <w:szCs w:val="24"/>
        </w:rPr>
        <w:t xml:space="preserve">4.2 </w:t>
      </w:r>
      <w:r w:rsidRPr="008A1551">
        <w:rPr>
          <w:rFonts w:ascii="Times New Roman" w:hAnsi="Times New Roman"/>
          <w:kern w:val="0"/>
          <w:szCs w:val="24"/>
        </w:rPr>
        <w:t>管理人对报告期内本基金运作遵规守信情况的说明</w:t>
      </w:r>
      <w:bookmarkEnd w:id="21"/>
      <w:bookmarkEnd w:id="22"/>
    </w:p>
    <w:p w:rsidR="001548F9" w:rsidRPr="008A1551" w:rsidRDefault="001548F9" w:rsidP="009E1EA4">
      <w:pPr>
        <w:spacing w:before="29" w:line="288" w:lineRule="auto"/>
        <w:ind w:firstLineChars="200" w:firstLine="480"/>
        <w:rPr>
          <w:color w:val="000000"/>
          <w:sz w:val="24"/>
        </w:rPr>
      </w:pPr>
      <w:r w:rsidRPr="008A1551">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3" w:name="_Toc331410081"/>
      <w:bookmarkStart w:id="24" w:name="_Toc225498257"/>
      <w:r w:rsidRPr="008A1551">
        <w:rPr>
          <w:rFonts w:ascii="Times New Roman" w:hAnsi="Times New Roman"/>
          <w:kern w:val="0"/>
          <w:szCs w:val="24"/>
        </w:rPr>
        <w:t xml:space="preserve">4.3 </w:t>
      </w:r>
      <w:r w:rsidRPr="008A1551">
        <w:rPr>
          <w:rFonts w:ascii="Times New Roman" w:hAnsi="Times New Roman"/>
          <w:kern w:val="0"/>
          <w:szCs w:val="24"/>
        </w:rPr>
        <w:t>管理人对报告期内公平交易情况的专项说明</w:t>
      </w:r>
      <w:bookmarkEnd w:id="23"/>
      <w:bookmarkEnd w:id="24"/>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4.3.1 </w:t>
      </w:r>
      <w:r w:rsidRPr="008A1551">
        <w:rPr>
          <w:b/>
          <w:color w:val="000000"/>
          <w:kern w:val="0"/>
          <w:sz w:val="24"/>
        </w:rPr>
        <w:t>公平交易制度的执行情况</w:t>
      </w:r>
    </w:p>
    <w:p w:rsidR="004957AA" w:rsidRDefault="00EF5A3D">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957AA" w:rsidRDefault="00EF5A3D">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957AA" w:rsidRDefault="00EF5A3D">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报告期内本公司严格执行公平交易制度，公平对待旗下各投资组合，未发现任何违反公平交易的行为。</w:t>
      </w:r>
    </w:p>
    <w:p w:rsidR="001548F9" w:rsidRPr="008A1551" w:rsidRDefault="001548F9" w:rsidP="009E1EA4">
      <w:pPr>
        <w:spacing w:before="29" w:line="288" w:lineRule="auto"/>
        <w:jc w:val="left"/>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4.3.2 </w:t>
      </w:r>
      <w:r w:rsidRPr="008A1551">
        <w:rPr>
          <w:b/>
          <w:color w:val="000000"/>
          <w:kern w:val="0"/>
          <w:sz w:val="24"/>
        </w:rPr>
        <w:t>异常交易行为的专项说明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本基金于本报告期内未发现异常交易行为。本报告期内，本公司管理的所有投资组合参与的交易所公开竞价同日反向交易成交较少的单边交易量超过该证券当日总成交量</w:t>
      </w:r>
      <w:r w:rsidRPr="008A1551">
        <w:rPr>
          <w:color w:val="000000"/>
          <w:sz w:val="24"/>
        </w:rPr>
        <w:t>5%</w:t>
      </w:r>
      <w:r w:rsidRPr="008A1551">
        <w:rPr>
          <w:color w:val="000000"/>
          <w:sz w:val="24"/>
        </w:rPr>
        <w:t>的情况有</w:t>
      </w:r>
      <w:r w:rsidRPr="008A1551">
        <w:rPr>
          <w:color w:val="000000"/>
          <w:sz w:val="24"/>
        </w:rPr>
        <w:t>1</w:t>
      </w:r>
      <w:r w:rsidRPr="008A1551">
        <w:rPr>
          <w:color w:val="000000"/>
          <w:sz w:val="24"/>
        </w:rPr>
        <w:t>次，是投资</w:t>
      </w:r>
      <w:proofErr w:type="gramStart"/>
      <w:r w:rsidRPr="008A1551">
        <w:rPr>
          <w:color w:val="000000"/>
          <w:sz w:val="24"/>
        </w:rPr>
        <w:t>组合因</w:t>
      </w:r>
      <w:proofErr w:type="gramEnd"/>
      <w:r w:rsidRPr="008A1551">
        <w:rPr>
          <w:color w:val="000000"/>
          <w:sz w:val="24"/>
        </w:rPr>
        <w:t>投资策略需要而发生同日反向交易，未发现不公平交易和利益输送的情况。本基金与本公司管理的其他投资组合在不同时间窗下（如日内、</w:t>
      </w:r>
      <w:r w:rsidRPr="008A1551">
        <w:rPr>
          <w:color w:val="000000"/>
          <w:sz w:val="24"/>
        </w:rPr>
        <w:t>3</w:t>
      </w:r>
      <w:r w:rsidRPr="008A1551">
        <w:rPr>
          <w:color w:val="000000"/>
          <w:sz w:val="24"/>
        </w:rPr>
        <w:t>日内、</w:t>
      </w:r>
      <w:r w:rsidRPr="008A1551">
        <w:rPr>
          <w:color w:val="000000"/>
          <w:sz w:val="24"/>
        </w:rPr>
        <w:t>5</w:t>
      </w:r>
      <w:r w:rsidRPr="008A1551">
        <w:rPr>
          <w:color w:val="000000"/>
          <w:sz w:val="24"/>
        </w:rPr>
        <w:t>日内）同向交易的交易价差未发现异常。</w:t>
      </w:r>
    </w:p>
    <w:p w:rsidR="001548F9" w:rsidRPr="008A1551" w:rsidRDefault="001548F9" w:rsidP="009E1EA4">
      <w:pPr>
        <w:spacing w:before="29" w:line="288" w:lineRule="auto"/>
        <w:ind w:firstLineChars="200" w:firstLine="480"/>
        <w:rPr>
          <w:color w:val="000000"/>
          <w:kern w:val="0"/>
          <w:sz w:val="24"/>
        </w:rPr>
      </w:pPr>
    </w:p>
    <w:p w:rsidR="00C02A8F" w:rsidRPr="008A1551" w:rsidRDefault="001548F9" w:rsidP="009E1EA4">
      <w:pPr>
        <w:pStyle w:val="20"/>
        <w:spacing w:before="29" w:after="0" w:line="288" w:lineRule="auto"/>
        <w:rPr>
          <w:rFonts w:ascii="Times New Roman" w:hAnsi="Times New Roman"/>
          <w:kern w:val="0"/>
          <w:szCs w:val="24"/>
        </w:rPr>
      </w:pPr>
      <w:bookmarkStart w:id="25" w:name="_Toc331410082"/>
      <w:bookmarkStart w:id="26" w:name="_Toc225498258"/>
      <w:r w:rsidRPr="008A1551">
        <w:rPr>
          <w:rFonts w:ascii="Times New Roman" w:hAnsi="Times New Roman"/>
          <w:kern w:val="0"/>
          <w:szCs w:val="24"/>
        </w:rPr>
        <w:t xml:space="preserve">4.4 </w:t>
      </w:r>
      <w:r w:rsidR="00631F70" w:rsidRPr="008A1551">
        <w:rPr>
          <w:rFonts w:ascii="Times New Roman" w:hAnsi="Times New Roman"/>
          <w:kern w:val="0"/>
          <w:szCs w:val="24"/>
        </w:rPr>
        <w:t>管理人对报告期内基金的投资策略和业绩表现</w:t>
      </w:r>
      <w:r w:rsidR="006906D1" w:rsidRPr="008A1551">
        <w:rPr>
          <w:rFonts w:ascii="Times New Roman" w:hAnsi="Times New Roman"/>
          <w:kern w:val="0"/>
          <w:szCs w:val="24"/>
        </w:rPr>
        <w:t>的</w:t>
      </w:r>
      <w:r w:rsidRPr="008A1551">
        <w:rPr>
          <w:rFonts w:ascii="Times New Roman" w:hAnsi="Times New Roman"/>
          <w:kern w:val="0"/>
          <w:szCs w:val="24"/>
        </w:rPr>
        <w:t>说明</w:t>
      </w:r>
      <w:bookmarkEnd w:id="25"/>
      <w:bookmarkEnd w:id="26"/>
    </w:p>
    <w:p w:rsidR="00C02A8F" w:rsidRPr="008A1551" w:rsidRDefault="00C02A8F" w:rsidP="009E1EA4">
      <w:pPr>
        <w:spacing w:before="29" w:line="288" w:lineRule="auto"/>
        <w:rPr>
          <w:b/>
          <w:sz w:val="24"/>
        </w:rPr>
      </w:pPr>
      <w:r w:rsidRPr="008A1551">
        <w:rPr>
          <w:b/>
          <w:sz w:val="24"/>
        </w:rPr>
        <w:t>4.4.1</w:t>
      </w:r>
      <w:r w:rsidRPr="008A1551">
        <w:rPr>
          <w:b/>
          <w:sz w:val="24"/>
        </w:rPr>
        <w:t>报告期内基金投资策略和运作分析</w:t>
      </w:r>
    </w:p>
    <w:p w:rsidR="004957AA" w:rsidRDefault="00EF5A3D">
      <w:pPr>
        <w:spacing w:before="29" w:line="288" w:lineRule="auto"/>
        <w:ind w:firstLineChars="200" w:firstLine="480"/>
        <w:rPr>
          <w:color w:val="000000"/>
          <w:sz w:val="24"/>
        </w:rPr>
      </w:pPr>
      <w:r>
        <w:rPr>
          <w:color w:val="000000"/>
          <w:sz w:val="24"/>
        </w:rPr>
        <w:t>2019</w:t>
      </w:r>
      <w:r>
        <w:rPr>
          <w:color w:val="000000"/>
          <w:sz w:val="24"/>
        </w:rPr>
        <w:t>年上半年宏观经济和债券市场均处于震荡波动中，债券收益率呈现先上后下走势。今年年初以来债券市场的交易逻辑从去年的</w:t>
      </w:r>
      <w:r>
        <w:rPr>
          <w:color w:val="000000"/>
          <w:sz w:val="24"/>
        </w:rPr>
        <w:t>“</w:t>
      </w:r>
      <w:r>
        <w:rPr>
          <w:color w:val="000000"/>
          <w:sz w:val="24"/>
        </w:rPr>
        <w:t>宽货币紧信用</w:t>
      </w:r>
      <w:r>
        <w:rPr>
          <w:color w:val="000000"/>
          <w:sz w:val="24"/>
        </w:rPr>
        <w:t>”</w:t>
      </w:r>
      <w:r>
        <w:rPr>
          <w:color w:val="000000"/>
          <w:sz w:val="24"/>
        </w:rPr>
        <w:t>逐步转向</w:t>
      </w:r>
      <w:r>
        <w:rPr>
          <w:color w:val="000000"/>
          <w:sz w:val="24"/>
        </w:rPr>
        <w:t>“</w:t>
      </w:r>
      <w:r>
        <w:rPr>
          <w:color w:val="000000"/>
          <w:sz w:val="24"/>
        </w:rPr>
        <w:t>宽货币宽信用</w:t>
      </w:r>
      <w:r>
        <w:rPr>
          <w:color w:val="000000"/>
          <w:sz w:val="24"/>
        </w:rPr>
        <w:t>”</w:t>
      </w:r>
      <w:r>
        <w:rPr>
          <w:color w:val="000000"/>
          <w:sz w:val="24"/>
        </w:rPr>
        <w:t>，随着经济托底政策的推进，市场对前期经济的悲观预期明显修复，债券收益率震荡上行。进入四月，经济数据大幅超预期，在央行</w:t>
      </w:r>
      <w:proofErr w:type="gramStart"/>
      <w:r>
        <w:rPr>
          <w:color w:val="000000"/>
          <w:sz w:val="24"/>
        </w:rPr>
        <w:t>辟谣降准后</w:t>
      </w:r>
      <w:proofErr w:type="gramEnd"/>
      <w:r>
        <w:rPr>
          <w:color w:val="000000"/>
          <w:sz w:val="24"/>
        </w:rPr>
        <w:t>，货币政策宽松的预期出现动摇，资金面边际收敛、再加上股市上涨的多重利空之下，现券收益率加速上行。五月之后，中美贸易摩擦再度升级，风险偏好大幅回落，央行随即定向降准。随后出台的经济数据较前期明显走弱，尤其是</w:t>
      </w:r>
      <w:proofErr w:type="gramStart"/>
      <w:r>
        <w:rPr>
          <w:color w:val="000000"/>
          <w:sz w:val="24"/>
        </w:rPr>
        <w:t>信贷社融大幅</w:t>
      </w:r>
      <w:proofErr w:type="gramEnd"/>
      <w:r>
        <w:rPr>
          <w:color w:val="000000"/>
          <w:sz w:val="24"/>
        </w:rPr>
        <w:t>低于预期，带动债券收益率震荡下行。</w:t>
      </w:r>
    </w:p>
    <w:p w:rsidR="00C02A8F" w:rsidRPr="008A1551" w:rsidRDefault="00C02A8F" w:rsidP="009E1EA4">
      <w:pPr>
        <w:spacing w:before="29" w:line="288" w:lineRule="auto"/>
        <w:ind w:firstLineChars="200" w:firstLine="480"/>
        <w:rPr>
          <w:color w:val="000000"/>
          <w:sz w:val="24"/>
        </w:rPr>
      </w:pPr>
      <w:r w:rsidRPr="008A1551">
        <w:rPr>
          <w:color w:val="000000"/>
          <w:sz w:val="24"/>
        </w:rPr>
        <w:t>报告期内，基于对经济基本面和政策的把握，并考虑组合收益稳定，组合主要配置了中</w:t>
      </w:r>
      <w:proofErr w:type="gramStart"/>
      <w:r w:rsidRPr="008A1551">
        <w:rPr>
          <w:color w:val="000000"/>
          <w:sz w:val="24"/>
        </w:rPr>
        <w:t>短久期</w:t>
      </w:r>
      <w:proofErr w:type="gramEnd"/>
      <w:r w:rsidRPr="008A1551">
        <w:rPr>
          <w:color w:val="000000"/>
          <w:sz w:val="24"/>
        </w:rPr>
        <w:t>的利率债，并根据市场情况适时进行了</w:t>
      </w:r>
      <w:proofErr w:type="gramStart"/>
      <w:r w:rsidRPr="008A1551">
        <w:rPr>
          <w:color w:val="000000"/>
          <w:sz w:val="24"/>
        </w:rPr>
        <w:t>组合久期调整</w:t>
      </w:r>
      <w:proofErr w:type="gramEnd"/>
      <w:r w:rsidRPr="008A1551">
        <w:rPr>
          <w:color w:val="000000"/>
          <w:sz w:val="24"/>
        </w:rPr>
        <w:t>。随着二季度末资金分层的加剧，组合利率债融资优势有所体现，杠杆操作部分维持了平稳的资金成本，通过杠杆操作增厚组合收益。</w:t>
      </w:r>
    </w:p>
    <w:p w:rsidR="001548F9" w:rsidRPr="008A1551" w:rsidRDefault="001548F9" w:rsidP="009E1EA4">
      <w:pPr>
        <w:spacing w:before="29" w:line="288" w:lineRule="auto"/>
        <w:ind w:firstLineChars="200" w:firstLine="480"/>
        <w:rPr>
          <w:kern w:val="0"/>
          <w:sz w:val="24"/>
        </w:rPr>
      </w:pPr>
    </w:p>
    <w:p w:rsidR="001548F9" w:rsidRPr="008A1551" w:rsidRDefault="001548F9" w:rsidP="009E1EA4">
      <w:pPr>
        <w:spacing w:before="29" w:line="288" w:lineRule="auto"/>
        <w:rPr>
          <w:b/>
          <w:sz w:val="24"/>
        </w:rPr>
      </w:pPr>
      <w:r w:rsidRPr="008A1551">
        <w:rPr>
          <w:b/>
          <w:sz w:val="24"/>
        </w:rPr>
        <w:t xml:space="preserve">4.4.2 </w:t>
      </w:r>
      <w:r w:rsidRPr="008A1551">
        <w:rPr>
          <w:b/>
          <w:sz w:val="24"/>
        </w:rPr>
        <w:t>报告期内基金的业绩表现</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本基金（各类）份额净值及业绩表现请见</w:t>
      </w:r>
      <w:r w:rsidRPr="008A1551">
        <w:rPr>
          <w:color w:val="000000"/>
          <w:sz w:val="24"/>
        </w:rPr>
        <w:t>“3.1</w:t>
      </w:r>
      <w:r w:rsidRPr="008A1551">
        <w:rPr>
          <w:color w:val="000000"/>
          <w:sz w:val="24"/>
        </w:rPr>
        <w:t>主要会计数据和财务指标</w:t>
      </w:r>
      <w:r w:rsidRPr="008A1551">
        <w:rPr>
          <w:color w:val="000000"/>
          <w:sz w:val="24"/>
        </w:rPr>
        <w:t xml:space="preserve">” </w:t>
      </w:r>
      <w:r w:rsidRPr="008A1551">
        <w:rPr>
          <w:color w:val="000000"/>
          <w:sz w:val="24"/>
        </w:rPr>
        <w:t>及</w:t>
      </w:r>
      <w:r w:rsidRPr="008A1551">
        <w:rPr>
          <w:color w:val="000000"/>
          <w:sz w:val="24"/>
        </w:rPr>
        <w:t>“3.2.1</w:t>
      </w:r>
      <w:r w:rsidRPr="008A1551">
        <w:rPr>
          <w:color w:val="000000"/>
          <w:sz w:val="24"/>
        </w:rPr>
        <w:t>基金份额净值增长率及其与同期业绩比较基准收益率的比较</w:t>
      </w:r>
      <w:r w:rsidRPr="008A1551">
        <w:rPr>
          <w:color w:val="000000"/>
          <w:sz w:val="24"/>
        </w:rPr>
        <w:t>”</w:t>
      </w:r>
      <w:r w:rsidRPr="008A1551">
        <w:rPr>
          <w:color w:val="000000"/>
          <w:sz w:val="24"/>
        </w:rPr>
        <w:t>部分披露。</w:t>
      </w:r>
    </w:p>
    <w:p w:rsidR="001548F9" w:rsidRPr="006906D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7" w:name="_Toc331410083"/>
      <w:bookmarkStart w:id="28" w:name="_Toc225498259"/>
      <w:r w:rsidRPr="008A1551">
        <w:rPr>
          <w:rFonts w:ascii="Times New Roman" w:hAnsi="Times New Roman"/>
          <w:kern w:val="0"/>
          <w:szCs w:val="24"/>
        </w:rPr>
        <w:t xml:space="preserve">4.5 </w:t>
      </w:r>
      <w:r w:rsidRPr="008A1551">
        <w:rPr>
          <w:rFonts w:ascii="Times New Roman" w:hAnsi="Times New Roman"/>
          <w:kern w:val="0"/>
          <w:szCs w:val="24"/>
        </w:rPr>
        <w:t>管理人对宏观经济、证券市场及行业走势的简要展望</w:t>
      </w:r>
      <w:bookmarkEnd w:id="27"/>
      <w:bookmarkEnd w:id="28"/>
    </w:p>
    <w:p w:rsidR="001548F9" w:rsidRPr="008A1551" w:rsidRDefault="001548F9" w:rsidP="009E1EA4">
      <w:pPr>
        <w:spacing w:before="29" w:line="288" w:lineRule="auto"/>
        <w:ind w:firstLineChars="200" w:firstLine="480"/>
        <w:rPr>
          <w:color w:val="000000"/>
          <w:sz w:val="24"/>
        </w:rPr>
      </w:pPr>
      <w:r w:rsidRPr="008A1551">
        <w:rPr>
          <w:color w:val="000000"/>
          <w:sz w:val="24"/>
        </w:rPr>
        <w:t>展望</w:t>
      </w:r>
      <w:r w:rsidRPr="008A1551">
        <w:rPr>
          <w:color w:val="000000"/>
          <w:sz w:val="24"/>
        </w:rPr>
        <w:t>2019</w:t>
      </w:r>
      <w:r w:rsidRPr="008A1551">
        <w:rPr>
          <w:color w:val="000000"/>
          <w:sz w:val="24"/>
        </w:rPr>
        <w:t>年下半年，基本面仍是债市的核心影响因素，在逆周期政策压力之下，货币政策难以明显收紧，宽信用政策效果始终受到稳定宏观杠杆率的上限约束。后续</w:t>
      </w:r>
      <w:proofErr w:type="gramStart"/>
      <w:r w:rsidRPr="008A1551">
        <w:rPr>
          <w:color w:val="000000"/>
          <w:sz w:val="24"/>
        </w:rPr>
        <w:t>稳增长</w:t>
      </w:r>
      <w:proofErr w:type="gramEnd"/>
      <w:r w:rsidRPr="008A1551">
        <w:rPr>
          <w:color w:val="000000"/>
          <w:sz w:val="24"/>
        </w:rPr>
        <w:t>发力需要更多依靠财政政策，但在财政支出前置、地方政府隐性债务监管之下，资金来源问题需要更多解决途径。在政策托而不举的思路下，经济或延续缓慢下行的趋势，三季度或随着名义增速回落，债券收益率仍有一定下行空间，但之后则需要关注经济企稳预期和通胀回升压力。操作策略方面，组合将继续以利率债投资为主要策略，关注利率品种的骑乘收益，做好券种轮换和中</w:t>
      </w:r>
      <w:proofErr w:type="gramStart"/>
      <w:r w:rsidRPr="008A1551">
        <w:rPr>
          <w:color w:val="000000"/>
          <w:sz w:val="24"/>
        </w:rPr>
        <w:t>短久期</w:t>
      </w:r>
      <w:proofErr w:type="gramEnd"/>
      <w:r w:rsidRPr="008A1551">
        <w:rPr>
          <w:color w:val="000000"/>
          <w:sz w:val="24"/>
        </w:rPr>
        <w:t>品种的精选配置，同时积极进行灵活的</w:t>
      </w:r>
      <w:proofErr w:type="gramStart"/>
      <w:r w:rsidRPr="008A1551">
        <w:rPr>
          <w:color w:val="000000"/>
          <w:sz w:val="24"/>
        </w:rPr>
        <w:t>组合久期波段</w:t>
      </w:r>
      <w:proofErr w:type="gramEnd"/>
      <w:r w:rsidRPr="008A1551">
        <w:rPr>
          <w:color w:val="000000"/>
          <w:sz w:val="24"/>
        </w:rPr>
        <w:t>操作，以期增厚组合收益。</w:t>
      </w:r>
    </w:p>
    <w:p w:rsidR="001548F9" w:rsidRPr="008A1551" w:rsidRDefault="001548F9" w:rsidP="009E1EA4">
      <w:pPr>
        <w:autoSpaceDE w:val="0"/>
        <w:autoSpaceDN w:val="0"/>
        <w:adjustRightInd w:val="0"/>
        <w:spacing w:before="29" w:line="288" w:lineRule="auto"/>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8A1551">
        <w:rPr>
          <w:rFonts w:ascii="Times New Roman" w:hAnsi="Times New Roman"/>
          <w:kern w:val="0"/>
          <w:szCs w:val="24"/>
        </w:rPr>
        <w:t xml:space="preserve">4.6 </w:t>
      </w:r>
      <w:r w:rsidRPr="008A1551">
        <w:rPr>
          <w:rFonts w:ascii="Times New Roman" w:hAnsi="Times New Roman"/>
          <w:kern w:val="0"/>
          <w:szCs w:val="24"/>
        </w:rPr>
        <w:t>管理人对报告期内基金估值程序等事项的说明</w:t>
      </w:r>
      <w:bookmarkEnd w:id="29"/>
      <w:bookmarkEnd w:id="30"/>
      <w:bookmarkEnd w:id="31"/>
    </w:p>
    <w:p w:rsidR="004957AA" w:rsidRDefault="00EF5A3D">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4957AA" w:rsidRDefault="00EF5A3D">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548F9" w:rsidRPr="008A1551" w:rsidRDefault="001548F9" w:rsidP="009E1EA4">
      <w:pPr>
        <w:spacing w:before="29" w:line="288" w:lineRule="auto"/>
        <w:ind w:firstLineChars="200" w:firstLine="480"/>
        <w:rPr>
          <w:color w:val="000000"/>
          <w:sz w:val="24"/>
        </w:rPr>
      </w:pPr>
      <w:r w:rsidRPr="008A155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8A1551" w:rsidRDefault="001548F9" w:rsidP="009E1EA4">
      <w:pPr>
        <w:autoSpaceDE w:val="0"/>
        <w:autoSpaceDN w:val="0"/>
        <w:adjustRightInd w:val="0"/>
        <w:spacing w:before="29" w:line="288" w:lineRule="auto"/>
        <w:ind w:firstLine="482"/>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8A1551">
        <w:rPr>
          <w:rFonts w:ascii="Times New Roman" w:hAnsi="Times New Roman"/>
          <w:kern w:val="0"/>
          <w:szCs w:val="24"/>
        </w:rPr>
        <w:t xml:space="preserve">4.7 </w:t>
      </w:r>
      <w:r w:rsidRPr="008A1551">
        <w:rPr>
          <w:rFonts w:ascii="Times New Roman" w:hAnsi="Times New Roman"/>
          <w:kern w:val="0"/>
          <w:szCs w:val="24"/>
        </w:rPr>
        <w:t>管理人对报告期内基金利润分配情况的说明</w:t>
      </w:r>
      <w:bookmarkEnd w:id="32"/>
      <w:bookmarkEnd w:id="33"/>
      <w:bookmarkEnd w:id="34"/>
    </w:p>
    <w:p w:rsidR="001548F9" w:rsidRPr="008A1551" w:rsidRDefault="001548F9" w:rsidP="009E1EA4">
      <w:pPr>
        <w:spacing w:before="29" w:line="288" w:lineRule="auto"/>
        <w:ind w:firstLineChars="200" w:firstLine="480"/>
        <w:rPr>
          <w:color w:val="000000"/>
          <w:sz w:val="24"/>
        </w:rPr>
      </w:pPr>
      <w:r w:rsidRPr="008A1551">
        <w:rPr>
          <w:color w:val="000000"/>
          <w:sz w:val="24"/>
        </w:rPr>
        <w:t>根据相关法律法规和基金合同要求，本基金本报告期内对本报告期可供分配利润进行了收益分配，具体情况参见半年度报告正文</w:t>
      </w:r>
      <w:r w:rsidRPr="008A1551">
        <w:rPr>
          <w:color w:val="000000"/>
          <w:sz w:val="24"/>
        </w:rPr>
        <w:t>6.4.11</w:t>
      </w:r>
      <w:r w:rsidRPr="008A1551">
        <w:rPr>
          <w:color w:val="000000"/>
          <w:sz w:val="24"/>
        </w:rPr>
        <w:t>利润分配情况。</w:t>
      </w:r>
    </w:p>
    <w:p w:rsidR="0024646D" w:rsidRPr="008A1551" w:rsidRDefault="0024646D" w:rsidP="0024646D">
      <w:pPr>
        <w:spacing w:before="29" w:line="288" w:lineRule="auto"/>
        <w:rPr>
          <w:color w:val="000000"/>
          <w:sz w:val="24"/>
        </w:rPr>
      </w:pPr>
    </w:p>
    <w:p w:rsidR="0024646D" w:rsidRPr="008A1551" w:rsidRDefault="0024646D" w:rsidP="0024646D">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4.8 </w:t>
      </w:r>
      <w:r w:rsidRPr="008A1551">
        <w:rPr>
          <w:rFonts w:ascii="Times New Roman" w:hAnsi="Times New Roman"/>
          <w:kern w:val="0"/>
          <w:szCs w:val="24"/>
        </w:rPr>
        <w:t>报告期内管理人对本基金持有人数或基金资产净值预警情形的说明</w:t>
      </w:r>
    </w:p>
    <w:p w:rsidR="0024646D" w:rsidRPr="008A1551" w:rsidRDefault="0024646D" w:rsidP="0024646D">
      <w:pPr>
        <w:spacing w:before="29" w:line="288" w:lineRule="auto"/>
        <w:ind w:firstLineChars="200" w:firstLine="480"/>
        <w:rPr>
          <w:kern w:val="0"/>
          <w:sz w:val="24"/>
        </w:rPr>
      </w:pPr>
      <w:r w:rsidRPr="008A1551">
        <w:rPr>
          <w:kern w:val="0"/>
          <w:sz w:val="24"/>
        </w:rPr>
        <w:t>本基金本报告期内无需预警说明。</w:t>
      </w:r>
    </w:p>
    <w:p w:rsidR="0024646D" w:rsidRPr="008A1551" w:rsidRDefault="0024646D" w:rsidP="0024646D">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8A1551">
        <w:rPr>
          <w:b/>
          <w:bCs/>
          <w:szCs w:val="24"/>
          <w:lang w:val="en-US"/>
        </w:rPr>
        <w:t xml:space="preserve">5  </w:t>
      </w:r>
      <w:r w:rsidRPr="008A1551">
        <w:rPr>
          <w:b/>
          <w:bCs/>
          <w:szCs w:val="24"/>
          <w:lang w:val="en-US"/>
        </w:rPr>
        <w:t>托管人报告</w:t>
      </w:r>
      <w:bookmarkEnd w:id="35"/>
      <w:bookmarkEnd w:id="36"/>
    </w:p>
    <w:p w:rsidR="001548F9" w:rsidRPr="008A1551" w:rsidRDefault="001548F9" w:rsidP="009E1EA4">
      <w:pPr>
        <w:pStyle w:val="20"/>
        <w:spacing w:before="29" w:after="0" w:line="288" w:lineRule="auto"/>
        <w:rPr>
          <w:rFonts w:ascii="Times New Roman" w:hAnsi="Times New Roman"/>
          <w:kern w:val="0"/>
          <w:szCs w:val="24"/>
        </w:rPr>
      </w:pPr>
      <w:bookmarkStart w:id="37" w:name="_Toc331410089"/>
      <w:bookmarkStart w:id="38" w:name="_Toc225498264"/>
      <w:r w:rsidRPr="008A1551">
        <w:rPr>
          <w:rFonts w:ascii="Times New Roman" w:hAnsi="Times New Roman"/>
          <w:kern w:val="0"/>
          <w:szCs w:val="24"/>
        </w:rPr>
        <w:t xml:space="preserve">5.1 </w:t>
      </w:r>
      <w:r w:rsidRPr="008A1551">
        <w:rPr>
          <w:rFonts w:ascii="Times New Roman" w:hAnsi="Times New Roman"/>
          <w:kern w:val="0"/>
          <w:szCs w:val="24"/>
        </w:rPr>
        <w:t>报告期内本基金托管人遵规守信情况声明</w:t>
      </w:r>
      <w:bookmarkEnd w:id="37"/>
      <w:bookmarkEnd w:id="38"/>
    </w:p>
    <w:p w:rsidR="001548F9" w:rsidRPr="008A1551" w:rsidRDefault="001548F9" w:rsidP="009E1EA4">
      <w:pPr>
        <w:spacing w:before="29" w:line="288" w:lineRule="auto"/>
        <w:ind w:firstLineChars="200" w:firstLine="480"/>
        <w:rPr>
          <w:color w:val="000000"/>
          <w:sz w:val="24"/>
        </w:rPr>
      </w:pPr>
      <w:r w:rsidRPr="008A1551">
        <w:rPr>
          <w:color w:val="000000"/>
          <w:sz w:val="24"/>
        </w:rPr>
        <w:t>作为本基金的托管人，中信银行严格遵守了《证券投资基金法》及其他有关法律法规、基金合同和托管协议的规定，对交银施罗德丰润收益债券型证券投资基金</w:t>
      </w:r>
      <w:r w:rsidRPr="008A1551">
        <w:rPr>
          <w:color w:val="000000"/>
          <w:sz w:val="24"/>
        </w:rPr>
        <w:t>2019</w:t>
      </w:r>
      <w:r w:rsidRPr="008A1551">
        <w:rPr>
          <w:color w:val="000000"/>
          <w:sz w:val="24"/>
        </w:rPr>
        <w:t>年上半年的投资运作，进行了认真、独立的会计核算和必要的投资监督，履行了托管人的义务，不存在任何损害基金份额持有人利益的行为。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9" w:name="_Toc225498265"/>
      <w:bookmarkStart w:id="40" w:name="_Toc331410090"/>
      <w:r w:rsidRPr="008A1551">
        <w:rPr>
          <w:rFonts w:ascii="Times New Roman" w:hAnsi="Times New Roman"/>
          <w:kern w:val="0"/>
          <w:szCs w:val="24"/>
        </w:rPr>
        <w:t xml:space="preserve">5.2 </w:t>
      </w:r>
      <w:r w:rsidRPr="008A1551">
        <w:rPr>
          <w:rFonts w:ascii="Times New Roman" w:hAnsi="Times New Roman"/>
          <w:kern w:val="0"/>
          <w:szCs w:val="24"/>
        </w:rPr>
        <w:t>托管人对报告期内本基金投资运作遵规守信、净值计算、利润分配等情况的</w:t>
      </w:r>
      <w:bookmarkEnd w:id="39"/>
      <w:r w:rsidRPr="008A1551">
        <w:rPr>
          <w:rFonts w:ascii="Times New Roman" w:hAnsi="Times New Roman"/>
          <w:kern w:val="0"/>
          <w:szCs w:val="24"/>
        </w:rPr>
        <w:t>说明</w:t>
      </w:r>
      <w:bookmarkEnd w:id="40"/>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交银施罗德基金管理有限公司在交银施罗德丰润收益债券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1" w:name="_Toc331410091"/>
      <w:bookmarkStart w:id="42" w:name="_Toc225498266"/>
      <w:r w:rsidRPr="008A1551">
        <w:rPr>
          <w:rFonts w:ascii="Times New Roman" w:hAnsi="Times New Roman"/>
          <w:kern w:val="0"/>
          <w:szCs w:val="24"/>
        </w:rPr>
        <w:t xml:space="preserve">5.3 </w:t>
      </w:r>
      <w:r w:rsidRPr="008A1551">
        <w:rPr>
          <w:rFonts w:ascii="Times New Roman" w:hAnsi="Times New Roman"/>
          <w:kern w:val="0"/>
          <w:szCs w:val="24"/>
        </w:rPr>
        <w:t>托管人</w:t>
      </w:r>
      <w:proofErr w:type="gramStart"/>
      <w:r w:rsidRPr="008A1551">
        <w:rPr>
          <w:rFonts w:ascii="Times New Roman" w:hAnsi="Times New Roman"/>
          <w:kern w:val="0"/>
          <w:szCs w:val="24"/>
        </w:rPr>
        <w:t>对本半年度</w:t>
      </w:r>
      <w:proofErr w:type="gramEnd"/>
      <w:r w:rsidRPr="008A1551">
        <w:rPr>
          <w:rFonts w:ascii="Times New Roman" w:hAnsi="Times New Roman"/>
          <w:kern w:val="0"/>
          <w:szCs w:val="24"/>
        </w:rPr>
        <w:t>报告中财务信息等内容的真实、准确和完整发表意见</w:t>
      </w:r>
      <w:bookmarkEnd w:id="41"/>
      <w:bookmarkEnd w:id="42"/>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本托管人认为，交银施罗德基金管理有限公司的信息披露事务符合《证券投资基金信息披露管理办法》及其他相关法律法规的规定，基金管理人所编制和披露的交银施罗德丰润收益债券型证券投资基金</w:t>
      </w:r>
      <w:r w:rsidRPr="008A1551">
        <w:rPr>
          <w:color w:val="000000"/>
          <w:sz w:val="24"/>
        </w:rPr>
        <w:t>2019</w:t>
      </w:r>
      <w:r w:rsidRPr="008A1551">
        <w:rPr>
          <w:color w:val="000000"/>
          <w:sz w:val="24"/>
        </w:rPr>
        <w:t>半年度报告中的财务指标、净值表现、收益分配情况、财务会计报告、投资组合报告等信息真实、准确、完整，未发现有损害基金持有人利益的行为。</w:t>
      </w:r>
    </w:p>
    <w:p w:rsidR="00647A34" w:rsidRPr="008A1551" w:rsidRDefault="00647A34" w:rsidP="009E1EA4">
      <w:pPr>
        <w:spacing w:before="29" w:line="288" w:lineRule="auto"/>
        <w:ind w:firstLineChars="200" w:firstLine="480"/>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43" w:name="_Toc331410096"/>
      <w:r w:rsidRPr="008A1551">
        <w:rPr>
          <w:b/>
          <w:bCs/>
          <w:szCs w:val="24"/>
          <w:lang w:val="en-US"/>
        </w:rPr>
        <w:t>6</w:t>
      </w:r>
      <w:bookmarkEnd w:id="43"/>
      <w:r w:rsidRPr="008A1551">
        <w:rPr>
          <w:b/>
          <w:bCs/>
          <w:szCs w:val="24"/>
          <w:lang w:val="en-US"/>
        </w:rPr>
        <w:t>半年度财务会计报告（未经审计）</w:t>
      </w:r>
    </w:p>
    <w:p w:rsidR="00F74D21" w:rsidRPr="008A1551" w:rsidRDefault="00F74D21" w:rsidP="009E1EA4">
      <w:pPr>
        <w:pStyle w:val="20"/>
        <w:spacing w:before="29" w:after="0" w:line="288" w:lineRule="auto"/>
        <w:rPr>
          <w:rFonts w:ascii="Times New Roman" w:hAnsi="Times New Roman"/>
          <w:kern w:val="0"/>
          <w:szCs w:val="24"/>
        </w:rPr>
      </w:pPr>
      <w:bookmarkStart w:id="44" w:name="_Toc225498268"/>
      <w:bookmarkStart w:id="45" w:name="_Toc374540561"/>
      <w:r w:rsidRPr="008A1551">
        <w:rPr>
          <w:rFonts w:ascii="Times New Roman" w:hAnsi="Times New Roman"/>
          <w:kern w:val="0"/>
          <w:szCs w:val="24"/>
        </w:rPr>
        <w:t xml:space="preserve">6.1 </w:t>
      </w:r>
      <w:r w:rsidRPr="008A1551">
        <w:rPr>
          <w:rFonts w:ascii="Times New Roman" w:hAnsi="Times New Roman"/>
          <w:kern w:val="0"/>
          <w:szCs w:val="24"/>
        </w:rPr>
        <w:t>资产负债表</w:t>
      </w:r>
      <w:bookmarkEnd w:id="44"/>
      <w:bookmarkEnd w:id="45"/>
    </w:p>
    <w:p w:rsidR="00F74D21" w:rsidRPr="008A1551" w:rsidRDefault="00F74D21" w:rsidP="009E1EA4">
      <w:pPr>
        <w:spacing w:before="29" w:line="288" w:lineRule="auto"/>
        <w:rPr>
          <w:color w:val="000000"/>
          <w:sz w:val="24"/>
        </w:rPr>
      </w:pPr>
      <w:r w:rsidRPr="008A1551">
        <w:rPr>
          <w:color w:val="000000"/>
          <w:sz w:val="24"/>
        </w:rPr>
        <w:t>会计主体：交银施罗德丰润收益债券型证券投资基金</w:t>
      </w:r>
    </w:p>
    <w:p w:rsidR="00F74D21" w:rsidRPr="008A1551" w:rsidRDefault="00F74D21" w:rsidP="009E1EA4">
      <w:pPr>
        <w:spacing w:before="29" w:line="288" w:lineRule="auto"/>
        <w:rPr>
          <w:color w:val="000000"/>
          <w:sz w:val="24"/>
        </w:rPr>
      </w:pPr>
      <w:r w:rsidRPr="008A1551">
        <w:rPr>
          <w:color w:val="000000"/>
          <w:sz w:val="24"/>
        </w:rPr>
        <w:t>报告截止日：</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资产</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资产：</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银行存款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r w:rsidRPr="00BA77B4">
              <w:rPr>
                <w:rFonts w:eastAsiaTheme="minorEastAsia"/>
                <w:color w:val="000000" w:themeColor="text1"/>
                <w:szCs w:val="21"/>
              </w:rPr>
              <w:t>6.4.7.1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787,217.72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1,690,124.77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结算备付金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1,325,123.10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存出保证金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3,384.96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1,959.60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2,024,896,000.00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1,287,409,000.00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其中：股票投资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ind w:firstLineChars="300" w:firstLine="720"/>
              <w:jc w:val="both"/>
              <w:rPr>
                <w:rFonts w:ascii="Times New Roman" w:hAnsi="Times New Roman"/>
                <w:color w:val="000000"/>
              </w:rPr>
            </w:pPr>
            <w:r w:rsidRPr="008A1551">
              <w:rPr>
                <w:rFonts w:ascii="Times New Roman" w:hAnsi="Times New Roman"/>
                <w:color w:val="000000"/>
              </w:rPr>
              <w:t>基金投资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债券投资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2,024,896,000.00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1,287,409,000.00</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资产支持证券投资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E8477E">
            <w:pPr>
              <w:spacing w:before="29" w:line="288" w:lineRule="auto"/>
              <w:ind w:firstLineChars="300" w:firstLine="720"/>
              <w:rPr>
                <w:color w:val="000000"/>
                <w:sz w:val="24"/>
              </w:rPr>
            </w:pPr>
            <w:r w:rsidRPr="008A1551">
              <w:rPr>
                <w:color w:val="000000"/>
                <w:sz w:val="24"/>
              </w:rPr>
              <w:t>贵金属投资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买入返售金融资产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27,829,891.38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31,096,518.41</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应收股利</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应收申购款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619.73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3,143.40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29,676.40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资产总计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2,054,871,913.29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1,320,200,746.18</w:t>
            </w:r>
          </w:p>
        </w:tc>
      </w:tr>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负债和所有者权益</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短期借款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卖出回购金融资产款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455,266,452.36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186,353,400.47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w:t>
            </w:r>
            <w:proofErr w:type="gramStart"/>
            <w:r w:rsidRPr="008A1551">
              <w:rPr>
                <w:color w:val="000000"/>
                <w:sz w:val="24"/>
              </w:rPr>
              <w:t>赎回款</w:t>
            </w:r>
            <w:proofErr w:type="gramEnd"/>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54,174.42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3,224.09</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应付管理人报酬</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392,901.27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287,384.18</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应付托管费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130,967.08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95,794.75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应付销售服务费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299.49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330.35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应付交易费用</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28,898.75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22,995.91</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应交税费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55,179.68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232,715.95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应付利润</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91,862.37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139,301.15</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jc w:val="both"/>
              <w:rPr>
                <w:rFonts w:ascii="Times New Roman" w:hAnsi="Times New Roman"/>
                <w:color w:val="000000"/>
              </w:rPr>
            </w:pPr>
            <w:r w:rsidRPr="008A1551">
              <w:rPr>
                <w:rFonts w:ascii="Times New Roman" w:hAnsi="Times New Roman"/>
                <w:color w:val="000000"/>
              </w:rPr>
              <w:t>负债合计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456,020,735.42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187,135,146.85</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所有者权益：</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b/>
                <w:color w:val="000000"/>
                <w:sz w:val="24"/>
              </w:rPr>
            </w:pPr>
          </w:p>
        </w:tc>
        <w:tc>
          <w:tcPr>
            <w:tcW w:w="2520" w:type="dxa"/>
            <w:vAlign w:val="center"/>
          </w:tcPr>
          <w:p w:rsidR="00C0045D" w:rsidRPr="008A1551" w:rsidRDefault="00C0045D" w:rsidP="009E1EA4">
            <w:pPr>
              <w:spacing w:before="29" w:line="288" w:lineRule="auto"/>
              <w:jc w:val="right"/>
              <w:rPr>
                <w:b/>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实收基金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1,547,015,875.01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1,079,293,816.82</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未分配利润</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51,835,302.86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53,771,782.51</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所有者权益合计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1,598,851,177.87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1,133,065,599.33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负债和所有者权益总计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2,054,871,913.29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1,320,200,746.18</w:t>
            </w:r>
          </w:p>
        </w:tc>
      </w:tr>
    </w:tbl>
    <w:p w:rsidR="00FF19E4" w:rsidRPr="008A1551" w:rsidRDefault="00FF19E4" w:rsidP="00FF19E4">
      <w:pPr>
        <w:tabs>
          <w:tab w:val="left" w:pos="426"/>
        </w:tabs>
        <w:spacing w:before="29" w:line="288" w:lineRule="auto"/>
        <w:jc w:val="left"/>
        <w:rPr>
          <w:kern w:val="0"/>
          <w:sz w:val="24"/>
        </w:rPr>
      </w:pPr>
      <w:r w:rsidRPr="008A1551">
        <w:rPr>
          <w:kern w:val="0"/>
          <w:sz w:val="24"/>
        </w:rPr>
        <w:t>注：</w:t>
      </w:r>
      <w:r w:rsidRPr="008A1551">
        <w:rPr>
          <w:kern w:val="0"/>
          <w:sz w:val="24"/>
        </w:rPr>
        <w:t>1</w:t>
      </w:r>
      <w:r w:rsidRPr="008A1551">
        <w:rPr>
          <w:kern w:val="0"/>
          <w:sz w:val="24"/>
        </w:rPr>
        <w:t>、报告截止日</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r w:rsidRPr="008A1551">
        <w:rPr>
          <w:kern w:val="0"/>
          <w:sz w:val="24"/>
        </w:rPr>
        <w:t>A</w:t>
      </w:r>
      <w:r w:rsidRPr="008A1551">
        <w:rPr>
          <w:kern w:val="0"/>
          <w:sz w:val="24"/>
        </w:rPr>
        <w:t>类基金份额净值</w:t>
      </w:r>
      <w:r w:rsidRPr="008A1551">
        <w:rPr>
          <w:kern w:val="0"/>
          <w:sz w:val="24"/>
        </w:rPr>
        <w:t>1.0335</w:t>
      </w:r>
      <w:r w:rsidRPr="008A1551">
        <w:rPr>
          <w:kern w:val="0"/>
          <w:sz w:val="24"/>
        </w:rPr>
        <w:t>元，</w:t>
      </w:r>
      <w:r w:rsidRPr="008A1551">
        <w:rPr>
          <w:kern w:val="0"/>
          <w:sz w:val="24"/>
        </w:rPr>
        <w:t>C</w:t>
      </w:r>
      <w:r w:rsidRPr="008A1551">
        <w:rPr>
          <w:kern w:val="0"/>
          <w:sz w:val="24"/>
        </w:rPr>
        <w:t>类基金份额净值</w:t>
      </w:r>
      <w:r w:rsidRPr="008A1551">
        <w:rPr>
          <w:kern w:val="0"/>
          <w:sz w:val="24"/>
        </w:rPr>
        <w:t>1.0603</w:t>
      </w:r>
      <w:r w:rsidRPr="008A1551">
        <w:rPr>
          <w:kern w:val="0"/>
          <w:sz w:val="24"/>
        </w:rPr>
        <w:t>元，基金份额总额</w:t>
      </w:r>
      <w:r w:rsidRPr="008A1551">
        <w:rPr>
          <w:kern w:val="0"/>
          <w:sz w:val="24"/>
        </w:rPr>
        <w:t>1,547,015,875.01</w:t>
      </w:r>
      <w:r w:rsidRPr="008A1551">
        <w:rPr>
          <w:kern w:val="0"/>
          <w:sz w:val="24"/>
        </w:rPr>
        <w:t>份，其中</w:t>
      </w:r>
      <w:r w:rsidRPr="008A1551">
        <w:rPr>
          <w:kern w:val="0"/>
          <w:sz w:val="24"/>
        </w:rPr>
        <w:t>A</w:t>
      </w:r>
      <w:r w:rsidRPr="008A1551">
        <w:rPr>
          <w:kern w:val="0"/>
          <w:sz w:val="24"/>
        </w:rPr>
        <w:t>类基金份额</w:t>
      </w:r>
      <w:r w:rsidRPr="008A1551">
        <w:rPr>
          <w:kern w:val="0"/>
          <w:sz w:val="24"/>
        </w:rPr>
        <w:t>1,546,168,095.42</w:t>
      </w:r>
      <w:r w:rsidRPr="008A1551">
        <w:rPr>
          <w:kern w:val="0"/>
          <w:sz w:val="24"/>
        </w:rPr>
        <w:t>份，</w:t>
      </w:r>
      <w:r w:rsidRPr="008A1551">
        <w:rPr>
          <w:kern w:val="0"/>
          <w:sz w:val="24"/>
        </w:rPr>
        <w:t>C</w:t>
      </w:r>
      <w:r w:rsidRPr="008A1551">
        <w:rPr>
          <w:kern w:val="0"/>
          <w:sz w:val="24"/>
        </w:rPr>
        <w:t>类基金份额</w:t>
      </w:r>
      <w:r w:rsidRPr="008A1551">
        <w:rPr>
          <w:kern w:val="0"/>
          <w:sz w:val="24"/>
        </w:rPr>
        <w:t>847,779.59</w:t>
      </w:r>
      <w:r w:rsidRPr="008A1551">
        <w:rPr>
          <w:kern w:val="0"/>
          <w:sz w:val="24"/>
        </w:rPr>
        <w:t>份。</w:t>
      </w:r>
    </w:p>
    <w:p w:rsidR="00F74D21" w:rsidRPr="008A1551" w:rsidRDefault="00FF19E4" w:rsidP="00FF19E4">
      <w:pPr>
        <w:tabs>
          <w:tab w:val="left" w:pos="426"/>
        </w:tabs>
        <w:spacing w:before="29" w:line="288" w:lineRule="auto"/>
        <w:jc w:val="left"/>
        <w:rPr>
          <w:kern w:val="0"/>
          <w:sz w:val="24"/>
        </w:rPr>
      </w:pPr>
      <w:r w:rsidRPr="008A1551">
        <w:rPr>
          <w:kern w:val="0"/>
          <w:sz w:val="24"/>
        </w:rPr>
        <w:t xml:space="preserve">    2</w:t>
      </w:r>
      <w:r w:rsidRPr="008A1551">
        <w:rPr>
          <w:kern w:val="0"/>
          <w:sz w:val="24"/>
        </w:rPr>
        <w:t>、本摘要中资产负债表和利润表所列附注号为半年度报告正文中对应的附注号，投资者欲了解相应附注的内容，应阅读登载于基金管理人网站的半年度报告正文。</w:t>
      </w:r>
    </w:p>
    <w:p w:rsidR="00F74D21" w:rsidRPr="008A1551" w:rsidRDefault="00F74D21" w:rsidP="009E1EA4">
      <w:pPr>
        <w:spacing w:before="29" w:line="288" w:lineRule="auto"/>
        <w:rPr>
          <w:color w:val="000000"/>
          <w:kern w:val="0"/>
          <w:sz w:val="24"/>
        </w:rPr>
      </w:pPr>
    </w:p>
    <w:p w:rsidR="00F74D21" w:rsidRPr="008A1551" w:rsidRDefault="00F74D21" w:rsidP="009E1EA4">
      <w:pPr>
        <w:pStyle w:val="20"/>
        <w:spacing w:before="29" w:after="0" w:line="288" w:lineRule="auto"/>
        <w:rPr>
          <w:rFonts w:ascii="Times New Roman" w:hAnsi="Times New Roman"/>
          <w:kern w:val="0"/>
          <w:szCs w:val="24"/>
        </w:rPr>
      </w:pPr>
      <w:bookmarkStart w:id="46" w:name="_Toc225498269"/>
      <w:bookmarkStart w:id="47" w:name="_Toc374540562"/>
      <w:r w:rsidRPr="008A1551">
        <w:rPr>
          <w:rFonts w:ascii="Times New Roman" w:hAnsi="Times New Roman"/>
          <w:kern w:val="0"/>
          <w:szCs w:val="24"/>
        </w:rPr>
        <w:t xml:space="preserve">6.2 </w:t>
      </w:r>
      <w:r w:rsidRPr="008A1551">
        <w:rPr>
          <w:rFonts w:ascii="Times New Roman" w:hAnsi="Times New Roman"/>
          <w:kern w:val="0"/>
          <w:szCs w:val="24"/>
        </w:rPr>
        <w:t>利润表</w:t>
      </w:r>
      <w:bookmarkEnd w:id="46"/>
      <w:bookmarkEnd w:id="47"/>
    </w:p>
    <w:p w:rsidR="00F74D21" w:rsidRPr="008A1551" w:rsidRDefault="00F74D21" w:rsidP="009E1EA4">
      <w:pPr>
        <w:spacing w:before="29" w:line="288" w:lineRule="auto"/>
        <w:rPr>
          <w:kern w:val="0"/>
          <w:sz w:val="24"/>
        </w:rPr>
      </w:pPr>
      <w:r w:rsidRPr="008A1551">
        <w:rPr>
          <w:color w:val="000000"/>
          <w:sz w:val="24"/>
        </w:rPr>
        <w:t>会计主体：</w:t>
      </w:r>
      <w:r w:rsidRPr="008A1551">
        <w:rPr>
          <w:kern w:val="0"/>
          <w:sz w:val="24"/>
        </w:rPr>
        <w:t>交银施罗德丰润收益债券型证券投资基金</w:t>
      </w:r>
    </w:p>
    <w:p w:rsidR="00F74D21" w:rsidRPr="008A1551" w:rsidRDefault="00F74D21" w:rsidP="009E1EA4">
      <w:pPr>
        <w:spacing w:before="29" w:line="288" w:lineRule="auto"/>
        <w:rPr>
          <w:color w:val="000000"/>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F74D21" w:rsidRPr="008A1551" w:rsidTr="00207C2A">
        <w:tc>
          <w:tcPr>
            <w:tcW w:w="342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项目</w:t>
            </w:r>
          </w:p>
        </w:tc>
        <w:tc>
          <w:tcPr>
            <w:tcW w:w="108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1</w:t>
            </w:r>
            <w:r w:rsidRPr="008A1551">
              <w:rPr>
                <w:rFonts w:ascii="Times New Roman" w:hAnsi="Times New Roman"/>
                <w:b/>
              </w:rPr>
              <w:t>月</w:t>
            </w:r>
            <w:r w:rsidRPr="008A1551">
              <w:rPr>
                <w:rFonts w:ascii="Times New Roman" w:hAnsi="Times New Roman"/>
                <w:b/>
              </w:rPr>
              <w:t>1</w:t>
            </w:r>
            <w:r w:rsidRPr="008A1551">
              <w:rPr>
                <w:rFonts w:ascii="Times New Roman" w:hAnsi="Times New Roman"/>
                <w:b/>
              </w:rPr>
              <w:t>日至</w:t>
            </w: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6</w:t>
            </w:r>
            <w:r w:rsidRPr="008A1551">
              <w:rPr>
                <w:rFonts w:ascii="Times New Roman" w:hAnsi="Times New Roman"/>
                <w:b/>
              </w:rPr>
              <w:t>月</w:t>
            </w:r>
            <w:r w:rsidRPr="008A1551">
              <w:rPr>
                <w:rFonts w:ascii="Times New Roman" w:hAnsi="Times New Roman"/>
                <w:b/>
              </w:rPr>
              <w:t>30</w:t>
            </w:r>
            <w:r w:rsidRPr="008A1551">
              <w:rPr>
                <w:rFonts w:ascii="Times New Roman" w:hAnsi="Times New Roman"/>
                <w:b/>
              </w:rPr>
              <w:t>日</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上年度可比期间</w:t>
            </w:r>
          </w:p>
          <w:p w:rsidR="00F74D21" w:rsidRPr="008A1551" w:rsidRDefault="00F74D21"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w:t>
            </w:r>
            <w:r w:rsidRPr="008A1551">
              <w:rPr>
                <w:rFonts w:ascii="Times New Roman" w:hAnsi="Times New Roman"/>
                <w:b/>
                <w:color w:val="000000"/>
              </w:rPr>
              <w:t>月</w:t>
            </w:r>
            <w:r w:rsidRPr="008A1551">
              <w:rPr>
                <w:rFonts w:ascii="Times New Roman" w:hAnsi="Times New Roman"/>
                <w:b/>
                <w:color w:val="000000"/>
              </w:rPr>
              <w:t>1</w:t>
            </w:r>
            <w:r w:rsidRPr="008A1551">
              <w:rPr>
                <w:rFonts w:ascii="Times New Roman" w:hAnsi="Times New Roman"/>
                <w:b/>
                <w:color w:val="000000"/>
              </w:rPr>
              <w:t>日至</w:t>
            </w: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6</w:t>
            </w:r>
            <w:r w:rsidRPr="008A1551">
              <w:rPr>
                <w:rFonts w:ascii="Times New Roman" w:hAnsi="Times New Roman"/>
                <w:b/>
                <w:color w:val="000000"/>
              </w:rPr>
              <w:t>月</w:t>
            </w:r>
            <w:r w:rsidRPr="008A1551">
              <w:rPr>
                <w:rFonts w:ascii="Times New Roman" w:hAnsi="Times New Roman"/>
                <w:b/>
                <w:color w:val="000000"/>
              </w:rPr>
              <w:t>30</w:t>
            </w:r>
            <w:r w:rsidRPr="008A1551">
              <w:rPr>
                <w:rFonts w:ascii="Times New Roman" w:hAnsi="Times New Roman"/>
                <w:b/>
                <w:color w:val="000000"/>
              </w:rPr>
              <w:t>日</w:t>
            </w:r>
          </w:p>
        </w:tc>
      </w:tr>
      <w:tr w:rsidR="00F74D21" w:rsidRPr="008A1551" w:rsidTr="00207C2A">
        <w:tc>
          <w:tcPr>
            <w:tcW w:w="3420" w:type="dxa"/>
            <w:vAlign w:val="center"/>
          </w:tcPr>
          <w:p w:rsidR="00F74D21" w:rsidRPr="008A1551" w:rsidRDefault="00F74D21" w:rsidP="009E1EA4">
            <w:pPr>
              <w:spacing w:before="29" w:line="288" w:lineRule="auto"/>
              <w:rPr>
                <w:b/>
                <w:color w:val="000000"/>
                <w:sz w:val="24"/>
              </w:rPr>
            </w:pPr>
            <w:r w:rsidRPr="008A1551">
              <w:rPr>
                <w:b/>
                <w:color w:val="000000"/>
                <w:sz w:val="24"/>
              </w:rPr>
              <w:t>一、收入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29,944,069.84</w:t>
            </w: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203,734,759.80</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1.</w:t>
            </w:r>
            <w:r w:rsidRPr="008A1551">
              <w:rPr>
                <w:color w:val="000000"/>
                <w:sz w:val="24"/>
              </w:rPr>
              <w:t>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34,934,317.80</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143,592,834.60</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其中：存款利息收入</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13,126.07</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21,049.78</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债券利息收入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34,920,704.89</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141,856,842.18</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资产支持证券利息收入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1,608,122.97</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买入返售金融资产收入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486.84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106,819.67</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其他利息收入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2.</w:t>
            </w:r>
            <w:r w:rsidRPr="008A1551">
              <w:rPr>
                <w:color w:val="000000"/>
                <w:sz w:val="24"/>
              </w:rPr>
              <w:t>投资收益（损失以</w:t>
            </w:r>
            <w:r w:rsidRPr="008A1551">
              <w:rPr>
                <w:color w:val="000000"/>
                <w:sz w:val="24"/>
              </w:rPr>
              <w:t>“-”</w:t>
            </w:r>
            <w:r w:rsidRPr="008A1551">
              <w:rPr>
                <w:color w:val="000000"/>
                <w:sz w:val="24"/>
              </w:rPr>
              <w:t>填列）</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1,225,912.76</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7,998,501.16</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其中：股票投资收益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基金投资收益</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债券投资收益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6.4.7.13</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1,225,912.76</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7,998,501.16</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资产支持证券投资收益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BF1682">
            <w:pPr>
              <w:spacing w:before="29" w:line="288" w:lineRule="auto"/>
              <w:ind w:firstLineChars="300" w:firstLine="720"/>
              <w:rPr>
                <w:color w:val="000000"/>
                <w:sz w:val="24"/>
              </w:rPr>
            </w:pPr>
            <w:r w:rsidRPr="008A1551">
              <w:rPr>
                <w:color w:val="000000"/>
                <w:sz w:val="24"/>
              </w:rPr>
              <w:t>贵金属投资收益</w:t>
            </w:r>
          </w:p>
        </w:tc>
        <w:tc>
          <w:tcPr>
            <w:tcW w:w="1080" w:type="dxa"/>
            <w:vAlign w:val="center"/>
          </w:tcPr>
          <w:p w:rsidR="00C04CCE" w:rsidRPr="00BA77B4" w:rsidRDefault="00C04CCE" w:rsidP="00C0045D">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衍生工具收益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股利收益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公允价值变动收益（损失以</w:t>
            </w:r>
            <w:r w:rsidRPr="008A1551">
              <w:rPr>
                <w:color w:val="000000"/>
                <w:sz w:val="24"/>
              </w:rPr>
              <w:t>“-”</w:t>
            </w:r>
            <w:r w:rsidRPr="008A1551">
              <w:rPr>
                <w:color w:val="000000"/>
                <w:sz w:val="24"/>
              </w:rPr>
              <w:t>号填列）</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-6,216,955.09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52,143,300.59</w:t>
            </w:r>
          </w:p>
        </w:tc>
      </w:tr>
      <w:tr w:rsidR="00C04CCE" w:rsidRPr="008A1551" w:rsidTr="00207C2A">
        <w:tc>
          <w:tcPr>
            <w:tcW w:w="3420" w:type="dxa"/>
            <w:vAlign w:val="center"/>
          </w:tcPr>
          <w:p w:rsidR="00C04CCE" w:rsidRPr="008A1551" w:rsidRDefault="00C04CCE" w:rsidP="009E1EA4">
            <w:pPr>
              <w:pStyle w:val="af6"/>
              <w:spacing w:before="29" w:beforeAutospacing="0" w:line="288" w:lineRule="auto"/>
              <w:rPr>
                <w:rFonts w:ascii="Times New Roman" w:hAnsi="Times New Roman"/>
                <w:color w:val="000000"/>
              </w:rPr>
            </w:pPr>
            <w:r w:rsidRPr="008A1551">
              <w:rPr>
                <w:rFonts w:ascii="Times New Roman" w:hAnsi="Times New Roman"/>
                <w:color w:val="000000"/>
              </w:rPr>
              <w:t>4.</w:t>
            </w:r>
            <w:r w:rsidRPr="008A1551">
              <w:rPr>
                <w:rFonts w:ascii="Times New Roman" w:hAnsi="Times New Roman"/>
                <w:color w:val="000000"/>
              </w:rPr>
              <w:t>汇兑收益（损失以</w:t>
            </w:r>
            <w:r w:rsidRPr="008A1551">
              <w:rPr>
                <w:rFonts w:ascii="Times New Roman" w:hAnsi="Times New Roman"/>
                <w:color w:val="000000"/>
                <w:kern w:val="2"/>
              </w:rPr>
              <w:t>“-”</w:t>
            </w:r>
            <w:r w:rsidRPr="008A1551">
              <w:rPr>
                <w:rFonts w:ascii="Times New Roman" w:hAnsi="Times New Roman"/>
                <w:color w:val="000000"/>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其他收入（损失以</w:t>
            </w:r>
            <w:r w:rsidRPr="008A1551">
              <w:rPr>
                <w:color w:val="000000"/>
                <w:sz w:val="24"/>
              </w:rPr>
              <w:t>“-”</w:t>
            </w:r>
            <w:r w:rsidRPr="008A1551">
              <w:rPr>
                <w:color w:val="000000"/>
                <w:sz w:val="24"/>
              </w:rPr>
              <w:t>号填列）</w:t>
            </w:r>
          </w:p>
        </w:tc>
        <w:tc>
          <w:tcPr>
            <w:tcW w:w="1080" w:type="dxa"/>
            <w:vAlign w:val="center"/>
          </w:tcPr>
          <w:p w:rsidR="00C04CCE" w:rsidRPr="00BA77B4" w:rsidRDefault="004B3FF0" w:rsidP="009E1EA4">
            <w:pPr>
              <w:pStyle w:val="af6"/>
              <w:spacing w:before="29" w:beforeAutospacing="0" w:line="288" w:lineRule="auto"/>
              <w:jc w:val="center"/>
              <w:rPr>
                <w:rFonts w:ascii="Times New Roman" w:hAnsi="Times New Roman"/>
                <w:color w:val="000000"/>
              </w:rPr>
            </w:pPr>
            <w:r w:rsidRPr="00BA77B4">
              <w:rPr>
                <w:rFonts w:ascii="Times New Roman" w:hAnsi="Times New Roman" w:hint="eastAsia"/>
                <w:color w:val="000000"/>
              </w:rPr>
              <w:t>6.4.7.18</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794.37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123.45</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减：二、费用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6,403,439.84</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37,416,846.66</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1</w:t>
            </w:r>
            <w:r w:rsidRPr="008A1551">
              <w:rPr>
                <w:color w:val="000000"/>
                <w:sz w:val="24"/>
              </w:rPr>
              <w:t>．管理人报酬</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2,153,949.37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7,523,223.90</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2</w:t>
            </w:r>
            <w:r w:rsidRPr="008A1551">
              <w:rPr>
                <w:color w:val="000000"/>
                <w:sz w:val="24"/>
              </w:rPr>
              <w:t>．托管费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717,983.11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2,507,741.31</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．销售服务费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1,910.92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2,166.50</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4</w:t>
            </w:r>
            <w:r w:rsidRPr="008A1551">
              <w:rPr>
                <w:color w:val="000000"/>
                <w:sz w:val="24"/>
              </w:rPr>
              <w:t>．交易费用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16,402.77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19,750.00</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．利息支出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3,387,048.02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26,878,543.73</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其中：卖出回购金融资产支出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3,387,048.02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26,878,543.73</w:t>
            </w:r>
          </w:p>
        </w:tc>
      </w:tr>
      <w:tr w:rsidR="00207C2A" w:rsidRPr="00207C2A" w:rsidTr="00207C2A">
        <w:tc>
          <w:tcPr>
            <w:tcW w:w="3420" w:type="dxa"/>
            <w:vAlign w:val="center"/>
          </w:tcPr>
          <w:p w:rsidR="00207C2A" w:rsidRPr="00207C2A" w:rsidRDefault="00207C2A" w:rsidP="00EF5A3D">
            <w:pPr>
              <w:rPr>
                <w:rFonts w:eastAsiaTheme="minorEastAsia"/>
                <w:color w:val="000000"/>
                <w:sz w:val="24"/>
              </w:rPr>
            </w:pPr>
            <w:r w:rsidRPr="00207C2A">
              <w:rPr>
                <w:rFonts w:eastAsiaTheme="minorEastAsia" w:hint="eastAsia"/>
                <w:color w:val="000000"/>
                <w:sz w:val="24"/>
              </w:rPr>
              <w:t>6.</w:t>
            </w:r>
            <w:r w:rsidRPr="00207C2A">
              <w:rPr>
                <w:rFonts w:eastAsiaTheme="minorEastAsia" w:hint="eastAsia"/>
                <w:color w:val="000000"/>
                <w:sz w:val="24"/>
              </w:rPr>
              <w:t>税金及附加</w:t>
            </w:r>
          </w:p>
        </w:tc>
        <w:tc>
          <w:tcPr>
            <w:tcW w:w="1080" w:type="dxa"/>
            <w:vAlign w:val="center"/>
          </w:tcPr>
          <w:p w:rsidR="00207C2A" w:rsidRPr="00207C2A" w:rsidRDefault="00207C2A" w:rsidP="00EF5A3D">
            <w:pPr>
              <w:pStyle w:val="af6"/>
              <w:jc w:val="center"/>
              <w:rPr>
                <w:rFonts w:ascii="Times New Roman" w:eastAsiaTheme="minorEastAsia" w:hAnsi="Times New Roman"/>
                <w:color w:val="000000"/>
              </w:rPr>
            </w:pPr>
          </w:p>
        </w:tc>
        <w:tc>
          <w:tcPr>
            <w:tcW w:w="2250" w:type="dxa"/>
            <w:vAlign w:val="bottom"/>
          </w:tcPr>
          <w:p w:rsidR="00207C2A" w:rsidRPr="00207C2A" w:rsidRDefault="00207C2A" w:rsidP="00EF5A3D">
            <w:pPr>
              <w:jc w:val="right"/>
              <w:rPr>
                <w:rFonts w:eastAsiaTheme="minorEastAsia"/>
                <w:color w:val="000000"/>
                <w:sz w:val="24"/>
              </w:rPr>
            </w:pPr>
            <w:r w:rsidRPr="00207C2A">
              <w:rPr>
                <w:rFonts w:eastAsiaTheme="minorEastAsia"/>
                <w:color w:val="000000"/>
                <w:sz w:val="24"/>
              </w:rPr>
              <w:t>1.61</w:t>
            </w:r>
          </w:p>
        </w:tc>
        <w:tc>
          <w:tcPr>
            <w:tcW w:w="2251" w:type="dxa"/>
            <w:vAlign w:val="bottom"/>
          </w:tcPr>
          <w:p w:rsidR="00207C2A" w:rsidRPr="00207C2A" w:rsidRDefault="00207C2A" w:rsidP="00EF5A3D">
            <w:pPr>
              <w:jc w:val="right"/>
              <w:rPr>
                <w:rFonts w:eastAsiaTheme="minorEastAsia"/>
                <w:color w:val="000000"/>
                <w:sz w:val="24"/>
              </w:rPr>
            </w:pPr>
            <w:r w:rsidRPr="00207C2A">
              <w:rPr>
                <w:rFonts w:eastAsiaTheme="minorEastAsia"/>
                <w:color w:val="000000"/>
                <w:sz w:val="24"/>
              </w:rPr>
              <w:t>286,379.53</w:t>
            </w:r>
          </w:p>
        </w:tc>
      </w:tr>
      <w:tr w:rsidR="00207C2A" w:rsidRPr="006D09B5" w:rsidTr="00207C2A">
        <w:tc>
          <w:tcPr>
            <w:tcW w:w="3420" w:type="dxa"/>
            <w:vAlign w:val="center"/>
          </w:tcPr>
          <w:p w:rsidR="00207C2A" w:rsidRPr="00207C2A" w:rsidRDefault="00207C2A" w:rsidP="00EF5A3D">
            <w:pPr>
              <w:rPr>
                <w:rFonts w:eastAsiaTheme="minorEastAsia"/>
                <w:color w:val="000000"/>
                <w:sz w:val="24"/>
              </w:rPr>
            </w:pPr>
            <w:r w:rsidRPr="00207C2A">
              <w:rPr>
                <w:rFonts w:eastAsiaTheme="minorEastAsia" w:hint="eastAsia"/>
                <w:color w:val="000000"/>
                <w:sz w:val="24"/>
              </w:rPr>
              <w:t>7</w:t>
            </w:r>
            <w:r w:rsidRPr="00207C2A">
              <w:rPr>
                <w:rFonts w:eastAsiaTheme="minorEastAsia"/>
                <w:color w:val="000000"/>
                <w:sz w:val="24"/>
              </w:rPr>
              <w:t>．其他费用</w:t>
            </w:r>
          </w:p>
        </w:tc>
        <w:tc>
          <w:tcPr>
            <w:tcW w:w="1080" w:type="dxa"/>
            <w:vAlign w:val="center"/>
          </w:tcPr>
          <w:p w:rsidR="00207C2A" w:rsidRPr="00207C2A" w:rsidRDefault="00207C2A" w:rsidP="00EF5A3D">
            <w:pPr>
              <w:pStyle w:val="af6"/>
              <w:jc w:val="center"/>
              <w:rPr>
                <w:rFonts w:ascii="Times New Roman" w:eastAsiaTheme="minorEastAsia" w:hAnsi="Times New Roman"/>
                <w:color w:val="000000"/>
              </w:rPr>
            </w:pPr>
            <w:r w:rsidRPr="00207C2A">
              <w:rPr>
                <w:rFonts w:ascii="Times New Roman" w:eastAsiaTheme="minorEastAsia" w:hAnsi="Times New Roman"/>
                <w:color w:val="000000"/>
              </w:rPr>
              <w:t>6.4.7.20</w:t>
            </w:r>
          </w:p>
        </w:tc>
        <w:tc>
          <w:tcPr>
            <w:tcW w:w="2250" w:type="dxa"/>
            <w:vAlign w:val="bottom"/>
          </w:tcPr>
          <w:p w:rsidR="00207C2A" w:rsidRPr="00207C2A" w:rsidRDefault="00207C2A" w:rsidP="00EF5A3D">
            <w:pPr>
              <w:jc w:val="right"/>
              <w:rPr>
                <w:rFonts w:eastAsiaTheme="minorEastAsia"/>
                <w:color w:val="000000"/>
                <w:sz w:val="24"/>
              </w:rPr>
            </w:pPr>
            <w:r w:rsidRPr="00207C2A">
              <w:rPr>
                <w:rFonts w:eastAsiaTheme="minorEastAsia"/>
                <w:color w:val="000000"/>
                <w:sz w:val="24"/>
              </w:rPr>
              <w:t>126,144.04</w:t>
            </w:r>
          </w:p>
        </w:tc>
        <w:tc>
          <w:tcPr>
            <w:tcW w:w="2251" w:type="dxa"/>
            <w:vAlign w:val="bottom"/>
          </w:tcPr>
          <w:p w:rsidR="00207C2A" w:rsidRPr="006D09B5" w:rsidRDefault="00207C2A" w:rsidP="00EF5A3D">
            <w:pPr>
              <w:jc w:val="right"/>
              <w:rPr>
                <w:rFonts w:eastAsiaTheme="minorEastAsia"/>
                <w:color w:val="000000"/>
                <w:sz w:val="24"/>
              </w:rPr>
            </w:pPr>
            <w:r w:rsidRPr="00207C2A">
              <w:rPr>
                <w:rFonts w:eastAsiaTheme="minorEastAsia"/>
                <w:color w:val="000000"/>
                <w:sz w:val="24"/>
              </w:rPr>
              <w:t>199,041.69</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三、利润总额（亏损总额以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23,540,630.00</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166,317,913.14</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sz w:val="24"/>
              </w:rPr>
              <w:t>减：所得税费用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四、净利润（净亏损以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23,540,630.00</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166,317,913.14</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48" w:name="_Toc331410099"/>
      <w:bookmarkStart w:id="49" w:name="_Toc225498270"/>
      <w:r w:rsidRPr="008A1551">
        <w:rPr>
          <w:rFonts w:ascii="Times New Roman" w:hAnsi="Times New Roman"/>
          <w:kern w:val="0"/>
          <w:szCs w:val="24"/>
        </w:rPr>
        <w:t xml:space="preserve">6.3 </w:t>
      </w:r>
      <w:r w:rsidRPr="008A1551">
        <w:rPr>
          <w:rFonts w:ascii="Times New Roman" w:hAnsi="Times New Roman"/>
          <w:kern w:val="0"/>
          <w:szCs w:val="24"/>
        </w:rPr>
        <w:t>所有者权益（基金净值）变动表</w:t>
      </w:r>
      <w:bookmarkEnd w:id="48"/>
      <w:bookmarkEnd w:id="49"/>
    </w:p>
    <w:p w:rsidR="001548F9" w:rsidRPr="008A1551" w:rsidRDefault="001548F9" w:rsidP="009E1EA4">
      <w:pPr>
        <w:spacing w:before="29" w:line="288" w:lineRule="auto"/>
        <w:rPr>
          <w:kern w:val="0"/>
          <w:sz w:val="24"/>
        </w:rPr>
      </w:pPr>
      <w:r w:rsidRPr="008A1551">
        <w:rPr>
          <w:color w:val="000000"/>
          <w:sz w:val="24"/>
        </w:rPr>
        <w:t>会计主体：</w:t>
      </w:r>
      <w:r w:rsidRPr="008A1551">
        <w:rPr>
          <w:kern w:val="0"/>
          <w:sz w:val="24"/>
        </w:rPr>
        <w:t>交银施罗德丰润收益债券型证券投资基金</w:t>
      </w:r>
    </w:p>
    <w:p w:rsidR="001548F9" w:rsidRPr="008A1551" w:rsidRDefault="001548F9" w:rsidP="009E1EA4">
      <w:pPr>
        <w:spacing w:before="29" w:line="288" w:lineRule="auto"/>
        <w:rPr>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8A1551" w:rsidTr="00402CC3">
        <w:tc>
          <w:tcPr>
            <w:tcW w:w="2552" w:type="dxa"/>
            <w:vMerge w:val="restart"/>
            <w:vAlign w:val="center"/>
          </w:tcPr>
          <w:p w:rsidR="001548F9" w:rsidRPr="008A1551" w:rsidRDefault="001548F9" w:rsidP="009E1EA4">
            <w:pPr>
              <w:spacing w:before="29" w:line="288" w:lineRule="auto"/>
              <w:jc w:val="center"/>
              <w:rPr>
                <w:b/>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本期</w:t>
            </w:r>
          </w:p>
          <w:p w:rsidR="001548F9" w:rsidRPr="008A1551" w:rsidRDefault="001548F9"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rPr>
              <w:t>2019</w:t>
            </w:r>
            <w:r w:rsidRPr="008A1551">
              <w:rPr>
                <w:rFonts w:ascii="Times New Roman" w:hAnsi="Times New Roman"/>
              </w:rPr>
              <w:t>年</w:t>
            </w:r>
            <w:r w:rsidRPr="008A1551">
              <w:rPr>
                <w:rFonts w:ascii="Times New Roman" w:hAnsi="Times New Roman"/>
              </w:rPr>
              <w:t>1</w:t>
            </w:r>
            <w:r w:rsidRPr="008A1551">
              <w:rPr>
                <w:rFonts w:ascii="Times New Roman" w:hAnsi="Times New Roman"/>
              </w:rPr>
              <w:t>月</w:t>
            </w:r>
            <w:r w:rsidRPr="008A1551">
              <w:rPr>
                <w:rFonts w:ascii="Times New Roman" w:hAnsi="Times New Roman"/>
              </w:rPr>
              <w:t>1</w:t>
            </w:r>
            <w:r w:rsidRPr="008A1551">
              <w:rPr>
                <w:rFonts w:ascii="Times New Roman" w:hAnsi="Times New Roman"/>
              </w:rPr>
              <w:t>日至</w:t>
            </w:r>
            <w:r w:rsidRPr="008A1551">
              <w:rPr>
                <w:rFonts w:ascii="Times New Roman" w:hAnsi="Times New Roman"/>
              </w:rPr>
              <w:t>2019</w:t>
            </w:r>
            <w:r w:rsidRPr="008A1551">
              <w:rPr>
                <w:rFonts w:ascii="Times New Roman" w:hAnsi="Times New Roman"/>
              </w:rPr>
              <w:t>年</w:t>
            </w:r>
            <w:r w:rsidRPr="008A1551">
              <w:rPr>
                <w:rFonts w:ascii="Times New Roman" w:hAnsi="Times New Roman"/>
              </w:rPr>
              <w:t>6</w:t>
            </w:r>
            <w:r w:rsidRPr="008A1551">
              <w:rPr>
                <w:rFonts w:ascii="Times New Roman" w:hAnsi="Times New Roman"/>
              </w:rPr>
              <w:t>月</w:t>
            </w:r>
            <w:r w:rsidRPr="008A1551">
              <w:rPr>
                <w:rFonts w:ascii="Times New Roman" w:hAnsi="Times New Roman"/>
              </w:rPr>
              <w:t>30</w:t>
            </w:r>
            <w:r w:rsidRPr="008A1551">
              <w:rPr>
                <w:rFonts w:ascii="Times New Roman" w:hAnsi="Times New Roman"/>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b/>
                <w:color w:val="000000"/>
                <w:sz w:val="24"/>
              </w:rPr>
            </w:pP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1,079,293,816.82</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53,771,782.51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1,133,065,599.33</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23,540,630.00</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23,540,630.00</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467,722,058.19</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25,329,719.87</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493,051,778.06</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475,863,906.65</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25,684,195.53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501,548,102.18</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w:t>
            </w:r>
            <w:proofErr w:type="gramStart"/>
            <w:r w:rsidRPr="008A1551">
              <w:rPr>
                <w:color w:val="000000"/>
                <w:sz w:val="24"/>
              </w:rPr>
              <w:t>赎回款</w:t>
            </w:r>
            <w:proofErr w:type="gramEnd"/>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-8,141,848.46</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-354,475.66</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-8,496,324.12</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-50,806,829.52</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-50,806,829.52</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1,547,015,875.01</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51,835,302.86</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1,598,851,177.87</w:t>
            </w:r>
          </w:p>
        </w:tc>
      </w:tr>
      <w:tr w:rsidR="001548F9" w:rsidRPr="008A1551" w:rsidTr="00402CC3">
        <w:tc>
          <w:tcPr>
            <w:tcW w:w="2552" w:type="dxa"/>
            <w:vMerge w:val="restart"/>
            <w:vAlign w:val="center"/>
          </w:tcPr>
          <w:p w:rsidR="001548F9" w:rsidRPr="008A1551" w:rsidRDefault="001548F9" w:rsidP="009E1EA4">
            <w:pPr>
              <w:spacing w:before="29" w:line="288" w:lineRule="auto"/>
              <w:jc w:val="center"/>
              <w:rPr>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上年度可比期间</w:t>
            </w:r>
          </w:p>
          <w:p w:rsidR="001548F9" w:rsidRPr="008A1551" w:rsidRDefault="001548F9"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color w:val="000000"/>
              </w:rPr>
              <w:t>2018</w:t>
            </w:r>
            <w:r w:rsidRPr="008A1551">
              <w:rPr>
                <w:rFonts w:ascii="Times New Roman" w:hAnsi="Times New Roman"/>
                <w:color w:val="000000"/>
              </w:rPr>
              <w:t>年</w:t>
            </w:r>
            <w:r w:rsidRPr="008A1551">
              <w:rPr>
                <w:rFonts w:ascii="Times New Roman" w:hAnsi="Times New Roman"/>
                <w:color w:val="000000"/>
              </w:rPr>
              <w:t>1</w:t>
            </w:r>
            <w:r w:rsidRPr="008A1551">
              <w:rPr>
                <w:rFonts w:ascii="Times New Roman" w:hAnsi="Times New Roman"/>
                <w:color w:val="000000"/>
              </w:rPr>
              <w:t>月</w:t>
            </w:r>
            <w:r w:rsidRPr="008A1551">
              <w:rPr>
                <w:rFonts w:ascii="Times New Roman" w:hAnsi="Times New Roman"/>
                <w:color w:val="000000"/>
              </w:rPr>
              <w:t>1</w:t>
            </w:r>
            <w:r w:rsidRPr="008A1551">
              <w:rPr>
                <w:rFonts w:ascii="Times New Roman" w:hAnsi="Times New Roman"/>
                <w:color w:val="000000"/>
              </w:rPr>
              <w:t>日至</w:t>
            </w:r>
            <w:r w:rsidRPr="008A1551">
              <w:rPr>
                <w:rFonts w:ascii="Times New Roman" w:hAnsi="Times New Roman"/>
                <w:color w:val="000000"/>
              </w:rPr>
              <w:t>2018</w:t>
            </w:r>
            <w:r w:rsidRPr="008A1551">
              <w:rPr>
                <w:rFonts w:ascii="Times New Roman" w:hAnsi="Times New Roman"/>
                <w:color w:val="000000"/>
              </w:rPr>
              <w:t>年</w:t>
            </w:r>
            <w:r w:rsidRPr="008A1551">
              <w:rPr>
                <w:rFonts w:ascii="Times New Roman" w:hAnsi="Times New Roman"/>
                <w:color w:val="000000"/>
              </w:rPr>
              <w:t>6</w:t>
            </w:r>
            <w:r w:rsidRPr="008A1551">
              <w:rPr>
                <w:rFonts w:ascii="Times New Roman" w:hAnsi="Times New Roman"/>
                <w:color w:val="000000"/>
              </w:rPr>
              <w:t>月</w:t>
            </w:r>
            <w:r w:rsidRPr="008A1551">
              <w:rPr>
                <w:rFonts w:ascii="Times New Roman" w:hAnsi="Times New Roman"/>
                <w:color w:val="000000"/>
              </w:rPr>
              <w:t>30</w:t>
            </w:r>
            <w:r w:rsidRPr="008A1551">
              <w:rPr>
                <w:rFonts w:ascii="Times New Roman" w:hAnsi="Times New Roman"/>
                <w:color w:val="000000"/>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color w:val="000000"/>
                <w:sz w:val="24"/>
              </w:rPr>
            </w:pP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4,913,282,488.74</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125,820,547.98</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5,039,103,036.72</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166,317,913.14</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166,317,913.14</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-4,025,042.97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-89,139.82</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-4,114,182.79</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922,371.96</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16,528.53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938,900.49</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w:t>
            </w:r>
            <w:proofErr w:type="gramStart"/>
            <w:r w:rsidRPr="008A1551">
              <w:rPr>
                <w:color w:val="000000"/>
                <w:sz w:val="24"/>
              </w:rPr>
              <w:t>赎回款</w:t>
            </w:r>
            <w:proofErr w:type="gramEnd"/>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-4,947,414.93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-105,668.35</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-5,053,083.28</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-181,617,689.11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-181,617,689.11</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4,909,257,445.77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110,431,632.19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5,019,689,077.96</w:t>
            </w:r>
          </w:p>
        </w:tc>
      </w:tr>
    </w:tbl>
    <w:p w:rsidR="001548F9" w:rsidRPr="008A1551" w:rsidRDefault="001548F9" w:rsidP="009E1EA4">
      <w:pPr>
        <w:spacing w:before="29" w:line="288" w:lineRule="auto"/>
        <w:ind w:firstLineChars="200" w:firstLine="480"/>
        <w:jc w:val="left"/>
        <w:rPr>
          <w:color w:val="000000"/>
          <w:kern w:val="0"/>
          <w:sz w:val="24"/>
        </w:rPr>
      </w:pPr>
    </w:p>
    <w:p w:rsidR="0039626A" w:rsidRPr="008A1551" w:rsidRDefault="0039626A" w:rsidP="009E1EA4">
      <w:pPr>
        <w:spacing w:before="29" w:line="288" w:lineRule="auto"/>
        <w:rPr>
          <w:sz w:val="24"/>
        </w:rPr>
      </w:pPr>
      <w:r w:rsidRPr="008A1551">
        <w:rPr>
          <w:sz w:val="24"/>
        </w:rPr>
        <w:t>报表附注为财务报表的组成部分。</w:t>
      </w:r>
    </w:p>
    <w:p w:rsidR="0039626A" w:rsidRPr="008A1551" w:rsidRDefault="0039626A" w:rsidP="009E1EA4">
      <w:pPr>
        <w:spacing w:before="29" w:line="288" w:lineRule="auto"/>
        <w:rPr>
          <w:sz w:val="24"/>
        </w:rPr>
      </w:pPr>
      <w:r w:rsidRPr="008A1551">
        <w:rPr>
          <w:sz w:val="24"/>
        </w:rPr>
        <w:t>本报告</w:t>
      </w:r>
      <w:r w:rsidRPr="008A1551">
        <w:rPr>
          <w:sz w:val="24"/>
        </w:rPr>
        <w:t>6.1</w:t>
      </w:r>
      <w:r w:rsidRPr="008A1551">
        <w:rPr>
          <w:sz w:val="24"/>
        </w:rPr>
        <w:t>至</w:t>
      </w:r>
      <w:r w:rsidRPr="008A1551">
        <w:rPr>
          <w:sz w:val="24"/>
        </w:rPr>
        <w:t>6.4</w:t>
      </w:r>
      <w:r w:rsidRPr="008A1551">
        <w:rPr>
          <w:sz w:val="24"/>
        </w:rPr>
        <w:t>，财务报表由下列负责人签署：</w:t>
      </w:r>
    </w:p>
    <w:p w:rsidR="0039626A" w:rsidRPr="008A1551" w:rsidRDefault="007C0872" w:rsidP="009E1EA4">
      <w:pPr>
        <w:spacing w:before="29" w:line="288" w:lineRule="auto"/>
        <w:rPr>
          <w:sz w:val="24"/>
        </w:rPr>
      </w:pPr>
      <w:r w:rsidRPr="008A1551">
        <w:rPr>
          <w:sz w:val="24"/>
        </w:rPr>
        <w:t>基金管理人</w:t>
      </w:r>
      <w:r w:rsidR="0039626A" w:rsidRPr="008A1551">
        <w:rPr>
          <w:sz w:val="24"/>
        </w:rPr>
        <w:t>负责人：谢卫，主管会计工作负责人：</w:t>
      </w:r>
      <w:proofErr w:type="gramStart"/>
      <w:r w:rsidR="0039626A" w:rsidRPr="008A1551">
        <w:rPr>
          <w:sz w:val="24"/>
        </w:rPr>
        <w:t>夏华龙</w:t>
      </w:r>
      <w:proofErr w:type="gramEnd"/>
      <w:r w:rsidR="0039626A" w:rsidRPr="008A1551">
        <w:rPr>
          <w:sz w:val="24"/>
        </w:rPr>
        <w:t>，会计机构负责人：单江</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0" w:name="_Toc331410100"/>
      <w:bookmarkStart w:id="51" w:name="_Toc225498271"/>
      <w:r w:rsidRPr="008A1551">
        <w:rPr>
          <w:rFonts w:ascii="Times New Roman" w:hAnsi="Times New Roman"/>
          <w:kern w:val="0"/>
          <w:szCs w:val="24"/>
        </w:rPr>
        <w:t xml:space="preserve">6.4 </w:t>
      </w:r>
      <w:r w:rsidRPr="008A1551">
        <w:rPr>
          <w:rFonts w:ascii="Times New Roman" w:hAnsi="Times New Roman"/>
          <w:kern w:val="0"/>
          <w:szCs w:val="24"/>
        </w:rPr>
        <w:t>报表附注</w:t>
      </w:r>
      <w:bookmarkEnd w:id="50"/>
      <w:bookmarkEnd w:id="51"/>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6.4.1 </w:t>
      </w:r>
      <w:r w:rsidRPr="008A1551">
        <w:rPr>
          <w:b/>
          <w:color w:val="000000"/>
          <w:kern w:val="0"/>
          <w:sz w:val="24"/>
        </w:rPr>
        <w:t>基金基本情况</w:t>
      </w:r>
    </w:p>
    <w:p w:rsidR="004957AA" w:rsidRDefault="00EF5A3D">
      <w:pPr>
        <w:spacing w:before="29" w:line="288" w:lineRule="auto"/>
        <w:ind w:firstLineChars="200" w:firstLine="480"/>
        <w:rPr>
          <w:color w:val="000000"/>
          <w:sz w:val="24"/>
        </w:rPr>
      </w:pPr>
      <w:r>
        <w:rPr>
          <w:color w:val="000000"/>
          <w:sz w:val="24"/>
        </w:rPr>
        <w:t>交银施罗德丰润收益债券型证券投资基金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[2014]1116</w:t>
      </w:r>
      <w:r>
        <w:rPr>
          <w:color w:val="000000"/>
          <w:sz w:val="24"/>
        </w:rPr>
        <w:t>号《关于准予交银施罗德丰润收益债券型证券投资基金注册的批复》核准，由交银施罗德基金管理有限公司依照《中华人民共和国证券投资基金法》和《交银施罗德丰润收益债券型证券投资基金基金合同》负责公开募集。本基金为契约型基金，存续期限不定，本基金在基金合同生效之日起两年（含两年）的期间内封闭式运作（按照基金合同的约定提前转换基金运作方式的除外</w:t>
      </w:r>
      <w:r>
        <w:rPr>
          <w:color w:val="000000"/>
          <w:sz w:val="24"/>
        </w:rPr>
        <w:t>)</w:t>
      </w:r>
      <w:r>
        <w:rPr>
          <w:color w:val="000000"/>
          <w:sz w:val="24"/>
        </w:rPr>
        <w:t>，封闭期结束后转为开放式运作，本基金首次设立募集不包括认购资金利息共募集人民币</w:t>
      </w:r>
      <w:r>
        <w:rPr>
          <w:color w:val="000000"/>
          <w:sz w:val="24"/>
        </w:rPr>
        <w:t>425,272,011.28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(2014)</w:t>
      </w:r>
      <w:r>
        <w:rPr>
          <w:color w:val="000000"/>
          <w:sz w:val="24"/>
        </w:rPr>
        <w:t>第</w:t>
      </w:r>
      <w:r>
        <w:rPr>
          <w:color w:val="000000"/>
          <w:sz w:val="24"/>
        </w:rPr>
        <w:t>789</w:t>
      </w:r>
      <w:r>
        <w:rPr>
          <w:color w:val="000000"/>
          <w:sz w:val="24"/>
        </w:rPr>
        <w:t>号验资报告予以验证。经向中国证监会备案，《交银施罗德丰润收益债券型证券投资基金基金合同》于</w:t>
      </w:r>
      <w:r>
        <w:rPr>
          <w:color w:val="000000"/>
          <w:sz w:val="24"/>
        </w:rPr>
        <w:t>2014</w:t>
      </w:r>
      <w:r>
        <w:rPr>
          <w:color w:val="000000"/>
          <w:sz w:val="24"/>
        </w:rPr>
        <w:t>年</w:t>
      </w:r>
      <w:r>
        <w:rPr>
          <w:color w:val="000000"/>
          <w:sz w:val="24"/>
        </w:rPr>
        <w:t>12</w:t>
      </w:r>
      <w:r>
        <w:rPr>
          <w:color w:val="000000"/>
          <w:sz w:val="24"/>
        </w:rPr>
        <w:t>月</w:t>
      </w:r>
      <w:r>
        <w:rPr>
          <w:color w:val="000000"/>
          <w:sz w:val="24"/>
        </w:rPr>
        <w:t>15</w:t>
      </w:r>
      <w:r>
        <w:rPr>
          <w:color w:val="000000"/>
          <w:sz w:val="24"/>
        </w:rPr>
        <w:t>日正式生效，基金合同生效日的基金份额总额为</w:t>
      </w:r>
      <w:r>
        <w:rPr>
          <w:color w:val="000000"/>
          <w:sz w:val="24"/>
        </w:rPr>
        <w:t>425,488,278.42</w:t>
      </w:r>
      <w:r>
        <w:rPr>
          <w:color w:val="000000"/>
          <w:sz w:val="24"/>
        </w:rPr>
        <w:t>份基金份额，其中认购资金利息折合</w:t>
      </w:r>
      <w:r>
        <w:rPr>
          <w:color w:val="000000"/>
          <w:sz w:val="24"/>
        </w:rPr>
        <w:t>216,267.14</w:t>
      </w:r>
      <w:r>
        <w:rPr>
          <w:color w:val="000000"/>
          <w:sz w:val="24"/>
        </w:rPr>
        <w:t>份基金份额。本基金的基金管理人为交银施罗德基金管理有限公司，基金托管人为中信银行股份有限公司。</w:t>
      </w:r>
      <w:r>
        <w:rPr>
          <w:color w:val="000000"/>
          <w:sz w:val="24"/>
        </w:rPr>
        <w:t xml:space="preserve"> </w:t>
      </w:r>
    </w:p>
    <w:p w:rsidR="004957AA" w:rsidRDefault="004957AA">
      <w:pPr>
        <w:spacing w:before="29" w:line="288" w:lineRule="auto"/>
        <w:ind w:firstLineChars="200" w:firstLine="480"/>
        <w:rPr>
          <w:color w:val="000000"/>
          <w:sz w:val="24"/>
        </w:rPr>
      </w:pPr>
    </w:p>
    <w:p w:rsidR="004957AA" w:rsidRDefault="00EF5A3D">
      <w:pPr>
        <w:spacing w:before="29" w:line="288" w:lineRule="auto"/>
        <w:ind w:firstLineChars="200" w:firstLine="480"/>
        <w:rPr>
          <w:color w:val="000000"/>
          <w:sz w:val="24"/>
        </w:rPr>
      </w:pPr>
      <w:r>
        <w:rPr>
          <w:color w:val="000000"/>
          <w:sz w:val="24"/>
        </w:rPr>
        <w:t>根据《交银施罗德丰润收益债券型证券投资基金基金合同》和《交银施罗德丰润收益债券型证券投资基金招募说明书》，认购</w:t>
      </w:r>
      <w:r>
        <w:rPr>
          <w:color w:val="000000"/>
          <w:sz w:val="24"/>
        </w:rPr>
        <w:t>/</w:t>
      </w:r>
      <w:r>
        <w:rPr>
          <w:color w:val="000000"/>
          <w:sz w:val="24"/>
        </w:rPr>
        <w:t>申购费用、赎回费用、销售服务费收取方式的不同，将基金份额分为不同的类别。在投资人认购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类基金份额，在投资人申购时不收取申购费用、赎回时收取后端申购费用和赎回费用的，称为</w:t>
      </w:r>
      <w:r>
        <w:rPr>
          <w:color w:val="000000"/>
          <w:sz w:val="24"/>
        </w:rPr>
        <w:t>B</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申购费用，赎回时收取短期赎回费，并从本类别基金资产中计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类基金份额；本基金募集期内开放</w:t>
      </w:r>
      <w:r>
        <w:rPr>
          <w:color w:val="000000"/>
          <w:sz w:val="24"/>
        </w:rPr>
        <w:t>A</w:t>
      </w:r>
      <w:r>
        <w:rPr>
          <w:color w:val="000000"/>
          <w:sz w:val="24"/>
        </w:rPr>
        <w:t>类基金份额和</w:t>
      </w:r>
      <w:r>
        <w:rPr>
          <w:color w:val="000000"/>
          <w:sz w:val="24"/>
        </w:rPr>
        <w:t>C</w:t>
      </w:r>
      <w:r>
        <w:rPr>
          <w:color w:val="000000"/>
          <w:sz w:val="24"/>
        </w:rPr>
        <w:t>类基金份额的认购，基金转为开放式运作后可视业务情况择时增开</w:t>
      </w:r>
      <w:r>
        <w:rPr>
          <w:color w:val="000000"/>
          <w:sz w:val="24"/>
        </w:rPr>
        <w:t>B</w:t>
      </w:r>
      <w:r>
        <w:rPr>
          <w:color w:val="000000"/>
          <w:sz w:val="24"/>
        </w:rPr>
        <w:t>类基金份额的申购。根据《交银施罗德丰润收益债券型证券投资基金基金合同》、《交银施罗德丰润收益债券型证券投资基金招募说明书》及《关于交银施罗德丰润收益债券型证券投资基金封闭期结束转为开放式运作暨开放日常申购、赎回、定期定额投资业务并参与部分销售机构申购费率优惠活动的公告》的相关规定，本基金在基金合同生效之日起两年</w:t>
      </w:r>
      <w:r>
        <w:rPr>
          <w:color w:val="000000"/>
          <w:sz w:val="24"/>
        </w:rPr>
        <w:t>(</w:t>
      </w:r>
      <w:r>
        <w:rPr>
          <w:color w:val="000000"/>
          <w:sz w:val="24"/>
        </w:rPr>
        <w:t>含两年</w:t>
      </w:r>
      <w:r>
        <w:rPr>
          <w:color w:val="000000"/>
          <w:sz w:val="24"/>
        </w:rPr>
        <w:t>)</w:t>
      </w:r>
      <w:r>
        <w:rPr>
          <w:color w:val="000000"/>
          <w:sz w:val="24"/>
        </w:rPr>
        <w:t>的期间内，采取封闭式运作，封闭期结束后转为开放式基金。本基金封闭期自</w:t>
      </w:r>
      <w:r>
        <w:rPr>
          <w:color w:val="000000"/>
          <w:sz w:val="24"/>
        </w:rPr>
        <w:t>2014</w:t>
      </w:r>
      <w:r>
        <w:rPr>
          <w:color w:val="000000"/>
          <w:sz w:val="24"/>
        </w:rPr>
        <w:t>年</w:t>
      </w:r>
      <w:r>
        <w:rPr>
          <w:color w:val="000000"/>
          <w:sz w:val="24"/>
        </w:rPr>
        <w:t>12</w:t>
      </w:r>
      <w:r>
        <w:rPr>
          <w:color w:val="000000"/>
          <w:sz w:val="24"/>
        </w:rPr>
        <w:t>月</w:t>
      </w:r>
      <w:r>
        <w:rPr>
          <w:color w:val="000000"/>
          <w:sz w:val="24"/>
        </w:rPr>
        <w:t>15</w:t>
      </w:r>
      <w:r>
        <w:rPr>
          <w:color w:val="000000"/>
          <w:sz w:val="24"/>
        </w:rPr>
        <w:t>日</w:t>
      </w:r>
      <w:r>
        <w:rPr>
          <w:color w:val="000000"/>
          <w:sz w:val="24"/>
        </w:rPr>
        <w:t>(</w:t>
      </w:r>
      <w:r>
        <w:rPr>
          <w:color w:val="000000"/>
          <w:sz w:val="24"/>
        </w:rPr>
        <w:t>基金合同生效日</w:t>
      </w:r>
      <w:r>
        <w:rPr>
          <w:color w:val="000000"/>
          <w:sz w:val="24"/>
        </w:rPr>
        <w:t>)</w:t>
      </w:r>
      <w:r>
        <w:rPr>
          <w:color w:val="000000"/>
          <w:sz w:val="24"/>
        </w:rPr>
        <w:t>至</w:t>
      </w:r>
      <w:r>
        <w:rPr>
          <w:color w:val="000000"/>
          <w:sz w:val="24"/>
        </w:rPr>
        <w:t>2016</w:t>
      </w:r>
      <w:r>
        <w:rPr>
          <w:color w:val="000000"/>
          <w:sz w:val="24"/>
        </w:rPr>
        <w:t>年</w:t>
      </w:r>
      <w:r>
        <w:rPr>
          <w:color w:val="000000"/>
          <w:sz w:val="24"/>
        </w:rPr>
        <w:t>12</w:t>
      </w:r>
      <w:r>
        <w:rPr>
          <w:color w:val="000000"/>
          <w:sz w:val="24"/>
        </w:rPr>
        <w:t>月</w:t>
      </w:r>
      <w:r>
        <w:rPr>
          <w:color w:val="000000"/>
          <w:sz w:val="24"/>
        </w:rPr>
        <w:t>15</w:t>
      </w:r>
      <w:r>
        <w:rPr>
          <w:color w:val="000000"/>
          <w:sz w:val="24"/>
        </w:rPr>
        <w:t>日止，自</w:t>
      </w:r>
      <w:r>
        <w:rPr>
          <w:color w:val="000000"/>
          <w:sz w:val="24"/>
        </w:rPr>
        <w:t>2016</w:t>
      </w:r>
      <w:r>
        <w:rPr>
          <w:color w:val="000000"/>
          <w:sz w:val="24"/>
        </w:rPr>
        <w:t>年</w:t>
      </w:r>
      <w:r>
        <w:rPr>
          <w:color w:val="000000"/>
          <w:sz w:val="24"/>
        </w:rPr>
        <w:t>12</w:t>
      </w:r>
      <w:r>
        <w:rPr>
          <w:color w:val="000000"/>
          <w:sz w:val="24"/>
        </w:rPr>
        <w:t>月</w:t>
      </w:r>
      <w:r>
        <w:rPr>
          <w:color w:val="000000"/>
          <w:sz w:val="24"/>
        </w:rPr>
        <w:t>16</w:t>
      </w:r>
      <w:r>
        <w:rPr>
          <w:color w:val="000000"/>
          <w:sz w:val="24"/>
        </w:rPr>
        <w:t>日起转为开放式运作，并自该日起开始办理日常申购、赎回业务。</w:t>
      </w:r>
      <w:r>
        <w:rPr>
          <w:color w:val="000000"/>
          <w:sz w:val="24"/>
        </w:rPr>
        <w:t xml:space="preserve"> </w:t>
      </w:r>
    </w:p>
    <w:p w:rsidR="004957AA" w:rsidRDefault="004957AA">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根据《中华人民共和国证券投资基金法》和《交银施罗德丰润收益债券型证券投资基金基金合同》的有关规定，本基金的投资范围为具有良好流动性的金融工具，包括国内依法发行交易的国债、金融债、央行票据、地方政府债、企业债、公司债、分离交易可转债的纯债、次级债、资产支持证券、短期融资</w:t>
      </w:r>
      <w:proofErr w:type="gramStart"/>
      <w:r w:rsidRPr="008A1551">
        <w:rPr>
          <w:color w:val="000000"/>
          <w:sz w:val="24"/>
        </w:rPr>
        <w:t>券</w:t>
      </w:r>
      <w:proofErr w:type="gramEnd"/>
      <w:r w:rsidRPr="008A1551">
        <w:rPr>
          <w:color w:val="000000"/>
          <w:sz w:val="24"/>
        </w:rPr>
        <w:t>、中期票据、债券回购、银行存款、货币市场工具等固定收益类资产和法律法规允许投资的其他金融工具。其中，封闭期内，本基金所投企业债和公司债信用评级需在</w:t>
      </w:r>
      <w:r w:rsidRPr="008A1551">
        <w:rPr>
          <w:color w:val="000000"/>
          <w:sz w:val="24"/>
        </w:rPr>
        <w:t>AA</w:t>
      </w:r>
      <w:r w:rsidRPr="008A1551">
        <w:rPr>
          <w:color w:val="000000"/>
          <w:sz w:val="24"/>
        </w:rPr>
        <w:t>级（含）以上。本基金不直接在二级市场买入股票、权证等权益类资产，也不参与一级市场新股申购和新股增发。同时本基金不参与可转换债券投资（分离交易可转债的</w:t>
      </w:r>
      <w:proofErr w:type="gramStart"/>
      <w:r w:rsidRPr="008A1551">
        <w:rPr>
          <w:color w:val="000000"/>
          <w:sz w:val="24"/>
        </w:rPr>
        <w:t>纯债部分</w:t>
      </w:r>
      <w:proofErr w:type="gramEnd"/>
      <w:r w:rsidRPr="008A1551">
        <w:rPr>
          <w:color w:val="000000"/>
          <w:sz w:val="24"/>
        </w:rPr>
        <w:t>除外）。如法律法规或监管机构以后允许基金投资其他品种，基金管理人在履行适当程序后，可以将其纳入投资范围。基金的投资组合比例为投资于债券资产的比例不低于基金资产的</w:t>
      </w:r>
      <w:r w:rsidRPr="008A1551">
        <w:rPr>
          <w:color w:val="000000"/>
          <w:sz w:val="24"/>
        </w:rPr>
        <w:t>80%</w:t>
      </w:r>
      <w:r w:rsidRPr="008A1551">
        <w:rPr>
          <w:color w:val="000000"/>
          <w:sz w:val="24"/>
        </w:rPr>
        <w:t>，但在封闭期结束前三个月和</w:t>
      </w:r>
      <w:proofErr w:type="gramStart"/>
      <w:r w:rsidRPr="008A1551">
        <w:rPr>
          <w:color w:val="000000"/>
          <w:sz w:val="24"/>
        </w:rPr>
        <w:t>转开放</w:t>
      </w:r>
      <w:proofErr w:type="gramEnd"/>
      <w:r w:rsidRPr="008A1551">
        <w:rPr>
          <w:color w:val="000000"/>
          <w:sz w:val="24"/>
        </w:rPr>
        <w:t>后三个月内，基金投资不受上述债券资产投资比例限制。本基金在开放期内，现金或到期日在一年以内的政府债券的比例合计不低于基金资产净值的</w:t>
      </w:r>
      <w:r w:rsidRPr="008A1551">
        <w:rPr>
          <w:color w:val="000000"/>
          <w:sz w:val="24"/>
        </w:rPr>
        <w:t>5%</w:t>
      </w:r>
      <w:r w:rsidRPr="008A1551">
        <w:rPr>
          <w:color w:val="000000"/>
          <w:sz w:val="24"/>
        </w:rPr>
        <w:t>，其中现金不包括结算备付金、存出保证金和应收申购款等。本基金封闭期内投资的业绩比较基准为两年期银行定期存款税后收益率</w:t>
      </w:r>
      <w:r w:rsidRPr="008A1551">
        <w:rPr>
          <w:color w:val="000000"/>
          <w:sz w:val="24"/>
        </w:rPr>
        <w:t>+1.25%</w:t>
      </w:r>
      <w:r w:rsidRPr="008A1551">
        <w:rPr>
          <w:color w:val="000000"/>
          <w:sz w:val="24"/>
        </w:rPr>
        <w:t>，本基金开放期内投资的业绩比较基准为中</w:t>
      </w:r>
      <w:proofErr w:type="gramStart"/>
      <w:r w:rsidRPr="008A1551">
        <w:rPr>
          <w:color w:val="000000"/>
          <w:sz w:val="24"/>
        </w:rPr>
        <w:t>债综合</w:t>
      </w:r>
      <w:proofErr w:type="gramEnd"/>
      <w:r w:rsidRPr="008A1551">
        <w:rPr>
          <w:color w:val="000000"/>
          <w:sz w:val="24"/>
        </w:rPr>
        <w:t>全价指数。</w:t>
      </w:r>
    </w:p>
    <w:p w:rsidR="001548F9" w:rsidRPr="008A1551" w:rsidRDefault="001548F9" w:rsidP="009E1EA4">
      <w:pPr>
        <w:tabs>
          <w:tab w:val="left" w:pos="2265"/>
        </w:tabs>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6.4.2 </w:t>
      </w:r>
      <w:r w:rsidRPr="008A1551">
        <w:rPr>
          <w:b/>
          <w:color w:val="000000"/>
          <w:kern w:val="0"/>
          <w:sz w:val="24"/>
        </w:rPr>
        <w:t>会计报表的编制基础</w:t>
      </w:r>
    </w:p>
    <w:p w:rsidR="004957AA" w:rsidRDefault="00EF5A3D">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颁布的《证券投资基金会计核算业务指引》、《交银施罗德丰润收益债券型证券投资基金基金合同》和在财务报表附注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4957AA" w:rsidRDefault="004957AA">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本财务报表以持续经营为基础编制。</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6.4.3 </w:t>
      </w:r>
      <w:r w:rsidRPr="008A1551">
        <w:rPr>
          <w:b/>
          <w:color w:val="000000"/>
          <w:kern w:val="0"/>
          <w:sz w:val="24"/>
        </w:rPr>
        <w:t>遵循企业会计准则及其他有关规定的声明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w:t>
      </w:r>
      <w:r w:rsidRPr="008A1551">
        <w:rPr>
          <w:color w:val="000000"/>
          <w:sz w:val="24"/>
        </w:rPr>
        <w:t>2019</w:t>
      </w:r>
      <w:r w:rsidRPr="008A1551">
        <w:rPr>
          <w:color w:val="000000"/>
          <w:sz w:val="24"/>
        </w:rPr>
        <w:t>上半年度财务报表符合企业会计准则的要求，真实、完整地反映了本基金</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日的财务状况以及</w:t>
      </w:r>
      <w:r w:rsidRPr="008A1551">
        <w:rPr>
          <w:color w:val="000000"/>
          <w:sz w:val="24"/>
        </w:rPr>
        <w:t>2019</w:t>
      </w:r>
      <w:r w:rsidRPr="008A1551">
        <w:rPr>
          <w:color w:val="000000"/>
          <w:sz w:val="24"/>
        </w:rPr>
        <w:t>上半年度的经营成果和基金净值变动情况等有关信息。</w:t>
      </w:r>
    </w:p>
    <w:p w:rsidR="001548F9" w:rsidRPr="008A1551" w:rsidRDefault="001548F9" w:rsidP="009E1EA4">
      <w:pPr>
        <w:spacing w:before="29" w:line="288" w:lineRule="auto"/>
        <w:ind w:firstLineChars="200" w:firstLine="482"/>
        <w:rPr>
          <w:b/>
          <w:color w:val="000000"/>
          <w:sz w:val="24"/>
        </w:rPr>
      </w:pPr>
    </w:p>
    <w:p w:rsidR="00445FEE" w:rsidRPr="008A1551" w:rsidRDefault="00AE4D36" w:rsidP="009E1EA4">
      <w:pPr>
        <w:autoSpaceDE w:val="0"/>
        <w:autoSpaceDN w:val="0"/>
        <w:adjustRightInd w:val="0"/>
        <w:snapToGrid w:val="0"/>
        <w:spacing w:before="29" w:line="288" w:lineRule="auto"/>
        <w:jc w:val="left"/>
        <w:rPr>
          <w:b/>
          <w:color w:val="000000"/>
          <w:kern w:val="0"/>
          <w:sz w:val="24"/>
        </w:rPr>
      </w:pPr>
      <w:r w:rsidRPr="008A1551">
        <w:rPr>
          <w:b/>
          <w:bCs/>
          <w:kern w:val="0"/>
          <w:sz w:val="24"/>
        </w:rPr>
        <w:t>6.4.4</w:t>
      </w:r>
      <w:r w:rsidRPr="008A1551">
        <w:rPr>
          <w:b/>
          <w:kern w:val="0"/>
          <w:sz w:val="24"/>
        </w:rPr>
        <w:t>本报告期所采用的会计政策、会计估计与最近一期年</w:t>
      </w:r>
      <w:proofErr w:type="gramStart"/>
      <w:r w:rsidRPr="008A1551">
        <w:rPr>
          <w:b/>
          <w:kern w:val="0"/>
          <w:sz w:val="24"/>
        </w:rPr>
        <w:t>度报告</w:t>
      </w:r>
      <w:proofErr w:type="gramEnd"/>
      <w:r w:rsidRPr="008A1551">
        <w:rPr>
          <w:b/>
          <w:kern w:val="0"/>
          <w:sz w:val="24"/>
        </w:rPr>
        <w:t>相一致的说明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本报告期所采用的会计政策、会计估计与最近一期年</w:t>
      </w:r>
      <w:proofErr w:type="gramStart"/>
      <w:r w:rsidRPr="008A1551">
        <w:rPr>
          <w:color w:val="000000"/>
          <w:sz w:val="24"/>
        </w:rPr>
        <w:t>度报告</w:t>
      </w:r>
      <w:proofErr w:type="gramEnd"/>
      <w:r w:rsidRPr="008A1551">
        <w:rPr>
          <w:color w:val="000000"/>
          <w:sz w:val="24"/>
        </w:rPr>
        <w:t>相一致。</w:t>
      </w:r>
    </w:p>
    <w:p w:rsidR="002E1DC2" w:rsidRPr="008A1551" w:rsidRDefault="002E1DC2" w:rsidP="009E1EA4">
      <w:pPr>
        <w:autoSpaceDE w:val="0"/>
        <w:autoSpaceDN w:val="0"/>
        <w:adjustRightInd w:val="0"/>
        <w:snapToGrid w:val="0"/>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6.4.5 </w:t>
      </w:r>
      <w:r w:rsidRPr="008A1551">
        <w:rPr>
          <w:b/>
          <w:color w:val="000000"/>
          <w:kern w:val="0"/>
          <w:sz w:val="24"/>
        </w:rPr>
        <w:t>会计政策和会计估计变更以及差错更正的说明</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6.4.5.1</w:t>
      </w:r>
      <w:r w:rsidRPr="008A1551">
        <w:rPr>
          <w:b/>
          <w:color w:val="000000"/>
          <w:kern w:val="0"/>
          <w:sz w:val="24"/>
        </w:rPr>
        <w:t>会计政策变更的说明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本基金本报告期未发生会计政策变更。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6.4.5.2</w:t>
      </w:r>
      <w:r w:rsidRPr="008A1551">
        <w:rPr>
          <w:b/>
          <w:color w:val="000000"/>
          <w:kern w:val="0"/>
          <w:sz w:val="24"/>
        </w:rPr>
        <w:t>会计估计变更的说明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本基金本报告期未发生会计估计变更。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6.4.5.3</w:t>
      </w:r>
      <w:r w:rsidRPr="008A1551">
        <w:rPr>
          <w:b/>
          <w:color w:val="000000"/>
          <w:kern w:val="0"/>
          <w:sz w:val="24"/>
        </w:rPr>
        <w:t>差错更正的说明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本基金在本报告期间无须说明的会计差错更正。</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6.4.6 </w:t>
      </w:r>
      <w:r w:rsidRPr="008A1551">
        <w:rPr>
          <w:b/>
          <w:color w:val="000000"/>
          <w:kern w:val="0"/>
          <w:sz w:val="24"/>
        </w:rPr>
        <w:t>税项</w:t>
      </w:r>
    </w:p>
    <w:p w:rsidR="004957AA" w:rsidRDefault="00EF5A3D">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4957AA" w:rsidRDefault="004957AA">
      <w:pPr>
        <w:spacing w:before="29" w:line="288" w:lineRule="auto"/>
        <w:ind w:firstLineChars="200" w:firstLine="480"/>
        <w:rPr>
          <w:color w:val="000000"/>
          <w:sz w:val="24"/>
        </w:rPr>
      </w:pPr>
    </w:p>
    <w:p w:rsidR="004957AA" w:rsidRDefault="004957AA">
      <w:pPr>
        <w:spacing w:before="29" w:line="288" w:lineRule="auto"/>
        <w:ind w:firstLineChars="200" w:firstLine="480"/>
        <w:rPr>
          <w:color w:val="000000"/>
          <w:sz w:val="24"/>
        </w:rPr>
      </w:pPr>
    </w:p>
    <w:p w:rsidR="004957AA" w:rsidRDefault="00EF5A3D">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4957AA" w:rsidRDefault="004957AA">
      <w:pPr>
        <w:spacing w:before="29" w:line="288" w:lineRule="auto"/>
        <w:ind w:firstLineChars="200" w:firstLine="480"/>
        <w:rPr>
          <w:color w:val="000000"/>
          <w:sz w:val="24"/>
        </w:rPr>
      </w:pPr>
    </w:p>
    <w:p w:rsidR="004957AA" w:rsidRDefault="00EF5A3D">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4957AA" w:rsidRDefault="004957AA">
      <w:pPr>
        <w:spacing w:before="29" w:line="288" w:lineRule="auto"/>
        <w:ind w:firstLineChars="200" w:firstLine="480"/>
        <w:rPr>
          <w:color w:val="000000"/>
          <w:sz w:val="24"/>
        </w:rPr>
      </w:pPr>
    </w:p>
    <w:p w:rsidR="004957AA" w:rsidRDefault="004957AA">
      <w:pPr>
        <w:spacing w:before="29" w:line="288" w:lineRule="auto"/>
        <w:ind w:firstLineChars="200" w:firstLine="480"/>
        <w:rPr>
          <w:color w:val="000000"/>
          <w:sz w:val="24"/>
        </w:rPr>
      </w:pPr>
    </w:p>
    <w:p w:rsidR="004957AA" w:rsidRDefault="00EF5A3D">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4957AA" w:rsidRDefault="004957AA">
      <w:pPr>
        <w:spacing w:before="29" w:line="288" w:lineRule="auto"/>
        <w:ind w:firstLineChars="200" w:firstLine="480"/>
        <w:rPr>
          <w:color w:val="000000"/>
          <w:sz w:val="24"/>
        </w:rPr>
      </w:pPr>
    </w:p>
    <w:p w:rsidR="004957AA" w:rsidRDefault="00EF5A3D">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4957AA" w:rsidRDefault="004957AA">
      <w:pPr>
        <w:spacing w:before="29" w:line="288" w:lineRule="auto"/>
        <w:ind w:firstLineChars="200" w:firstLine="480"/>
        <w:rPr>
          <w:color w:val="000000"/>
          <w:sz w:val="24"/>
        </w:rPr>
      </w:pPr>
    </w:p>
    <w:p w:rsidR="004957AA" w:rsidRDefault="00EF5A3D">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4957AA" w:rsidRDefault="004957AA">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(5)</w:t>
      </w:r>
      <w:r w:rsidRPr="008A1551">
        <w:rPr>
          <w:color w:val="000000"/>
          <w:sz w:val="24"/>
        </w:rPr>
        <w:t>本基金的城市维护建设税、教育费附加和地方教育费附加等税费按照实际缴纳增值税额的适用比例计算缴纳。</w:t>
      </w:r>
    </w:p>
    <w:p w:rsidR="001548F9" w:rsidRPr="008A1551" w:rsidRDefault="001548F9" w:rsidP="009E1EA4">
      <w:pPr>
        <w:autoSpaceDE w:val="0"/>
        <w:autoSpaceDN w:val="0"/>
        <w:adjustRightInd w:val="0"/>
        <w:spacing w:before="29" w:line="288" w:lineRule="auto"/>
        <w:jc w:val="left"/>
        <w:rPr>
          <w:b/>
          <w:bCs/>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6.4.7 </w:t>
      </w:r>
      <w:r w:rsidRPr="008A1551">
        <w:rPr>
          <w:b/>
          <w:color w:val="000000"/>
          <w:kern w:val="0"/>
          <w:sz w:val="24"/>
        </w:rPr>
        <w:t>关联方关系</w:t>
      </w:r>
    </w:p>
    <w:p w:rsidR="001548F9" w:rsidRPr="008A1551" w:rsidRDefault="001548F9" w:rsidP="009E1EA4">
      <w:pPr>
        <w:spacing w:before="29" w:line="288" w:lineRule="auto"/>
        <w:rPr>
          <w:b/>
          <w:kern w:val="0"/>
          <w:sz w:val="24"/>
        </w:rPr>
      </w:pPr>
      <w:r w:rsidRPr="008A1551">
        <w:rPr>
          <w:b/>
          <w:bCs/>
          <w:color w:val="000000"/>
          <w:kern w:val="0"/>
          <w:sz w:val="24"/>
        </w:rPr>
        <w:t>6.4.7.1</w:t>
      </w:r>
      <w:r w:rsidRPr="008A1551">
        <w:rPr>
          <w:b/>
          <w:kern w:val="0"/>
          <w:sz w:val="24"/>
        </w:rPr>
        <w:t>本报告期存在控制关系或其他重大利害关系的关联方发生变化的情况</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本基金本报告期内存在控制关系或其他重大利害关系的关联方未发生变化。</w:t>
      </w:r>
    </w:p>
    <w:p w:rsidR="001548F9" w:rsidRPr="008A1551" w:rsidRDefault="001548F9" w:rsidP="009E1EA4">
      <w:pPr>
        <w:autoSpaceDE w:val="0"/>
        <w:autoSpaceDN w:val="0"/>
        <w:adjustRightInd w:val="0"/>
        <w:spacing w:before="29" w:line="288" w:lineRule="auto"/>
        <w:ind w:firstLine="405"/>
        <w:jc w:val="left"/>
        <w:rPr>
          <w:b/>
          <w:color w:val="000000"/>
          <w:kern w:val="0"/>
          <w:sz w:val="24"/>
        </w:rPr>
      </w:pPr>
    </w:p>
    <w:p w:rsidR="001548F9" w:rsidRPr="008A1551" w:rsidRDefault="001548F9" w:rsidP="009E1EA4">
      <w:pPr>
        <w:spacing w:before="29" w:line="288" w:lineRule="auto"/>
        <w:rPr>
          <w:b/>
          <w:kern w:val="0"/>
          <w:sz w:val="24"/>
        </w:rPr>
      </w:pPr>
      <w:r w:rsidRPr="008A1551">
        <w:rPr>
          <w:b/>
          <w:bCs/>
          <w:color w:val="000000"/>
          <w:kern w:val="0"/>
          <w:sz w:val="24"/>
        </w:rPr>
        <w:t xml:space="preserve">6.4.7.2 </w:t>
      </w:r>
      <w:r w:rsidRPr="008A155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8A1551" w:rsidTr="00F35FEF">
        <w:tc>
          <w:tcPr>
            <w:tcW w:w="5220" w:type="dxa"/>
            <w:vAlign w:val="center"/>
          </w:tcPr>
          <w:p w:rsidR="001548F9" w:rsidRPr="008A1551" w:rsidRDefault="001548F9" w:rsidP="009E1EA4">
            <w:pPr>
              <w:spacing w:before="29" w:line="288" w:lineRule="auto"/>
              <w:jc w:val="center"/>
              <w:rPr>
                <w:color w:val="000000"/>
                <w:sz w:val="24"/>
              </w:rPr>
            </w:pPr>
            <w:r w:rsidRPr="008A1551">
              <w:rPr>
                <w:color w:val="000000"/>
                <w:sz w:val="24"/>
              </w:rPr>
              <w:t>关联方名称</w:t>
            </w:r>
          </w:p>
        </w:tc>
        <w:tc>
          <w:tcPr>
            <w:tcW w:w="3780" w:type="dxa"/>
            <w:vAlign w:val="center"/>
          </w:tcPr>
          <w:p w:rsidR="001548F9" w:rsidRPr="008A1551" w:rsidRDefault="001548F9" w:rsidP="009E1EA4">
            <w:pPr>
              <w:spacing w:before="29" w:line="288" w:lineRule="auto"/>
              <w:jc w:val="center"/>
              <w:rPr>
                <w:color w:val="000000"/>
                <w:sz w:val="24"/>
              </w:rPr>
            </w:pPr>
            <w:r w:rsidRPr="008A1551">
              <w:rPr>
                <w:color w:val="000000"/>
                <w:sz w:val="24"/>
              </w:rPr>
              <w:t>与本基金的关系</w:t>
            </w:r>
          </w:p>
        </w:tc>
      </w:tr>
      <w:tr w:rsidR="004957AA">
        <w:tc>
          <w:tcPr>
            <w:tcW w:w="5219" w:type="dxa"/>
            <w:vAlign w:val="center"/>
          </w:tcPr>
          <w:p w:rsidR="004957AA" w:rsidRDefault="00EF5A3D">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4957AA" w:rsidRDefault="00EF5A3D">
            <w:pPr>
              <w:jc w:val="left"/>
            </w:pPr>
            <w:r>
              <w:rPr>
                <w:color w:val="000000"/>
                <w:sz w:val="24"/>
              </w:rPr>
              <w:t>基金管理人、基金销售机构</w:t>
            </w:r>
          </w:p>
        </w:tc>
      </w:tr>
      <w:tr w:rsidR="004957AA">
        <w:tc>
          <w:tcPr>
            <w:tcW w:w="5219" w:type="dxa"/>
            <w:vAlign w:val="center"/>
          </w:tcPr>
          <w:p w:rsidR="004957AA" w:rsidRDefault="00EF5A3D">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4957AA" w:rsidRDefault="00EF5A3D">
            <w:pPr>
              <w:jc w:val="left"/>
            </w:pPr>
            <w:r>
              <w:rPr>
                <w:color w:val="000000"/>
                <w:sz w:val="24"/>
              </w:rPr>
              <w:t>基金托管人、基金销售机构</w:t>
            </w:r>
          </w:p>
        </w:tc>
      </w:tr>
      <w:tr w:rsidR="004957AA">
        <w:tc>
          <w:tcPr>
            <w:tcW w:w="5219" w:type="dxa"/>
            <w:vAlign w:val="center"/>
          </w:tcPr>
          <w:p w:rsidR="004957AA" w:rsidRDefault="00EF5A3D">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4957AA" w:rsidRDefault="00EF5A3D">
            <w:pPr>
              <w:jc w:val="left"/>
            </w:pPr>
            <w:r>
              <w:rPr>
                <w:color w:val="000000"/>
                <w:sz w:val="24"/>
              </w:rPr>
              <w:t>基金管理人的股东、基金销售机构</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注：下述关联交易均在正常业务范围内按一般商业条款订立。</w:t>
      </w:r>
    </w:p>
    <w:p w:rsidR="001548F9" w:rsidRPr="008A1551" w:rsidRDefault="001548F9" w:rsidP="009E1EA4">
      <w:pPr>
        <w:spacing w:before="29" w:line="288" w:lineRule="auto"/>
        <w:rPr>
          <w:color w:val="000000"/>
          <w:sz w:val="24"/>
        </w:rPr>
      </w:pPr>
      <w:r w:rsidRPr="008A1551">
        <w:rPr>
          <w:color w:val="000000"/>
          <w:sz w:val="24"/>
        </w:rPr>
        <w:tab/>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 </w:t>
      </w:r>
      <w:r w:rsidRPr="008A1551">
        <w:rPr>
          <w:b/>
          <w:color w:val="000000"/>
          <w:kern w:val="0"/>
          <w:sz w:val="24"/>
        </w:rPr>
        <w:t>本报告期及上年度可比期间的关联方交易</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6.4.8.1 </w:t>
      </w:r>
      <w:r w:rsidRPr="008A1551">
        <w:rPr>
          <w:b/>
          <w:color w:val="000000"/>
          <w:kern w:val="0"/>
          <w:sz w:val="24"/>
        </w:rPr>
        <w:t>通过关联方交易单元进行的交易</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本基金本报告期内及上年度可比期间</w:t>
      </w:r>
      <w:proofErr w:type="gramStart"/>
      <w:r w:rsidRPr="008A1551">
        <w:rPr>
          <w:color w:val="000000"/>
          <w:sz w:val="24"/>
        </w:rPr>
        <w:t>无通过</w:t>
      </w:r>
      <w:proofErr w:type="gramEnd"/>
      <w:r w:rsidRPr="008A1551">
        <w:rPr>
          <w:color w:val="000000"/>
          <w:sz w:val="24"/>
        </w:rPr>
        <w:t>关联方交易单元进行的交易。</w:t>
      </w:r>
    </w:p>
    <w:p w:rsidR="0006400C" w:rsidRPr="008A1551" w:rsidRDefault="0006400C"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 </w:t>
      </w:r>
      <w:r w:rsidRPr="008A1551">
        <w:rPr>
          <w:b/>
          <w:color w:val="000000"/>
          <w:kern w:val="0"/>
          <w:sz w:val="24"/>
        </w:rPr>
        <w:t>关联方报酬</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6.4.8.2.1 </w:t>
      </w:r>
      <w:r w:rsidRPr="008A1551">
        <w:rPr>
          <w:b/>
          <w:color w:val="000000"/>
          <w:kern w:val="0"/>
          <w:sz w:val="24"/>
        </w:rPr>
        <w:t>基金管理费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当期发生的基金应支付的管理费</w:t>
            </w:r>
          </w:p>
        </w:tc>
        <w:tc>
          <w:tcPr>
            <w:tcW w:w="2657" w:type="dxa"/>
            <w:vAlign w:val="center"/>
          </w:tcPr>
          <w:p w:rsidR="001548F9" w:rsidRPr="008A1551" w:rsidRDefault="001548F9" w:rsidP="009E1EA4">
            <w:pPr>
              <w:spacing w:before="29" w:line="288" w:lineRule="auto"/>
              <w:jc w:val="right"/>
              <w:rPr>
                <w:sz w:val="24"/>
              </w:rPr>
            </w:pPr>
            <w:r w:rsidRPr="008A1551">
              <w:rPr>
                <w:sz w:val="24"/>
              </w:rPr>
              <w:t>2,153,949.37</w:t>
            </w:r>
          </w:p>
        </w:tc>
        <w:tc>
          <w:tcPr>
            <w:tcW w:w="2657" w:type="dxa"/>
            <w:vAlign w:val="center"/>
          </w:tcPr>
          <w:p w:rsidR="001548F9" w:rsidRPr="008A1551" w:rsidRDefault="001548F9" w:rsidP="009E1EA4">
            <w:pPr>
              <w:spacing w:before="29" w:line="288" w:lineRule="auto"/>
              <w:jc w:val="right"/>
              <w:rPr>
                <w:sz w:val="24"/>
              </w:rPr>
            </w:pPr>
            <w:r w:rsidRPr="008A1551">
              <w:rPr>
                <w:sz w:val="24"/>
              </w:rPr>
              <w:t>7,523,223.90</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其中：支付销售机构的客户维护费</w:t>
            </w:r>
          </w:p>
        </w:tc>
        <w:tc>
          <w:tcPr>
            <w:tcW w:w="2657" w:type="dxa"/>
            <w:vAlign w:val="center"/>
          </w:tcPr>
          <w:p w:rsidR="001548F9" w:rsidRPr="008A1551" w:rsidRDefault="001548F9" w:rsidP="009E1EA4">
            <w:pPr>
              <w:spacing w:before="29" w:line="288" w:lineRule="auto"/>
              <w:jc w:val="right"/>
              <w:rPr>
                <w:sz w:val="24"/>
              </w:rPr>
            </w:pPr>
            <w:r w:rsidRPr="008A1551">
              <w:rPr>
                <w:sz w:val="24"/>
              </w:rPr>
              <w:t>15,405.12</w:t>
            </w:r>
          </w:p>
        </w:tc>
        <w:tc>
          <w:tcPr>
            <w:tcW w:w="2657" w:type="dxa"/>
            <w:vAlign w:val="center"/>
          </w:tcPr>
          <w:p w:rsidR="001548F9" w:rsidRPr="008A1551" w:rsidRDefault="001548F9" w:rsidP="009E1EA4">
            <w:pPr>
              <w:spacing w:before="29" w:line="288" w:lineRule="auto"/>
              <w:jc w:val="right"/>
              <w:rPr>
                <w:sz w:val="24"/>
              </w:rPr>
            </w:pPr>
            <w:r w:rsidRPr="008A1551">
              <w:rPr>
                <w:sz w:val="24"/>
              </w:rPr>
              <w:t>3,766,579.59</w:t>
            </w:r>
          </w:p>
        </w:tc>
      </w:tr>
    </w:tbl>
    <w:p w:rsidR="004957AA" w:rsidRDefault="00EF5A3D">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0.30%</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日管理人报酬＝前一日基金资产净值</w:t>
      </w:r>
      <w:r w:rsidRPr="008A1551">
        <w:rPr>
          <w:kern w:val="0"/>
          <w:sz w:val="24"/>
        </w:rPr>
        <w:t xml:space="preserve"> × 0.30%÷</w:t>
      </w:r>
      <w:r w:rsidRPr="008A1551">
        <w:rPr>
          <w:kern w:val="0"/>
          <w:sz w:val="24"/>
        </w:rPr>
        <w:t>当年天数。</w:t>
      </w:r>
    </w:p>
    <w:p w:rsidR="001548F9" w:rsidRPr="008A1551" w:rsidRDefault="001548F9" w:rsidP="009E1EA4">
      <w:pPr>
        <w:tabs>
          <w:tab w:val="left" w:pos="426"/>
        </w:tabs>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6.4.8.2.2 </w:t>
      </w:r>
      <w:r w:rsidRPr="008A1551">
        <w:rPr>
          <w:b/>
          <w:color w:val="000000"/>
          <w:kern w:val="0"/>
          <w:sz w:val="24"/>
        </w:rPr>
        <w:t>基金托管费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当期发生的基金应支付的托管费</w:t>
            </w:r>
          </w:p>
        </w:tc>
        <w:tc>
          <w:tcPr>
            <w:tcW w:w="2657" w:type="dxa"/>
            <w:vAlign w:val="center"/>
          </w:tcPr>
          <w:p w:rsidR="001548F9" w:rsidRPr="008A1551" w:rsidRDefault="001548F9" w:rsidP="009E1EA4">
            <w:pPr>
              <w:spacing w:before="29" w:line="288" w:lineRule="auto"/>
              <w:jc w:val="right"/>
              <w:rPr>
                <w:color w:val="000000"/>
                <w:kern w:val="0"/>
                <w:sz w:val="24"/>
              </w:rPr>
            </w:pPr>
            <w:r w:rsidRPr="008A1551">
              <w:rPr>
                <w:sz w:val="24"/>
              </w:rPr>
              <w:t>717,983.11</w:t>
            </w:r>
          </w:p>
        </w:tc>
        <w:tc>
          <w:tcPr>
            <w:tcW w:w="2657" w:type="dxa"/>
            <w:vAlign w:val="center"/>
          </w:tcPr>
          <w:p w:rsidR="001548F9" w:rsidRPr="008A1551" w:rsidRDefault="001548F9" w:rsidP="009E1EA4">
            <w:pPr>
              <w:spacing w:before="29" w:line="288" w:lineRule="auto"/>
              <w:jc w:val="right"/>
              <w:rPr>
                <w:color w:val="000000"/>
                <w:sz w:val="24"/>
              </w:rPr>
            </w:pPr>
            <w:r w:rsidRPr="008A1551">
              <w:rPr>
                <w:sz w:val="24"/>
              </w:rPr>
              <w:t>2,507,741.31</w:t>
            </w:r>
          </w:p>
        </w:tc>
      </w:tr>
    </w:tbl>
    <w:p w:rsidR="004957AA" w:rsidRDefault="00EF5A3D">
      <w:pPr>
        <w:tabs>
          <w:tab w:val="left" w:pos="426"/>
        </w:tabs>
        <w:spacing w:before="29" w:line="288" w:lineRule="auto"/>
        <w:jc w:val="left"/>
        <w:rPr>
          <w:kern w:val="0"/>
          <w:sz w:val="24"/>
        </w:rPr>
      </w:pPr>
      <w:r>
        <w:rPr>
          <w:kern w:val="0"/>
          <w:sz w:val="24"/>
        </w:rPr>
        <w:t>注：支付基金托管人</w:t>
      </w:r>
      <w:r>
        <w:rPr>
          <w:kern w:val="0"/>
          <w:sz w:val="24"/>
        </w:rPr>
        <w:t xml:space="preserve"> </w:t>
      </w:r>
      <w:r>
        <w:rPr>
          <w:kern w:val="0"/>
          <w:sz w:val="24"/>
        </w:rPr>
        <w:t>的托管费按前一日基金资产净值</w:t>
      </w:r>
      <w:r>
        <w:rPr>
          <w:kern w:val="0"/>
          <w:sz w:val="24"/>
        </w:rPr>
        <w:t>0.10%</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日托管费＝前一日基金资产净值</w:t>
      </w:r>
      <w:r w:rsidRPr="008A1551">
        <w:rPr>
          <w:kern w:val="0"/>
          <w:sz w:val="24"/>
        </w:rPr>
        <w:t xml:space="preserve"> × 0.10%÷</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6.4.8.2.3 </w:t>
      </w:r>
      <w:r w:rsidRPr="008A1551">
        <w:rPr>
          <w:b/>
          <w:color w:val="000000"/>
          <w:kern w:val="0"/>
          <w:sz w:val="24"/>
        </w:rPr>
        <w:t>销售服务费</w:t>
      </w:r>
    </w:p>
    <w:p w:rsidR="00552A1C" w:rsidRPr="008A1551" w:rsidRDefault="00552A1C" w:rsidP="00552A1C">
      <w:pPr>
        <w:autoSpaceDE w:val="0"/>
        <w:autoSpaceDN w:val="0"/>
        <w:adjustRightInd w:val="0"/>
        <w:spacing w:before="29" w:line="288" w:lineRule="auto"/>
        <w:ind w:left="15" w:right="210"/>
        <w:jc w:val="right"/>
        <w:rPr>
          <w:color w:val="000000"/>
          <w:szCs w:val="21"/>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本期</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交银丰润收益债券</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交银丰润收益债券</w:t>
            </w:r>
            <w:r w:rsidRPr="008A1551">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4957AA">
        <w:tc>
          <w:tcPr>
            <w:tcW w:w="2000" w:type="dxa"/>
            <w:vAlign w:val="center"/>
          </w:tcPr>
          <w:p w:rsidR="004957AA" w:rsidRDefault="00EF5A3D">
            <w:pPr>
              <w:jc w:val="left"/>
            </w:pPr>
            <w:r>
              <w:rPr>
                <w:sz w:val="24"/>
              </w:rPr>
              <w:t>中信银行</w:t>
            </w:r>
          </w:p>
        </w:tc>
        <w:tc>
          <w:tcPr>
            <w:tcW w:w="1766" w:type="dxa"/>
            <w:vAlign w:val="center"/>
          </w:tcPr>
          <w:p w:rsidR="004957AA" w:rsidRDefault="00EF5A3D">
            <w:pPr>
              <w:jc w:val="right"/>
            </w:pPr>
            <w:r>
              <w:rPr>
                <w:sz w:val="24"/>
              </w:rPr>
              <w:t>-</w:t>
            </w:r>
          </w:p>
        </w:tc>
        <w:tc>
          <w:tcPr>
            <w:tcW w:w="2162" w:type="dxa"/>
            <w:vAlign w:val="center"/>
          </w:tcPr>
          <w:p w:rsidR="004957AA" w:rsidRDefault="00EF5A3D">
            <w:pPr>
              <w:jc w:val="right"/>
            </w:pPr>
            <w:r>
              <w:rPr>
                <w:sz w:val="24"/>
              </w:rPr>
              <w:t>599.84</w:t>
            </w:r>
          </w:p>
        </w:tc>
        <w:tc>
          <w:tcPr>
            <w:tcW w:w="3070" w:type="dxa"/>
            <w:vAlign w:val="center"/>
          </w:tcPr>
          <w:p w:rsidR="004957AA" w:rsidRDefault="00EF5A3D">
            <w:pPr>
              <w:jc w:val="right"/>
            </w:pPr>
            <w:r>
              <w:rPr>
                <w:sz w:val="24"/>
              </w:rPr>
              <w:t>599.84</w:t>
            </w:r>
          </w:p>
        </w:tc>
      </w:tr>
      <w:tr w:rsidR="004957AA">
        <w:tc>
          <w:tcPr>
            <w:tcW w:w="2000" w:type="dxa"/>
            <w:vAlign w:val="center"/>
          </w:tcPr>
          <w:p w:rsidR="004957AA" w:rsidRDefault="00EF5A3D">
            <w:pPr>
              <w:jc w:val="left"/>
            </w:pPr>
            <w:r>
              <w:rPr>
                <w:sz w:val="24"/>
              </w:rPr>
              <w:t>交通银行</w:t>
            </w:r>
          </w:p>
        </w:tc>
        <w:tc>
          <w:tcPr>
            <w:tcW w:w="1766" w:type="dxa"/>
            <w:vAlign w:val="center"/>
          </w:tcPr>
          <w:p w:rsidR="004957AA" w:rsidRDefault="00EF5A3D">
            <w:pPr>
              <w:jc w:val="right"/>
            </w:pPr>
            <w:r>
              <w:rPr>
                <w:sz w:val="24"/>
              </w:rPr>
              <w:t>-</w:t>
            </w:r>
          </w:p>
        </w:tc>
        <w:tc>
          <w:tcPr>
            <w:tcW w:w="2162" w:type="dxa"/>
            <w:vAlign w:val="center"/>
          </w:tcPr>
          <w:p w:rsidR="004957AA" w:rsidRDefault="00EF5A3D">
            <w:pPr>
              <w:jc w:val="right"/>
            </w:pPr>
            <w:r>
              <w:rPr>
                <w:sz w:val="24"/>
              </w:rPr>
              <w:t>616.86</w:t>
            </w:r>
          </w:p>
        </w:tc>
        <w:tc>
          <w:tcPr>
            <w:tcW w:w="3070" w:type="dxa"/>
            <w:vAlign w:val="center"/>
          </w:tcPr>
          <w:p w:rsidR="004957AA" w:rsidRDefault="00EF5A3D">
            <w:pPr>
              <w:jc w:val="right"/>
            </w:pPr>
            <w:r>
              <w:rPr>
                <w:sz w:val="24"/>
              </w:rPr>
              <w:t>616.86</w:t>
            </w:r>
          </w:p>
        </w:tc>
      </w:tr>
      <w:tr w:rsidR="004957AA">
        <w:tc>
          <w:tcPr>
            <w:tcW w:w="2000" w:type="dxa"/>
            <w:vAlign w:val="center"/>
          </w:tcPr>
          <w:p w:rsidR="004957AA" w:rsidRDefault="00EF5A3D">
            <w:pPr>
              <w:jc w:val="left"/>
            </w:pPr>
            <w:r>
              <w:rPr>
                <w:sz w:val="24"/>
              </w:rPr>
              <w:t>交银施罗德基金公司</w:t>
            </w:r>
          </w:p>
        </w:tc>
        <w:tc>
          <w:tcPr>
            <w:tcW w:w="1766" w:type="dxa"/>
            <w:vAlign w:val="center"/>
          </w:tcPr>
          <w:p w:rsidR="004957AA" w:rsidRDefault="00EF5A3D">
            <w:pPr>
              <w:jc w:val="right"/>
            </w:pPr>
            <w:r>
              <w:rPr>
                <w:sz w:val="24"/>
              </w:rPr>
              <w:t>-</w:t>
            </w:r>
          </w:p>
        </w:tc>
        <w:tc>
          <w:tcPr>
            <w:tcW w:w="2162" w:type="dxa"/>
            <w:vAlign w:val="center"/>
          </w:tcPr>
          <w:p w:rsidR="004957AA" w:rsidRDefault="00EF5A3D">
            <w:pPr>
              <w:jc w:val="right"/>
            </w:pPr>
            <w:r>
              <w:rPr>
                <w:sz w:val="24"/>
              </w:rPr>
              <w:t>119.16</w:t>
            </w:r>
          </w:p>
        </w:tc>
        <w:tc>
          <w:tcPr>
            <w:tcW w:w="3070" w:type="dxa"/>
            <w:vAlign w:val="center"/>
          </w:tcPr>
          <w:p w:rsidR="004957AA" w:rsidRDefault="00EF5A3D">
            <w:pPr>
              <w:jc w:val="right"/>
            </w:pPr>
            <w:r>
              <w:rPr>
                <w:sz w:val="24"/>
              </w:rPr>
              <w:t>119.16</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1,335.86</w:t>
            </w:r>
          </w:p>
        </w:tc>
        <w:tc>
          <w:tcPr>
            <w:tcW w:w="3247"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1,335.86</w:t>
            </w:r>
          </w:p>
        </w:tc>
      </w:tr>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上年度可比期间</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2018</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2018</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交银丰润收益债券</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交银丰润收益债券</w:t>
            </w:r>
            <w:r w:rsidRPr="008A1551">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4957AA">
        <w:tc>
          <w:tcPr>
            <w:tcW w:w="2000" w:type="dxa"/>
            <w:vAlign w:val="center"/>
          </w:tcPr>
          <w:p w:rsidR="004957AA" w:rsidRDefault="00EF5A3D">
            <w:pPr>
              <w:jc w:val="left"/>
            </w:pPr>
            <w:r>
              <w:rPr>
                <w:sz w:val="24"/>
              </w:rPr>
              <w:t>中信银行</w:t>
            </w:r>
          </w:p>
        </w:tc>
        <w:tc>
          <w:tcPr>
            <w:tcW w:w="1766" w:type="dxa"/>
            <w:vAlign w:val="center"/>
          </w:tcPr>
          <w:p w:rsidR="004957AA" w:rsidRDefault="00EF5A3D">
            <w:pPr>
              <w:jc w:val="right"/>
            </w:pPr>
            <w:r>
              <w:rPr>
                <w:sz w:val="24"/>
              </w:rPr>
              <w:t>-</w:t>
            </w:r>
          </w:p>
        </w:tc>
        <w:tc>
          <w:tcPr>
            <w:tcW w:w="2162" w:type="dxa"/>
            <w:vAlign w:val="center"/>
          </w:tcPr>
          <w:p w:rsidR="004957AA" w:rsidRDefault="00EF5A3D">
            <w:pPr>
              <w:jc w:val="right"/>
            </w:pPr>
            <w:r>
              <w:rPr>
                <w:sz w:val="24"/>
              </w:rPr>
              <w:t>791.96</w:t>
            </w:r>
          </w:p>
        </w:tc>
        <w:tc>
          <w:tcPr>
            <w:tcW w:w="3070" w:type="dxa"/>
            <w:vAlign w:val="center"/>
          </w:tcPr>
          <w:p w:rsidR="004957AA" w:rsidRDefault="00EF5A3D">
            <w:pPr>
              <w:jc w:val="right"/>
            </w:pPr>
            <w:r>
              <w:rPr>
                <w:sz w:val="24"/>
              </w:rPr>
              <w:t>791.96</w:t>
            </w:r>
          </w:p>
        </w:tc>
      </w:tr>
      <w:tr w:rsidR="004957AA">
        <w:tc>
          <w:tcPr>
            <w:tcW w:w="2000" w:type="dxa"/>
            <w:vAlign w:val="center"/>
          </w:tcPr>
          <w:p w:rsidR="004957AA" w:rsidRDefault="00EF5A3D">
            <w:pPr>
              <w:jc w:val="left"/>
            </w:pPr>
            <w:r>
              <w:rPr>
                <w:sz w:val="24"/>
              </w:rPr>
              <w:t>交通银行</w:t>
            </w:r>
          </w:p>
        </w:tc>
        <w:tc>
          <w:tcPr>
            <w:tcW w:w="1766" w:type="dxa"/>
            <w:vAlign w:val="center"/>
          </w:tcPr>
          <w:p w:rsidR="004957AA" w:rsidRDefault="00EF5A3D">
            <w:pPr>
              <w:jc w:val="right"/>
            </w:pPr>
            <w:r>
              <w:rPr>
                <w:sz w:val="24"/>
              </w:rPr>
              <w:t>-</w:t>
            </w:r>
          </w:p>
        </w:tc>
        <w:tc>
          <w:tcPr>
            <w:tcW w:w="2162" w:type="dxa"/>
            <w:vAlign w:val="center"/>
          </w:tcPr>
          <w:p w:rsidR="004957AA" w:rsidRDefault="00EF5A3D">
            <w:pPr>
              <w:jc w:val="right"/>
            </w:pPr>
            <w:r>
              <w:rPr>
                <w:sz w:val="24"/>
              </w:rPr>
              <w:t>1,121.11</w:t>
            </w:r>
          </w:p>
        </w:tc>
        <w:tc>
          <w:tcPr>
            <w:tcW w:w="3070" w:type="dxa"/>
            <w:vAlign w:val="center"/>
          </w:tcPr>
          <w:p w:rsidR="004957AA" w:rsidRDefault="00EF5A3D">
            <w:pPr>
              <w:jc w:val="right"/>
            </w:pPr>
            <w:r>
              <w:rPr>
                <w:sz w:val="24"/>
              </w:rPr>
              <w:t>1,121.11</w:t>
            </w:r>
          </w:p>
        </w:tc>
      </w:tr>
      <w:tr w:rsidR="004957AA">
        <w:tc>
          <w:tcPr>
            <w:tcW w:w="2000" w:type="dxa"/>
            <w:vAlign w:val="center"/>
          </w:tcPr>
          <w:p w:rsidR="004957AA" w:rsidRDefault="00EF5A3D">
            <w:pPr>
              <w:jc w:val="left"/>
            </w:pPr>
            <w:r>
              <w:rPr>
                <w:sz w:val="24"/>
              </w:rPr>
              <w:t>交银施罗德基金公司</w:t>
            </w:r>
          </w:p>
        </w:tc>
        <w:tc>
          <w:tcPr>
            <w:tcW w:w="1766" w:type="dxa"/>
            <w:vAlign w:val="center"/>
          </w:tcPr>
          <w:p w:rsidR="004957AA" w:rsidRDefault="00EF5A3D">
            <w:pPr>
              <w:jc w:val="right"/>
            </w:pPr>
            <w:r>
              <w:rPr>
                <w:sz w:val="24"/>
              </w:rPr>
              <w:t>-</w:t>
            </w:r>
          </w:p>
        </w:tc>
        <w:tc>
          <w:tcPr>
            <w:tcW w:w="2162" w:type="dxa"/>
            <w:vAlign w:val="center"/>
          </w:tcPr>
          <w:p w:rsidR="004957AA" w:rsidRDefault="00EF5A3D">
            <w:pPr>
              <w:jc w:val="right"/>
            </w:pPr>
            <w:r>
              <w:rPr>
                <w:sz w:val="24"/>
              </w:rPr>
              <w:t>101.62</w:t>
            </w:r>
          </w:p>
        </w:tc>
        <w:tc>
          <w:tcPr>
            <w:tcW w:w="3070" w:type="dxa"/>
            <w:vAlign w:val="center"/>
          </w:tcPr>
          <w:p w:rsidR="004957AA" w:rsidRDefault="00EF5A3D">
            <w:pPr>
              <w:jc w:val="right"/>
            </w:pPr>
            <w:r>
              <w:rPr>
                <w:sz w:val="24"/>
              </w:rPr>
              <w:t>101.62</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2,014.69</w:t>
            </w:r>
          </w:p>
        </w:tc>
        <w:tc>
          <w:tcPr>
            <w:tcW w:w="3244"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2,014.69</w:t>
            </w:r>
          </w:p>
        </w:tc>
      </w:tr>
    </w:tbl>
    <w:p w:rsidR="004957AA" w:rsidRDefault="00EF5A3D">
      <w:pPr>
        <w:tabs>
          <w:tab w:val="left" w:pos="426"/>
        </w:tabs>
        <w:spacing w:before="29" w:line="288" w:lineRule="auto"/>
        <w:jc w:val="left"/>
        <w:rPr>
          <w:kern w:val="0"/>
          <w:sz w:val="24"/>
        </w:rPr>
      </w:pPr>
      <w:r>
        <w:rPr>
          <w:kern w:val="0"/>
          <w:sz w:val="24"/>
        </w:rPr>
        <w:t>注：自</w:t>
      </w:r>
      <w:r>
        <w:rPr>
          <w:kern w:val="0"/>
          <w:sz w:val="24"/>
        </w:rPr>
        <w:t>2014</w:t>
      </w:r>
      <w:r>
        <w:rPr>
          <w:kern w:val="0"/>
          <w:sz w:val="24"/>
        </w:rPr>
        <w:t>年</w:t>
      </w:r>
      <w:r>
        <w:rPr>
          <w:kern w:val="0"/>
          <w:sz w:val="24"/>
        </w:rPr>
        <w:t>12</w:t>
      </w:r>
      <w:r>
        <w:rPr>
          <w:kern w:val="0"/>
          <w:sz w:val="24"/>
        </w:rPr>
        <w:t>月</w:t>
      </w:r>
      <w:r>
        <w:rPr>
          <w:kern w:val="0"/>
          <w:sz w:val="24"/>
        </w:rPr>
        <w:t>15</w:t>
      </w:r>
      <w:r>
        <w:rPr>
          <w:kern w:val="0"/>
          <w:sz w:val="24"/>
        </w:rPr>
        <w:t>日</w:t>
      </w:r>
      <w:r>
        <w:rPr>
          <w:kern w:val="0"/>
          <w:sz w:val="24"/>
        </w:rPr>
        <w:t>(</w:t>
      </w:r>
      <w:r>
        <w:rPr>
          <w:kern w:val="0"/>
          <w:sz w:val="24"/>
        </w:rPr>
        <w:t>基金合同生效日</w:t>
      </w:r>
      <w:r>
        <w:rPr>
          <w:kern w:val="0"/>
          <w:sz w:val="24"/>
        </w:rPr>
        <w:t>)</w:t>
      </w:r>
      <w:r>
        <w:rPr>
          <w:kern w:val="0"/>
          <w:sz w:val="24"/>
        </w:rPr>
        <w:t>至</w:t>
      </w:r>
      <w:r>
        <w:rPr>
          <w:kern w:val="0"/>
          <w:sz w:val="24"/>
        </w:rPr>
        <w:t>2016</w:t>
      </w:r>
      <w:r>
        <w:rPr>
          <w:kern w:val="0"/>
          <w:sz w:val="24"/>
        </w:rPr>
        <w:t>年</w:t>
      </w:r>
      <w:r>
        <w:rPr>
          <w:kern w:val="0"/>
          <w:sz w:val="24"/>
        </w:rPr>
        <w:t>12</w:t>
      </w:r>
      <w:r>
        <w:rPr>
          <w:kern w:val="0"/>
          <w:sz w:val="24"/>
        </w:rPr>
        <w:t>月</w:t>
      </w:r>
      <w:r>
        <w:rPr>
          <w:kern w:val="0"/>
          <w:sz w:val="24"/>
        </w:rPr>
        <w:t>15</w:t>
      </w:r>
      <w:r>
        <w:rPr>
          <w:kern w:val="0"/>
          <w:sz w:val="24"/>
        </w:rPr>
        <w:t>日，支付基金销售机构的基金销售服务费按前一日</w:t>
      </w:r>
      <w:r>
        <w:rPr>
          <w:kern w:val="0"/>
          <w:sz w:val="24"/>
        </w:rPr>
        <w:t>C</w:t>
      </w:r>
      <w:r>
        <w:rPr>
          <w:kern w:val="0"/>
          <w:sz w:val="24"/>
        </w:rPr>
        <w:t>类基金份额对应的基金资产净值</w:t>
      </w:r>
      <w:r>
        <w:rPr>
          <w:kern w:val="0"/>
          <w:sz w:val="24"/>
        </w:rPr>
        <w:t>0.60%</w:t>
      </w:r>
      <w:r>
        <w:rPr>
          <w:kern w:val="0"/>
          <w:sz w:val="24"/>
        </w:rPr>
        <w:t>的年费率计提，逐日累计至每月月底，按月支付给基金管理人，再由基金管理人计算并支付给各基金销售机构。其计算公式为：</w:t>
      </w:r>
    </w:p>
    <w:p w:rsidR="004957AA" w:rsidRDefault="00EF5A3D">
      <w:pPr>
        <w:tabs>
          <w:tab w:val="left" w:pos="426"/>
        </w:tabs>
        <w:spacing w:before="29" w:line="288" w:lineRule="auto"/>
        <w:jc w:val="left"/>
        <w:rPr>
          <w:kern w:val="0"/>
          <w:sz w:val="24"/>
        </w:rPr>
      </w:pPr>
      <w:r>
        <w:rPr>
          <w:kern w:val="0"/>
          <w:sz w:val="24"/>
        </w:rPr>
        <w:t>日基金销售服务费＝前一日</w:t>
      </w:r>
      <w:r>
        <w:rPr>
          <w:kern w:val="0"/>
          <w:sz w:val="24"/>
        </w:rPr>
        <w:t>C</w:t>
      </w:r>
      <w:r>
        <w:rPr>
          <w:kern w:val="0"/>
          <w:sz w:val="24"/>
        </w:rPr>
        <w:t>类基金份额对应的资产净值</w:t>
      </w:r>
      <w:r>
        <w:rPr>
          <w:kern w:val="0"/>
          <w:sz w:val="24"/>
        </w:rPr>
        <w:t xml:space="preserve">×0.60%÷ </w:t>
      </w:r>
      <w:r>
        <w:rPr>
          <w:kern w:val="0"/>
          <w:sz w:val="24"/>
        </w:rPr>
        <w:t>当年天数。</w:t>
      </w:r>
    </w:p>
    <w:p w:rsidR="004957AA" w:rsidRDefault="00EF5A3D">
      <w:pPr>
        <w:tabs>
          <w:tab w:val="left" w:pos="426"/>
        </w:tabs>
        <w:spacing w:before="29" w:line="288" w:lineRule="auto"/>
        <w:jc w:val="left"/>
        <w:rPr>
          <w:kern w:val="0"/>
          <w:sz w:val="24"/>
        </w:rPr>
      </w:pPr>
      <w:r>
        <w:rPr>
          <w:kern w:val="0"/>
          <w:sz w:val="24"/>
        </w:rPr>
        <w:t>自</w:t>
      </w:r>
      <w:r>
        <w:rPr>
          <w:kern w:val="0"/>
          <w:sz w:val="24"/>
        </w:rPr>
        <w:t>2016</w:t>
      </w:r>
      <w:r>
        <w:rPr>
          <w:kern w:val="0"/>
          <w:sz w:val="24"/>
        </w:rPr>
        <w:t>年</w:t>
      </w:r>
      <w:r>
        <w:rPr>
          <w:kern w:val="0"/>
          <w:sz w:val="24"/>
        </w:rPr>
        <w:t>12</w:t>
      </w:r>
      <w:r>
        <w:rPr>
          <w:kern w:val="0"/>
          <w:sz w:val="24"/>
        </w:rPr>
        <w:t>月</w:t>
      </w:r>
      <w:r>
        <w:rPr>
          <w:kern w:val="0"/>
          <w:sz w:val="24"/>
        </w:rPr>
        <w:t>16</w:t>
      </w:r>
      <w:r>
        <w:rPr>
          <w:kern w:val="0"/>
          <w:sz w:val="24"/>
        </w:rPr>
        <w:t>日转为开放式运作起，支付基金销售机构的基金销售服务费按前一日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552A1C" w:rsidRPr="008A1551" w:rsidRDefault="00552A1C" w:rsidP="00387BF7">
      <w:pPr>
        <w:tabs>
          <w:tab w:val="left" w:pos="426"/>
        </w:tabs>
        <w:spacing w:before="29" w:line="288" w:lineRule="auto"/>
        <w:jc w:val="left"/>
        <w:rPr>
          <w:kern w:val="0"/>
          <w:sz w:val="24"/>
        </w:rPr>
      </w:pPr>
      <w:r w:rsidRPr="008A1551">
        <w:rPr>
          <w:kern w:val="0"/>
          <w:sz w:val="24"/>
        </w:rPr>
        <w:t>日基金销售服务费＝前一日</w:t>
      </w:r>
      <w:r w:rsidRPr="008A1551">
        <w:rPr>
          <w:kern w:val="0"/>
          <w:sz w:val="24"/>
        </w:rPr>
        <w:t>C</w:t>
      </w:r>
      <w:r w:rsidRPr="008A1551">
        <w:rPr>
          <w:kern w:val="0"/>
          <w:sz w:val="24"/>
        </w:rPr>
        <w:t>类基金份额对应的资产净值</w:t>
      </w:r>
      <w:r w:rsidRPr="008A1551">
        <w:rPr>
          <w:kern w:val="0"/>
          <w:sz w:val="24"/>
        </w:rPr>
        <w:t xml:space="preserve">×0.40%÷ </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6.4.8.3 </w:t>
      </w:r>
      <w:r w:rsidRPr="008A1551">
        <w:rPr>
          <w:b/>
          <w:bCs/>
          <w:color w:val="000000"/>
          <w:sz w:val="24"/>
        </w:rPr>
        <w:t>与关联方进行银行间同业市场的债券</w:t>
      </w:r>
      <w:r w:rsidRPr="008A1551">
        <w:rPr>
          <w:b/>
          <w:bCs/>
          <w:color w:val="000000"/>
          <w:sz w:val="24"/>
        </w:rPr>
        <w:t>(</w:t>
      </w:r>
      <w:r w:rsidRPr="008A1551">
        <w:rPr>
          <w:b/>
          <w:bCs/>
          <w:color w:val="000000"/>
          <w:sz w:val="24"/>
        </w:rPr>
        <w:t>含回购</w:t>
      </w:r>
      <w:r w:rsidRPr="008A1551">
        <w:rPr>
          <w:b/>
          <w:bCs/>
          <w:color w:val="000000"/>
          <w:sz w:val="24"/>
        </w:rPr>
        <w:t>)</w:t>
      </w:r>
      <w:r w:rsidRPr="008A1551">
        <w:rPr>
          <w:b/>
          <w:bCs/>
          <w:color w:val="000000"/>
          <w:sz w:val="24"/>
        </w:rPr>
        <w:t>交易</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本基金本报告期内及上年度可比期间未与关联方进行银行间同业市场的债券</w:t>
      </w:r>
      <w:r w:rsidRPr="008A1551">
        <w:rPr>
          <w:kern w:val="0"/>
          <w:sz w:val="24"/>
        </w:rPr>
        <w:t>(</w:t>
      </w:r>
      <w:r w:rsidRPr="008A1551">
        <w:rPr>
          <w:kern w:val="0"/>
          <w:sz w:val="24"/>
        </w:rPr>
        <w:t>含回购</w:t>
      </w:r>
      <w:r w:rsidRPr="008A1551">
        <w:rPr>
          <w:kern w:val="0"/>
          <w:sz w:val="24"/>
        </w:rPr>
        <w:t>)</w:t>
      </w:r>
      <w:r w:rsidRPr="008A1551">
        <w:rPr>
          <w:kern w:val="0"/>
          <w:sz w:val="24"/>
        </w:rPr>
        <w:t>交易。</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6.4.8.4 </w:t>
      </w:r>
      <w:r w:rsidRPr="008A1551">
        <w:rPr>
          <w:b/>
          <w:bCs/>
          <w:color w:val="000000"/>
          <w:sz w:val="24"/>
        </w:rPr>
        <w:t>各关联方投资本基金的情况</w:t>
      </w:r>
    </w:p>
    <w:p w:rsidR="001548F9" w:rsidRPr="008A1551" w:rsidRDefault="001548F9" w:rsidP="009E1EA4">
      <w:pPr>
        <w:adjustRightInd w:val="0"/>
        <w:snapToGrid w:val="0"/>
        <w:spacing w:before="29" w:line="288" w:lineRule="auto"/>
        <w:jc w:val="left"/>
        <w:rPr>
          <w:b/>
          <w:bCs/>
          <w:color w:val="000000"/>
          <w:sz w:val="24"/>
        </w:rPr>
      </w:pPr>
      <w:r w:rsidRPr="008A1551">
        <w:rPr>
          <w:b/>
          <w:bCs/>
          <w:color w:val="000000"/>
          <w:kern w:val="0"/>
          <w:sz w:val="24"/>
        </w:rPr>
        <w:t xml:space="preserve">6.4.8.4.1 </w:t>
      </w:r>
      <w:r w:rsidRPr="008A1551">
        <w:rPr>
          <w:b/>
          <w:bCs/>
          <w:color w:val="000000"/>
          <w:sz w:val="24"/>
        </w:rPr>
        <w:t>报告期内基金管理人运用</w:t>
      </w:r>
      <w:proofErr w:type="gramStart"/>
      <w:r w:rsidRPr="008A1551">
        <w:rPr>
          <w:b/>
          <w:bCs/>
          <w:color w:val="000000"/>
          <w:sz w:val="24"/>
        </w:rPr>
        <w:t>固有资金</w:t>
      </w:r>
      <w:proofErr w:type="gramEnd"/>
      <w:r w:rsidRPr="008A1551">
        <w:rPr>
          <w:b/>
          <w:bCs/>
          <w:color w:val="000000"/>
          <w:sz w:val="24"/>
        </w:rPr>
        <w:t>投资本基金的情况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本报告期内及上年度可比期间未发生基金管理人运用</w:t>
      </w:r>
      <w:proofErr w:type="gramStart"/>
      <w:r w:rsidRPr="008A1551">
        <w:rPr>
          <w:kern w:val="0"/>
          <w:sz w:val="24"/>
        </w:rPr>
        <w:t>固有资金</w:t>
      </w:r>
      <w:proofErr w:type="gramEnd"/>
      <w:r w:rsidRPr="008A1551">
        <w:rPr>
          <w:kern w:val="0"/>
          <w:sz w:val="24"/>
        </w:rPr>
        <w:t>投资本基金的情况。</w:t>
      </w:r>
    </w:p>
    <w:p w:rsidR="001548F9" w:rsidRPr="008A1551" w:rsidRDefault="001548F9" w:rsidP="009E1EA4">
      <w:pPr>
        <w:adjustRightInd w:val="0"/>
        <w:snapToGrid w:val="0"/>
        <w:spacing w:before="29" w:line="288" w:lineRule="auto"/>
        <w:jc w:val="left"/>
        <w:rPr>
          <w:bCs/>
          <w:color w:val="000000"/>
          <w:sz w:val="24"/>
        </w:rPr>
      </w:pPr>
      <w:r w:rsidRPr="008A1551">
        <w:rPr>
          <w:bCs/>
          <w:color w:val="000000"/>
          <w:sz w:val="24"/>
        </w:rPr>
        <w:tab/>
      </w:r>
    </w:p>
    <w:p w:rsidR="001548F9" w:rsidRPr="008A1551" w:rsidRDefault="001548F9" w:rsidP="009E1EA4">
      <w:pPr>
        <w:adjustRightInd w:val="0"/>
        <w:snapToGrid w:val="0"/>
        <w:spacing w:before="29" w:line="288" w:lineRule="auto"/>
        <w:rPr>
          <w:b/>
          <w:bCs/>
          <w:color w:val="000000"/>
          <w:sz w:val="24"/>
        </w:rPr>
      </w:pPr>
      <w:r w:rsidRPr="008A1551">
        <w:rPr>
          <w:b/>
          <w:bCs/>
          <w:color w:val="000000"/>
          <w:kern w:val="0"/>
          <w:sz w:val="24"/>
        </w:rPr>
        <w:t xml:space="preserve">6.4.8.4.2 </w:t>
      </w:r>
      <w:r w:rsidRPr="008A1551">
        <w:rPr>
          <w:b/>
          <w:bCs/>
          <w:color w:val="000000"/>
          <w:sz w:val="24"/>
        </w:rPr>
        <w:t>报告期末除基金管理人之外的其他关联方投资本基金的情况</w:t>
      </w:r>
    </w:p>
    <w:p w:rsidR="00105388" w:rsidRPr="008A1551" w:rsidRDefault="00105388" w:rsidP="009E1EA4">
      <w:pPr>
        <w:adjustRightInd w:val="0"/>
        <w:snapToGrid w:val="0"/>
        <w:spacing w:before="29" w:line="288" w:lineRule="auto"/>
        <w:rPr>
          <w:b/>
          <w:bCs/>
          <w:color w:val="000000"/>
          <w:sz w:val="24"/>
        </w:rPr>
      </w:pPr>
      <w:r w:rsidRPr="008A1551">
        <w:rPr>
          <w:sz w:val="24"/>
        </w:rPr>
        <w:t>交银丰润收益债券</w:t>
      </w:r>
      <w:r w:rsidRPr="008A1551">
        <w:rPr>
          <w:sz w:val="24"/>
        </w:rPr>
        <w:t>A</w:t>
      </w:r>
    </w:p>
    <w:p w:rsidR="001548F9" w:rsidRPr="008A1551" w:rsidRDefault="001548F9" w:rsidP="009E1EA4">
      <w:pPr>
        <w:adjustRightInd w:val="0"/>
        <w:snapToGrid w:val="0"/>
        <w:spacing w:before="29" w:line="288" w:lineRule="auto"/>
        <w:jc w:val="right"/>
        <w:rPr>
          <w:color w:val="000000"/>
          <w:sz w:val="24"/>
        </w:rPr>
      </w:pPr>
      <w:r w:rsidRPr="008A1551">
        <w:rPr>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1994"/>
        <w:gridCol w:w="1551"/>
        <w:gridCol w:w="1829"/>
        <w:gridCol w:w="1696"/>
      </w:tblGrid>
      <w:tr w:rsidR="008C10DC" w:rsidRPr="008A1551" w:rsidTr="00F35FEF">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rightChars="-51" w:right="-107"/>
              <w:jc w:val="center"/>
              <w:textAlignment w:val="bottom"/>
              <w:rPr>
                <w:sz w:val="24"/>
              </w:rPr>
            </w:pPr>
            <w:r w:rsidRPr="008A1551">
              <w:rPr>
                <w:sz w:val="24"/>
              </w:rPr>
              <w:t>关联方名称</w:t>
            </w:r>
          </w:p>
        </w:tc>
        <w:tc>
          <w:tcPr>
            <w:tcW w:w="3722" w:type="dxa"/>
            <w:gridSpan w:val="2"/>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交银丰润收益债券</w:t>
            </w:r>
            <w:r w:rsidRPr="008A1551">
              <w:rPr>
                <w:sz w:val="24"/>
              </w:rPr>
              <w:t>A</w:t>
            </w:r>
            <w:r w:rsidRPr="008A1551">
              <w:rPr>
                <w:sz w:val="24"/>
              </w:rPr>
              <w:t>本期末</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3701" w:type="dxa"/>
            <w:gridSpan w:val="2"/>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tabs>
                <w:tab w:val="left" w:pos="2972"/>
              </w:tabs>
              <w:autoSpaceDE w:val="0"/>
              <w:autoSpaceDN w:val="0"/>
              <w:spacing w:before="29" w:line="288" w:lineRule="auto"/>
              <w:ind w:leftChars="-51" w:left="-107" w:rightChars="-51" w:right="-107"/>
              <w:jc w:val="center"/>
              <w:textAlignment w:val="bottom"/>
              <w:rPr>
                <w:sz w:val="24"/>
              </w:rPr>
            </w:pPr>
            <w:r w:rsidRPr="008A1551">
              <w:rPr>
                <w:sz w:val="24"/>
              </w:rPr>
              <w:t>交银丰润收益债券</w:t>
            </w:r>
            <w:r w:rsidRPr="008A1551">
              <w:rPr>
                <w:sz w:val="24"/>
              </w:rPr>
              <w:t>A</w:t>
            </w:r>
            <w:r w:rsidRPr="008A1551">
              <w:rPr>
                <w:sz w:val="24"/>
              </w:rPr>
              <w:t>上年度末</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2018</w:t>
            </w:r>
            <w:r w:rsidRPr="008A1551">
              <w:rPr>
                <w:sz w:val="24"/>
              </w:rPr>
              <w:t>年</w:t>
            </w:r>
            <w:r w:rsidRPr="008A1551">
              <w:rPr>
                <w:sz w:val="24"/>
              </w:rPr>
              <w:t>12</w:t>
            </w:r>
            <w:r w:rsidRPr="008A1551">
              <w:rPr>
                <w:sz w:val="24"/>
              </w:rPr>
              <w:t>月</w:t>
            </w:r>
            <w:r w:rsidRPr="008A1551">
              <w:rPr>
                <w:sz w:val="24"/>
              </w:rPr>
              <w:t>31</w:t>
            </w:r>
            <w:r w:rsidRPr="008A1551">
              <w:rPr>
                <w:sz w:val="24"/>
              </w:rPr>
              <w:t>日</w:t>
            </w:r>
          </w:p>
        </w:tc>
      </w:tr>
      <w:tr w:rsidR="008C10DC" w:rsidRPr="008A1551" w:rsidTr="00F35FEF">
        <w:tc>
          <w:tcPr>
            <w:tcW w:w="2024" w:type="dxa"/>
            <w:vMerge/>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spacing w:before="29" w:line="288" w:lineRule="auto"/>
              <w:jc w:val="left"/>
              <w:rPr>
                <w:sz w:val="24"/>
              </w:rPr>
            </w:pPr>
          </w:p>
        </w:tc>
        <w:tc>
          <w:tcPr>
            <w:tcW w:w="2095"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基金份额</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持有的基金份额占基金总份额的比例</w:t>
            </w:r>
          </w:p>
        </w:tc>
        <w:tc>
          <w:tcPr>
            <w:tcW w:w="1921"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w:t>
            </w:r>
          </w:p>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基金份额</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8C10DC" w:rsidRPr="008A1551" w:rsidRDefault="008C10DC" w:rsidP="009E1EA4">
            <w:pPr>
              <w:widowControl/>
              <w:autoSpaceDE w:val="0"/>
              <w:autoSpaceDN w:val="0"/>
              <w:spacing w:before="29" w:line="288" w:lineRule="auto"/>
              <w:ind w:leftChars="-51" w:left="-107" w:rightChars="-51" w:right="-107"/>
              <w:jc w:val="center"/>
              <w:textAlignment w:val="bottom"/>
              <w:rPr>
                <w:sz w:val="24"/>
              </w:rPr>
            </w:pPr>
            <w:r w:rsidRPr="008A1551">
              <w:rPr>
                <w:sz w:val="24"/>
              </w:rPr>
              <w:t>持有的基金份额占基金总份额的比例</w:t>
            </w:r>
          </w:p>
        </w:tc>
      </w:tr>
      <w:tr w:rsidR="004957AA">
        <w:tc>
          <w:tcPr>
            <w:tcW w:w="1928" w:type="dxa"/>
            <w:vAlign w:val="center"/>
          </w:tcPr>
          <w:p w:rsidR="004957AA" w:rsidRDefault="00EF5A3D">
            <w:pPr>
              <w:jc w:val="center"/>
            </w:pPr>
            <w:r>
              <w:rPr>
                <w:sz w:val="24"/>
              </w:rPr>
              <w:t>中信银行股份有限公司</w:t>
            </w:r>
          </w:p>
        </w:tc>
        <w:tc>
          <w:tcPr>
            <w:tcW w:w="1994" w:type="dxa"/>
            <w:vAlign w:val="center"/>
          </w:tcPr>
          <w:p w:rsidR="004957AA" w:rsidRDefault="00EF5A3D">
            <w:pPr>
              <w:jc w:val="center"/>
            </w:pPr>
            <w:r>
              <w:rPr>
                <w:sz w:val="24"/>
              </w:rPr>
              <w:t>282,484,934.09</w:t>
            </w:r>
          </w:p>
        </w:tc>
        <w:tc>
          <w:tcPr>
            <w:tcW w:w="1551" w:type="dxa"/>
            <w:vAlign w:val="center"/>
          </w:tcPr>
          <w:p w:rsidR="004957AA" w:rsidRDefault="00EF5A3D">
            <w:pPr>
              <w:jc w:val="center"/>
            </w:pPr>
            <w:r>
              <w:rPr>
                <w:sz w:val="24"/>
              </w:rPr>
              <w:t>18.27%</w:t>
            </w:r>
          </w:p>
        </w:tc>
        <w:tc>
          <w:tcPr>
            <w:tcW w:w="1829" w:type="dxa"/>
            <w:vAlign w:val="center"/>
          </w:tcPr>
          <w:p w:rsidR="004957AA" w:rsidRDefault="00EF5A3D">
            <w:pPr>
              <w:jc w:val="center"/>
            </w:pPr>
            <w:r>
              <w:rPr>
                <w:sz w:val="24"/>
              </w:rPr>
              <w:t>-</w:t>
            </w:r>
          </w:p>
        </w:tc>
        <w:tc>
          <w:tcPr>
            <w:tcW w:w="1696" w:type="dxa"/>
            <w:vAlign w:val="center"/>
          </w:tcPr>
          <w:p w:rsidR="004957AA" w:rsidRDefault="00EF5A3D">
            <w:pPr>
              <w:jc w:val="center"/>
            </w:pPr>
            <w:r>
              <w:rPr>
                <w:sz w:val="24"/>
              </w:rPr>
              <w:t>-</w:t>
            </w:r>
          </w:p>
        </w:tc>
      </w:tr>
    </w:tbl>
    <w:p w:rsidR="008C10DC" w:rsidRPr="008A1551" w:rsidRDefault="008C10DC" w:rsidP="009E1EA4">
      <w:pPr>
        <w:tabs>
          <w:tab w:val="left" w:pos="426"/>
        </w:tabs>
        <w:spacing w:before="29" w:line="288" w:lineRule="auto"/>
        <w:jc w:val="left"/>
        <w:rPr>
          <w:kern w:val="0"/>
          <w:sz w:val="24"/>
        </w:rPr>
      </w:pPr>
      <w:r w:rsidRPr="008A1551">
        <w:rPr>
          <w:kern w:val="0"/>
          <w:sz w:val="24"/>
        </w:rPr>
        <w:t>注：关联方投资本基金的费率按照基金合同和招募说明书规定的确定，符合公允性要求。</w:t>
      </w:r>
      <w:r w:rsidR="00105388" w:rsidRPr="008A1551">
        <w:rPr>
          <w:kern w:val="0"/>
          <w:sz w:val="24"/>
        </w:rPr>
        <w:t>、</w:t>
      </w:r>
    </w:p>
    <w:p w:rsidR="00105388" w:rsidRPr="008A1551" w:rsidRDefault="00105388" w:rsidP="009E1EA4">
      <w:pPr>
        <w:adjustRightInd w:val="0"/>
        <w:snapToGrid w:val="0"/>
        <w:spacing w:before="29" w:line="288" w:lineRule="auto"/>
        <w:rPr>
          <w:b/>
          <w:bCs/>
          <w:color w:val="000000"/>
          <w:sz w:val="24"/>
        </w:rPr>
      </w:pPr>
      <w:r w:rsidRPr="008A1551">
        <w:rPr>
          <w:sz w:val="24"/>
        </w:rPr>
        <w:t>交银丰润收益债券</w:t>
      </w:r>
      <w:r w:rsidRPr="008A1551">
        <w:rPr>
          <w:sz w:val="24"/>
        </w:rPr>
        <w:t>C</w:t>
      </w:r>
    </w:p>
    <w:p w:rsidR="004957AA" w:rsidRDefault="004957AA">
      <w:pPr>
        <w:tabs>
          <w:tab w:val="left" w:pos="426"/>
        </w:tabs>
        <w:spacing w:before="29" w:line="288" w:lineRule="auto"/>
        <w:jc w:val="left"/>
        <w:rPr>
          <w:kern w:val="0"/>
          <w:sz w:val="24"/>
        </w:rPr>
      </w:pPr>
    </w:p>
    <w:p w:rsidR="008C10DC" w:rsidRPr="008A1551" w:rsidRDefault="008C10DC" w:rsidP="009E1EA4">
      <w:pPr>
        <w:tabs>
          <w:tab w:val="left" w:pos="426"/>
        </w:tabs>
        <w:spacing w:before="29" w:line="288" w:lineRule="auto"/>
        <w:jc w:val="left"/>
        <w:rPr>
          <w:kern w:val="0"/>
          <w:sz w:val="24"/>
        </w:rPr>
      </w:pPr>
      <w:r w:rsidRPr="008A1551">
        <w:rPr>
          <w:kern w:val="0"/>
          <w:sz w:val="24"/>
        </w:rPr>
        <w:t>本报告期末及上年度末除基金管理人之外的其他关联方未持有本基金。</w:t>
      </w:r>
    </w:p>
    <w:p w:rsidR="001548F9" w:rsidRPr="008A1551" w:rsidRDefault="001548F9" w:rsidP="009E1EA4">
      <w:pPr>
        <w:spacing w:before="29" w:line="288" w:lineRule="auto"/>
        <w:rPr>
          <w:color w:val="000000"/>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6.4.8.5 </w:t>
      </w:r>
      <w:r w:rsidRPr="008A1551">
        <w:rPr>
          <w:b/>
          <w:bCs/>
          <w:color w:val="000000"/>
          <w:sz w:val="24"/>
        </w:rPr>
        <w:t>由关联方保管的银行存款余额及当期产生的利息收入</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2"/>
        <w:gridCol w:w="1417"/>
        <w:gridCol w:w="1736"/>
        <w:gridCol w:w="1383"/>
        <w:gridCol w:w="1770"/>
      </w:tblGrid>
      <w:tr w:rsidR="00300128" w:rsidRPr="008A1551" w:rsidTr="00F35FEF">
        <w:tc>
          <w:tcPr>
            <w:tcW w:w="2694" w:type="dxa"/>
            <w:vMerge w:val="restart"/>
            <w:vAlign w:val="center"/>
          </w:tcPr>
          <w:p w:rsidR="00300128" w:rsidRPr="008A1551" w:rsidRDefault="00300128" w:rsidP="009E1EA4">
            <w:pPr>
              <w:spacing w:before="29" w:line="288" w:lineRule="auto"/>
              <w:jc w:val="center"/>
              <w:rPr>
                <w:color w:val="000000"/>
                <w:sz w:val="24"/>
              </w:rPr>
            </w:pPr>
            <w:r w:rsidRPr="008A1551">
              <w:rPr>
                <w:color w:val="000000"/>
                <w:sz w:val="24"/>
              </w:rPr>
              <w:t>关联方名称</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本期</w:t>
            </w:r>
          </w:p>
          <w:p w:rsidR="00300128" w:rsidRPr="008A1551" w:rsidRDefault="00300128" w:rsidP="009E1EA4">
            <w:pPr>
              <w:widowControl/>
              <w:autoSpaceDE w:val="0"/>
              <w:autoSpaceDN w:val="0"/>
              <w:spacing w:before="29" w:line="288" w:lineRule="auto"/>
              <w:ind w:right="-15"/>
              <w:jc w:val="center"/>
              <w:textAlignment w:val="bottom"/>
              <w:rPr>
                <w:color w:val="000000"/>
                <w:sz w:val="24"/>
              </w:rPr>
            </w:pPr>
            <w:r w:rsidRPr="008A1551">
              <w:rPr>
                <w:color w:val="000000"/>
                <w:sz w:val="24"/>
              </w:rPr>
              <w:t>2019</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上年度可比期间</w:t>
            </w:r>
          </w:p>
          <w:p w:rsidR="00300128" w:rsidRPr="008A1551" w:rsidRDefault="00300128"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300128" w:rsidRPr="008A1551" w:rsidTr="00F35FEF">
        <w:tc>
          <w:tcPr>
            <w:tcW w:w="2694" w:type="dxa"/>
            <w:vMerge/>
            <w:vAlign w:val="center"/>
          </w:tcPr>
          <w:p w:rsidR="00300128" w:rsidRPr="008A1551" w:rsidRDefault="00300128" w:rsidP="009E1EA4">
            <w:pPr>
              <w:widowControl/>
              <w:spacing w:before="29" w:line="288" w:lineRule="auto"/>
              <w:jc w:val="left"/>
              <w:rPr>
                <w:color w:val="000000"/>
                <w:sz w:val="24"/>
              </w:rPr>
            </w:pPr>
          </w:p>
        </w:tc>
        <w:tc>
          <w:tcPr>
            <w:tcW w:w="1417"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36"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c>
          <w:tcPr>
            <w:tcW w:w="1383"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70"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r>
      <w:tr w:rsidR="004957AA">
        <w:tc>
          <w:tcPr>
            <w:tcW w:w="2692" w:type="dxa"/>
            <w:vAlign w:val="center"/>
          </w:tcPr>
          <w:p w:rsidR="004957AA" w:rsidRDefault="00EF5A3D">
            <w:pPr>
              <w:jc w:val="left"/>
            </w:pPr>
            <w:r>
              <w:rPr>
                <w:sz w:val="24"/>
              </w:rPr>
              <w:t>中信银行股份有限公司</w:t>
            </w:r>
          </w:p>
        </w:tc>
        <w:tc>
          <w:tcPr>
            <w:tcW w:w="1417" w:type="dxa"/>
            <w:vAlign w:val="center"/>
          </w:tcPr>
          <w:p w:rsidR="004957AA" w:rsidRDefault="00EF5A3D">
            <w:pPr>
              <w:jc w:val="right"/>
            </w:pPr>
            <w:r>
              <w:rPr>
                <w:sz w:val="24"/>
              </w:rPr>
              <w:t>787,217.72</w:t>
            </w:r>
          </w:p>
        </w:tc>
        <w:tc>
          <w:tcPr>
            <w:tcW w:w="1736" w:type="dxa"/>
            <w:vAlign w:val="center"/>
          </w:tcPr>
          <w:p w:rsidR="004957AA" w:rsidRDefault="00EF5A3D">
            <w:pPr>
              <w:jc w:val="right"/>
            </w:pPr>
            <w:r>
              <w:rPr>
                <w:sz w:val="24"/>
              </w:rPr>
              <w:t>11,289.30</w:t>
            </w:r>
          </w:p>
        </w:tc>
        <w:tc>
          <w:tcPr>
            <w:tcW w:w="1383" w:type="dxa"/>
            <w:vAlign w:val="center"/>
          </w:tcPr>
          <w:p w:rsidR="004957AA" w:rsidRDefault="00EF5A3D">
            <w:pPr>
              <w:jc w:val="right"/>
            </w:pPr>
            <w:r>
              <w:rPr>
                <w:sz w:val="24"/>
              </w:rPr>
              <w:t>2,892,431.43</w:t>
            </w:r>
          </w:p>
        </w:tc>
        <w:tc>
          <w:tcPr>
            <w:tcW w:w="1770" w:type="dxa"/>
            <w:vAlign w:val="center"/>
          </w:tcPr>
          <w:p w:rsidR="004957AA" w:rsidRDefault="00EF5A3D">
            <w:pPr>
              <w:jc w:val="right"/>
            </w:pPr>
            <w:r>
              <w:rPr>
                <w:sz w:val="24"/>
              </w:rPr>
              <w:t>19,873.90</w:t>
            </w:r>
          </w:p>
        </w:tc>
      </w:tr>
    </w:tbl>
    <w:p w:rsidR="00300128" w:rsidRPr="008A1551" w:rsidRDefault="00300128" w:rsidP="009E1EA4">
      <w:pPr>
        <w:tabs>
          <w:tab w:val="left" w:pos="426"/>
        </w:tabs>
        <w:spacing w:before="29" w:line="288" w:lineRule="auto"/>
        <w:jc w:val="left"/>
        <w:rPr>
          <w:kern w:val="0"/>
          <w:sz w:val="24"/>
        </w:rPr>
      </w:pPr>
      <w:r w:rsidRPr="008A1551">
        <w:rPr>
          <w:kern w:val="0"/>
          <w:sz w:val="24"/>
        </w:rPr>
        <w:t>注：本基金的银行存款由基金托管人保管，按银行同业利率计息。</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6.4.8.6 </w:t>
      </w:r>
      <w:r w:rsidRPr="008A1551">
        <w:rPr>
          <w:b/>
          <w:bCs/>
          <w:color w:val="000000"/>
          <w:sz w:val="24"/>
        </w:rPr>
        <w:t>本基金在承销期内参与关联方承销证券的情况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本基金本报告期内及上年度可比期间未在承销期内参与关联方承销证券。</w:t>
      </w:r>
    </w:p>
    <w:p w:rsidR="001548F9" w:rsidRPr="008A1551" w:rsidRDefault="001548F9" w:rsidP="009E1EA4">
      <w:pPr>
        <w:adjustRightInd w:val="0"/>
        <w:snapToGrid w:val="0"/>
        <w:spacing w:before="29" w:line="288" w:lineRule="auto"/>
        <w:jc w:val="left"/>
        <w:rPr>
          <w:bCs/>
          <w:color w:val="000000"/>
          <w:sz w:val="24"/>
        </w:rPr>
      </w:pPr>
    </w:p>
    <w:p w:rsidR="00207C2A" w:rsidRPr="00207C2A" w:rsidRDefault="00207C2A" w:rsidP="00A7746B">
      <w:pPr>
        <w:adjustRightInd w:val="0"/>
        <w:snapToGrid w:val="0"/>
        <w:spacing w:beforeLines="100" w:before="312" w:line="360" w:lineRule="auto"/>
        <w:rPr>
          <w:rFonts w:eastAsiaTheme="minorEastAsia"/>
          <w:b/>
          <w:color w:val="000000" w:themeColor="text1"/>
          <w:sz w:val="24"/>
        </w:rPr>
      </w:pPr>
      <w:r w:rsidRPr="00207C2A">
        <w:rPr>
          <w:rFonts w:eastAsiaTheme="minorEastAsia"/>
          <w:b/>
          <w:bCs/>
          <w:color w:val="000000" w:themeColor="text1"/>
          <w:kern w:val="0"/>
          <w:sz w:val="24"/>
        </w:rPr>
        <w:t xml:space="preserve">6.4.8.7 </w:t>
      </w:r>
      <w:bookmarkStart w:id="52" w:name="OLE_LINK189"/>
      <w:bookmarkStart w:id="53" w:name="OLE_LINK7"/>
      <w:bookmarkStart w:id="54" w:name="OLE_LINK6"/>
      <w:r w:rsidRPr="00207C2A">
        <w:rPr>
          <w:rFonts w:eastAsiaTheme="minorEastAsia" w:hint="eastAsia"/>
          <w:b/>
          <w:color w:val="000000" w:themeColor="text1"/>
          <w:sz w:val="24"/>
        </w:rPr>
        <w:t>其他关联交易事项的说明</w:t>
      </w:r>
      <w:bookmarkEnd w:id="52"/>
      <w:bookmarkEnd w:id="53"/>
      <w:bookmarkEnd w:id="54"/>
    </w:p>
    <w:p w:rsidR="00207C2A" w:rsidRDefault="00207C2A" w:rsidP="00207C2A">
      <w:pPr>
        <w:widowControl/>
        <w:spacing w:line="360" w:lineRule="auto"/>
        <w:ind w:firstLineChars="200" w:firstLine="480"/>
        <w:rPr>
          <w:rFonts w:eastAsiaTheme="minorEastAsia"/>
          <w:color w:val="000000" w:themeColor="text1"/>
          <w:kern w:val="0"/>
          <w:sz w:val="24"/>
        </w:rPr>
      </w:pPr>
      <w:r w:rsidRPr="00207C2A">
        <w:rPr>
          <w:rFonts w:eastAsiaTheme="minorEastAsia"/>
          <w:color w:val="000000" w:themeColor="text1"/>
          <w:kern w:val="0"/>
          <w:sz w:val="24"/>
        </w:rPr>
        <w:t>本基金本报告期内及上年度可比期间无其他关联交易事项。</w:t>
      </w:r>
    </w:p>
    <w:p w:rsidR="00207C2A" w:rsidRPr="00207C2A" w:rsidRDefault="00207C2A" w:rsidP="00207C2A">
      <w:pPr>
        <w:widowControl/>
        <w:spacing w:line="360" w:lineRule="auto"/>
        <w:ind w:firstLineChars="200" w:firstLine="480"/>
        <w:rPr>
          <w:rFonts w:eastAsiaTheme="minorEastAsia"/>
          <w:color w:val="000000" w:themeColor="text1"/>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 </w:t>
      </w:r>
      <w:r w:rsidRPr="008A1551">
        <w:rPr>
          <w:b/>
          <w:bCs/>
          <w:color w:val="000000"/>
          <w:sz w:val="24"/>
        </w:rPr>
        <w:t>期末（</w:t>
      </w:r>
      <w:r w:rsidRPr="008A1551">
        <w:rPr>
          <w:b/>
          <w:bCs/>
          <w:color w:val="000000"/>
          <w:sz w:val="24"/>
        </w:rPr>
        <w:t>2019</w:t>
      </w:r>
      <w:r w:rsidRPr="008A1551">
        <w:rPr>
          <w:b/>
          <w:bCs/>
          <w:color w:val="000000"/>
          <w:sz w:val="24"/>
        </w:rPr>
        <w:t>年</w:t>
      </w:r>
      <w:r w:rsidRPr="008A1551">
        <w:rPr>
          <w:b/>
          <w:bCs/>
          <w:color w:val="000000"/>
          <w:sz w:val="24"/>
        </w:rPr>
        <w:t>6</w:t>
      </w:r>
      <w:r w:rsidRPr="008A1551">
        <w:rPr>
          <w:b/>
          <w:bCs/>
          <w:color w:val="000000"/>
          <w:sz w:val="24"/>
        </w:rPr>
        <w:t>月</w:t>
      </w:r>
      <w:r w:rsidRPr="008A1551">
        <w:rPr>
          <w:b/>
          <w:bCs/>
          <w:color w:val="000000"/>
          <w:sz w:val="24"/>
        </w:rPr>
        <w:t>30</w:t>
      </w:r>
      <w:r w:rsidRPr="008A1551">
        <w:rPr>
          <w:b/>
          <w:bCs/>
          <w:color w:val="000000"/>
          <w:sz w:val="24"/>
        </w:rPr>
        <w:t>日）本基金持有的流通受限证券</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6.4.9.1 </w:t>
      </w:r>
      <w:r w:rsidRPr="008A1551">
        <w:rPr>
          <w:b/>
          <w:bCs/>
          <w:color w:val="000000"/>
          <w:sz w:val="24"/>
        </w:rPr>
        <w:t>因认购新发</w:t>
      </w:r>
      <w:r w:rsidRPr="008A1551">
        <w:rPr>
          <w:b/>
          <w:bCs/>
          <w:color w:val="000000"/>
          <w:sz w:val="24"/>
        </w:rPr>
        <w:t>/</w:t>
      </w:r>
      <w:r w:rsidRPr="008A1551">
        <w:rPr>
          <w:b/>
          <w:bCs/>
          <w:color w:val="000000"/>
          <w:sz w:val="24"/>
        </w:rPr>
        <w:t>增发证券而于期末持有的流通受限证券</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本基金本报告期末未持有因认购新发</w:t>
      </w:r>
      <w:r w:rsidRPr="008A1551">
        <w:rPr>
          <w:kern w:val="0"/>
          <w:sz w:val="24"/>
        </w:rPr>
        <w:t>/</w:t>
      </w:r>
      <w:r w:rsidRPr="008A1551">
        <w:rPr>
          <w:kern w:val="0"/>
          <w:sz w:val="24"/>
        </w:rPr>
        <w:t>增发证券而流通受限的证券。</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6.4.9.2 </w:t>
      </w:r>
      <w:r w:rsidRPr="008A1551">
        <w:rPr>
          <w:b/>
          <w:bCs/>
          <w:color w:val="000000"/>
          <w:sz w:val="24"/>
        </w:rPr>
        <w:t>期末持有的暂时停牌等流通受限股票</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本基金本报告期末未持有暂时停牌等流通受限股票。</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 </w:t>
      </w:r>
      <w:r w:rsidRPr="008A1551">
        <w:rPr>
          <w:b/>
          <w:bCs/>
          <w:color w:val="000000"/>
          <w:sz w:val="24"/>
        </w:rPr>
        <w:t>期末债券正回购交易中作为抵押的债券</w:t>
      </w:r>
    </w:p>
    <w:p w:rsidR="001548F9" w:rsidRPr="008A1551" w:rsidRDefault="001548F9" w:rsidP="009E1EA4">
      <w:pPr>
        <w:spacing w:before="29" w:line="288" w:lineRule="auto"/>
        <w:rPr>
          <w:b/>
          <w:bCs/>
          <w:color w:val="000000"/>
          <w:sz w:val="24"/>
        </w:rPr>
      </w:pPr>
      <w:r w:rsidRPr="008A1551">
        <w:rPr>
          <w:b/>
          <w:bCs/>
          <w:color w:val="000000"/>
          <w:kern w:val="0"/>
          <w:sz w:val="24"/>
        </w:rPr>
        <w:t xml:space="preserve">6.4.9.3.1 </w:t>
      </w:r>
      <w:r w:rsidRPr="008A1551">
        <w:rPr>
          <w:b/>
          <w:bCs/>
          <w:color w:val="000000"/>
          <w:sz w:val="24"/>
        </w:rPr>
        <w:t>银行间市场债券正回购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截至本报告期末</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日止，本基金从事银行间市场债券正回购交易形成的卖出回购证券款余额</w:t>
      </w:r>
      <w:r w:rsidRPr="008A1551">
        <w:rPr>
          <w:color w:val="000000"/>
          <w:sz w:val="24"/>
        </w:rPr>
        <w:t>455,266,452.36</w:t>
      </w:r>
      <w:r w:rsidRPr="008A1551">
        <w:rPr>
          <w:color w:val="000000"/>
          <w:sz w:val="24"/>
        </w:rPr>
        <w:t>元，是以如下债券作为抵押：</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w:t>
      </w:r>
      <w:r w:rsidRPr="008A1551">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843"/>
        <w:gridCol w:w="1559"/>
        <w:gridCol w:w="1058"/>
        <w:gridCol w:w="1434"/>
        <w:gridCol w:w="1828"/>
      </w:tblGrid>
      <w:tr w:rsidR="001548F9" w:rsidRPr="008A1551" w:rsidTr="0084429A">
        <w:tc>
          <w:tcPr>
            <w:tcW w:w="1276" w:type="dxa"/>
            <w:vAlign w:val="center"/>
          </w:tcPr>
          <w:p w:rsidR="001548F9" w:rsidRPr="008A1551" w:rsidRDefault="001548F9" w:rsidP="009E1EA4">
            <w:pPr>
              <w:spacing w:before="29" w:line="288" w:lineRule="auto"/>
              <w:jc w:val="center"/>
              <w:rPr>
                <w:color w:val="000000"/>
                <w:sz w:val="24"/>
              </w:rPr>
            </w:pPr>
            <w:r w:rsidRPr="008A1551">
              <w:rPr>
                <w:color w:val="000000"/>
                <w:sz w:val="24"/>
              </w:rPr>
              <w:t>债券代码</w:t>
            </w:r>
          </w:p>
        </w:tc>
        <w:tc>
          <w:tcPr>
            <w:tcW w:w="1843" w:type="dxa"/>
            <w:vAlign w:val="center"/>
          </w:tcPr>
          <w:p w:rsidR="001548F9" w:rsidRPr="008A1551" w:rsidRDefault="001548F9" w:rsidP="009E1EA4">
            <w:pPr>
              <w:spacing w:before="29" w:line="288" w:lineRule="auto"/>
              <w:jc w:val="center"/>
              <w:rPr>
                <w:color w:val="000000"/>
                <w:sz w:val="24"/>
              </w:rPr>
            </w:pPr>
            <w:r w:rsidRPr="008A1551">
              <w:rPr>
                <w:color w:val="000000"/>
                <w:sz w:val="24"/>
              </w:rPr>
              <w:t>债券名称</w:t>
            </w:r>
          </w:p>
        </w:tc>
        <w:tc>
          <w:tcPr>
            <w:tcW w:w="1559" w:type="dxa"/>
            <w:vAlign w:val="center"/>
          </w:tcPr>
          <w:p w:rsidR="001548F9" w:rsidRPr="008A1551" w:rsidRDefault="001548F9" w:rsidP="009E1EA4">
            <w:pPr>
              <w:spacing w:before="29" w:line="288" w:lineRule="auto"/>
              <w:jc w:val="center"/>
              <w:rPr>
                <w:color w:val="000000"/>
                <w:sz w:val="24"/>
              </w:rPr>
            </w:pPr>
            <w:r w:rsidRPr="008A1551">
              <w:rPr>
                <w:color w:val="000000"/>
                <w:sz w:val="24"/>
              </w:rPr>
              <w:t>回购到期日</w:t>
            </w:r>
          </w:p>
        </w:tc>
        <w:tc>
          <w:tcPr>
            <w:tcW w:w="1058" w:type="dxa"/>
            <w:vAlign w:val="center"/>
          </w:tcPr>
          <w:p w:rsidR="001548F9" w:rsidRPr="008A1551" w:rsidRDefault="001548F9" w:rsidP="009E1EA4">
            <w:pPr>
              <w:spacing w:before="29" w:line="288" w:lineRule="auto"/>
              <w:jc w:val="center"/>
              <w:rPr>
                <w:color w:val="000000"/>
                <w:sz w:val="24"/>
              </w:rPr>
            </w:pPr>
            <w:r w:rsidRPr="008A1551">
              <w:rPr>
                <w:color w:val="000000"/>
                <w:sz w:val="24"/>
              </w:rPr>
              <w:t>期末估值单价</w:t>
            </w:r>
          </w:p>
        </w:tc>
        <w:tc>
          <w:tcPr>
            <w:tcW w:w="1434" w:type="dxa"/>
            <w:vAlign w:val="center"/>
          </w:tcPr>
          <w:p w:rsidR="001548F9" w:rsidRPr="008A1551" w:rsidRDefault="001548F9" w:rsidP="009E1EA4">
            <w:pPr>
              <w:spacing w:before="29" w:line="288" w:lineRule="auto"/>
              <w:jc w:val="center"/>
              <w:rPr>
                <w:color w:val="000000"/>
                <w:sz w:val="24"/>
              </w:rPr>
            </w:pPr>
            <w:r w:rsidRPr="008A1551">
              <w:rPr>
                <w:color w:val="000000"/>
                <w:sz w:val="24"/>
              </w:rPr>
              <w:t>数量（张）</w:t>
            </w:r>
          </w:p>
        </w:tc>
        <w:tc>
          <w:tcPr>
            <w:tcW w:w="1828" w:type="dxa"/>
            <w:vAlign w:val="center"/>
          </w:tcPr>
          <w:p w:rsidR="001548F9" w:rsidRPr="008A1551" w:rsidRDefault="001548F9" w:rsidP="009E1EA4">
            <w:pPr>
              <w:spacing w:before="29" w:line="288" w:lineRule="auto"/>
              <w:jc w:val="center"/>
              <w:rPr>
                <w:color w:val="000000"/>
                <w:sz w:val="24"/>
              </w:rPr>
            </w:pPr>
            <w:r w:rsidRPr="008A1551">
              <w:rPr>
                <w:color w:val="000000"/>
                <w:sz w:val="24"/>
              </w:rPr>
              <w:t>期末估值总额</w:t>
            </w:r>
          </w:p>
        </w:tc>
      </w:tr>
      <w:tr w:rsidR="004957AA">
        <w:tc>
          <w:tcPr>
            <w:tcW w:w="1276" w:type="dxa"/>
            <w:vAlign w:val="center"/>
          </w:tcPr>
          <w:p w:rsidR="004957AA" w:rsidRDefault="00EF5A3D">
            <w:pPr>
              <w:jc w:val="center"/>
            </w:pPr>
            <w:r>
              <w:rPr>
                <w:color w:val="000000"/>
                <w:kern w:val="0"/>
                <w:sz w:val="24"/>
              </w:rPr>
              <w:t>180409</w:t>
            </w:r>
          </w:p>
        </w:tc>
        <w:tc>
          <w:tcPr>
            <w:tcW w:w="1843" w:type="dxa"/>
            <w:vAlign w:val="center"/>
          </w:tcPr>
          <w:p w:rsidR="004957AA" w:rsidRDefault="00EF5A3D">
            <w:pPr>
              <w:jc w:val="center"/>
            </w:pPr>
            <w:r>
              <w:rPr>
                <w:color w:val="000000"/>
                <w:kern w:val="0"/>
                <w:sz w:val="24"/>
              </w:rPr>
              <w:t>18</w:t>
            </w:r>
            <w:r>
              <w:rPr>
                <w:color w:val="000000"/>
                <w:kern w:val="0"/>
                <w:sz w:val="24"/>
              </w:rPr>
              <w:t>农发</w:t>
            </w:r>
            <w:r>
              <w:rPr>
                <w:color w:val="000000"/>
                <w:kern w:val="0"/>
                <w:sz w:val="24"/>
              </w:rPr>
              <w:t>09</w:t>
            </w:r>
          </w:p>
        </w:tc>
        <w:tc>
          <w:tcPr>
            <w:tcW w:w="1559" w:type="dxa"/>
            <w:vAlign w:val="center"/>
          </w:tcPr>
          <w:p w:rsidR="004957AA" w:rsidRDefault="00EF5A3D">
            <w:pPr>
              <w:jc w:val="center"/>
            </w:pPr>
            <w:r>
              <w:rPr>
                <w:color w:val="000000"/>
                <w:kern w:val="0"/>
                <w:sz w:val="24"/>
              </w:rPr>
              <w:t>2019-07-01</w:t>
            </w:r>
          </w:p>
        </w:tc>
        <w:tc>
          <w:tcPr>
            <w:tcW w:w="1058" w:type="dxa"/>
            <w:vAlign w:val="center"/>
          </w:tcPr>
          <w:p w:rsidR="004957AA" w:rsidRDefault="00EF5A3D">
            <w:pPr>
              <w:jc w:val="right"/>
            </w:pPr>
            <w:r>
              <w:rPr>
                <w:color w:val="000000"/>
                <w:kern w:val="0"/>
                <w:sz w:val="24"/>
              </w:rPr>
              <w:t>102.04</w:t>
            </w:r>
          </w:p>
        </w:tc>
        <w:tc>
          <w:tcPr>
            <w:tcW w:w="1434" w:type="dxa"/>
            <w:vAlign w:val="center"/>
          </w:tcPr>
          <w:p w:rsidR="004957AA" w:rsidRDefault="00EF5A3D">
            <w:pPr>
              <w:jc w:val="right"/>
            </w:pPr>
            <w:r>
              <w:rPr>
                <w:color w:val="000000"/>
                <w:kern w:val="0"/>
                <w:sz w:val="24"/>
              </w:rPr>
              <w:t>4,551,000</w:t>
            </w:r>
          </w:p>
        </w:tc>
        <w:tc>
          <w:tcPr>
            <w:tcW w:w="1828" w:type="dxa"/>
            <w:vAlign w:val="center"/>
          </w:tcPr>
          <w:p w:rsidR="004957AA" w:rsidRDefault="00EF5A3D">
            <w:pPr>
              <w:jc w:val="right"/>
            </w:pPr>
            <w:r>
              <w:rPr>
                <w:color w:val="000000"/>
                <w:kern w:val="0"/>
                <w:sz w:val="24"/>
              </w:rPr>
              <w:t>464,384,040.00</w:t>
            </w:r>
          </w:p>
        </w:tc>
      </w:tr>
      <w:tr w:rsidR="004957AA">
        <w:tc>
          <w:tcPr>
            <w:tcW w:w="1276" w:type="dxa"/>
            <w:vAlign w:val="center"/>
          </w:tcPr>
          <w:p w:rsidR="004957AA" w:rsidRDefault="00EF5A3D">
            <w:pPr>
              <w:jc w:val="center"/>
            </w:pPr>
            <w:r>
              <w:rPr>
                <w:color w:val="000000"/>
                <w:kern w:val="0"/>
                <w:sz w:val="24"/>
              </w:rPr>
              <w:t>190201</w:t>
            </w:r>
          </w:p>
        </w:tc>
        <w:tc>
          <w:tcPr>
            <w:tcW w:w="1843" w:type="dxa"/>
            <w:vAlign w:val="center"/>
          </w:tcPr>
          <w:p w:rsidR="004957AA" w:rsidRDefault="00EF5A3D">
            <w:pPr>
              <w:jc w:val="center"/>
            </w:pPr>
            <w:r>
              <w:rPr>
                <w:color w:val="000000"/>
                <w:kern w:val="0"/>
                <w:sz w:val="24"/>
              </w:rPr>
              <w:t>19</w:t>
            </w:r>
            <w:r>
              <w:rPr>
                <w:color w:val="000000"/>
                <w:kern w:val="0"/>
                <w:sz w:val="24"/>
              </w:rPr>
              <w:t>国开</w:t>
            </w:r>
            <w:r>
              <w:rPr>
                <w:color w:val="000000"/>
                <w:kern w:val="0"/>
                <w:sz w:val="24"/>
              </w:rPr>
              <w:t>01</w:t>
            </w:r>
          </w:p>
        </w:tc>
        <w:tc>
          <w:tcPr>
            <w:tcW w:w="1559" w:type="dxa"/>
            <w:vAlign w:val="center"/>
          </w:tcPr>
          <w:p w:rsidR="004957AA" w:rsidRDefault="00EF5A3D">
            <w:pPr>
              <w:jc w:val="center"/>
            </w:pPr>
            <w:r>
              <w:rPr>
                <w:color w:val="000000"/>
                <w:kern w:val="0"/>
                <w:sz w:val="24"/>
              </w:rPr>
              <w:t>2019-07-01</w:t>
            </w:r>
          </w:p>
        </w:tc>
        <w:tc>
          <w:tcPr>
            <w:tcW w:w="1058" w:type="dxa"/>
            <w:vAlign w:val="center"/>
          </w:tcPr>
          <w:p w:rsidR="004957AA" w:rsidRDefault="00EF5A3D">
            <w:pPr>
              <w:jc w:val="right"/>
            </w:pPr>
            <w:r>
              <w:rPr>
                <w:color w:val="000000"/>
                <w:kern w:val="0"/>
                <w:sz w:val="24"/>
              </w:rPr>
              <w:t>99.96</w:t>
            </w:r>
          </w:p>
        </w:tc>
        <w:tc>
          <w:tcPr>
            <w:tcW w:w="1434" w:type="dxa"/>
            <w:vAlign w:val="center"/>
          </w:tcPr>
          <w:p w:rsidR="004957AA" w:rsidRDefault="00EF5A3D">
            <w:pPr>
              <w:jc w:val="right"/>
            </w:pPr>
            <w:r>
              <w:rPr>
                <w:color w:val="000000"/>
                <w:kern w:val="0"/>
                <w:sz w:val="24"/>
              </w:rPr>
              <w:t>200,000</w:t>
            </w:r>
          </w:p>
        </w:tc>
        <w:tc>
          <w:tcPr>
            <w:tcW w:w="1828" w:type="dxa"/>
            <w:vAlign w:val="center"/>
          </w:tcPr>
          <w:p w:rsidR="004957AA" w:rsidRDefault="00EF5A3D">
            <w:pPr>
              <w:jc w:val="right"/>
            </w:pPr>
            <w:r>
              <w:rPr>
                <w:color w:val="000000"/>
                <w:kern w:val="0"/>
                <w:sz w:val="24"/>
              </w:rPr>
              <w:t>19,992,000.00</w:t>
            </w:r>
          </w:p>
        </w:tc>
      </w:tr>
      <w:tr w:rsidR="001548F9" w:rsidRPr="008A1551" w:rsidTr="0084429A">
        <w:tc>
          <w:tcPr>
            <w:tcW w:w="1276" w:type="dxa"/>
            <w:vAlign w:val="center"/>
          </w:tcPr>
          <w:p w:rsidR="001548F9" w:rsidRPr="008A1551" w:rsidRDefault="001548F9" w:rsidP="009E1EA4">
            <w:pPr>
              <w:spacing w:before="29" w:line="288" w:lineRule="auto"/>
              <w:rPr>
                <w:color w:val="000000"/>
                <w:kern w:val="0"/>
                <w:sz w:val="24"/>
              </w:rPr>
            </w:pPr>
            <w:r w:rsidRPr="008A1551">
              <w:rPr>
                <w:sz w:val="24"/>
              </w:rPr>
              <w:t>合计</w:t>
            </w:r>
          </w:p>
        </w:tc>
        <w:tc>
          <w:tcPr>
            <w:tcW w:w="1843"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1559"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1058"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p>
        </w:tc>
        <w:tc>
          <w:tcPr>
            <w:tcW w:w="1434" w:type="dxa"/>
            <w:vAlign w:val="center"/>
          </w:tcPr>
          <w:p w:rsidR="001548F9" w:rsidRPr="008A1551" w:rsidRDefault="001548F9" w:rsidP="009E1EA4">
            <w:pPr>
              <w:spacing w:before="29" w:line="288" w:lineRule="auto"/>
              <w:jc w:val="right"/>
              <w:rPr>
                <w:sz w:val="24"/>
              </w:rPr>
            </w:pPr>
            <w:r w:rsidRPr="008A1551">
              <w:rPr>
                <w:sz w:val="24"/>
              </w:rPr>
              <w:t>4,751,000</w:t>
            </w:r>
          </w:p>
        </w:tc>
        <w:tc>
          <w:tcPr>
            <w:tcW w:w="1828" w:type="dxa"/>
            <w:vAlign w:val="center"/>
          </w:tcPr>
          <w:p w:rsidR="001548F9" w:rsidRPr="008A1551" w:rsidRDefault="001548F9" w:rsidP="009E1EA4">
            <w:pPr>
              <w:spacing w:before="29" w:line="288" w:lineRule="auto"/>
              <w:jc w:val="right"/>
              <w:rPr>
                <w:sz w:val="24"/>
              </w:rPr>
            </w:pPr>
            <w:r w:rsidRPr="008A1551">
              <w:rPr>
                <w:sz w:val="24"/>
              </w:rPr>
              <w:t>484,376,040.00</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6.4.9.3.2 </w:t>
      </w:r>
      <w:r w:rsidRPr="008A1551">
        <w:rPr>
          <w:b/>
          <w:bCs/>
          <w:color w:val="000000"/>
          <w:sz w:val="24"/>
        </w:rPr>
        <w:t>交易所市场债券正回购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本基金本报告期末无从事交易所债券正回购交易形成的卖出回购证券款余额。</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55" w:name="_Toc331410101"/>
      <w:bookmarkStart w:id="56" w:name="_Toc225498272"/>
      <w:r w:rsidRPr="008A1551">
        <w:rPr>
          <w:b/>
          <w:bCs/>
          <w:szCs w:val="24"/>
          <w:lang w:val="en-US"/>
        </w:rPr>
        <w:t xml:space="preserve">7  </w:t>
      </w:r>
      <w:r w:rsidRPr="008A1551">
        <w:rPr>
          <w:b/>
          <w:bCs/>
          <w:szCs w:val="24"/>
          <w:lang w:val="en-US"/>
        </w:rPr>
        <w:t>投资组合报告</w:t>
      </w:r>
      <w:bookmarkEnd w:id="55"/>
      <w:bookmarkEnd w:id="56"/>
    </w:p>
    <w:p w:rsidR="001548F9" w:rsidRPr="008A1551" w:rsidRDefault="001548F9" w:rsidP="009E1EA4">
      <w:pPr>
        <w:pStyle w:val="20"/>
        <w:spacing w:before="29" w:after="0" w:line="288" w:lineRule="auto"/>
        <w:rPr>
          <w:rFonts w:ascii="Times New Roman" w:hAnsi="Times New Roman"/>
          <w:kern w:val="0"/>
          <w:szCs w:val="24"/>
        </w:rPr>
      </w:pPr>
      <w:bookmarkStart w:id="57" w:name="_Toc331410102"/>
      <w:bookmarkStart w:id="58" w:name="_Toc225498273"/>
      <w:r w:rsidRPr="008A1551">
        <w:rPr>
          <w:rFonts w:ascii="Times New Roman" w:hAnsi="Times New Roman"/>
          <w:bCs w:val="0"/>
          <w:color w:val="000000"/>
          <w:kern w:val="0"/>
          <w:szCs w:val="24"/>
        </w:rPr>
        <w:t xml:space="preserve">7.1 </w:t>
      </w:r>
      <w:r w:rsidRPr="008A1551">
        <w:rPr>
          <w:rFonts w:ascii="Times New Roman" w:hAnsi="Times New Roman"/>
          <w:kern w:val="0"/>
          <w:szCs w:val="24"/>
        </w:rPr>
        <w:t>期末基金资产组合情况</w:t>
      </w:r>
      <w:bookmarkEnd w:id="57"/>
      <w:bookmarkEnd w:id="58"/>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3419" w:type="dxa"/>
            <w:vAlign w:val="center"/>
          </w:tcPr>
          <w:p w:rsidR="001548F9" w:rsidRPr="008A1551" w:rsidRDefault="001548F9" w:rsidP="009E1EA4">
            <w:pPr>
              <w:spacing w:before="29" w:line="288" w:lineRule="auto"/>
              <w:rPr>
                <w:color w:val="000000"/>
                <w:sz w:val="24"/>
              </w:rPr>
            </w:pPr>
            <w:r w:rsidRPr="008A1551">
              <w:rPr>
                <w:color w:val="000000"/>
                <w:sz w:val="24"/>
              </w:rPr>
              <w:t>项目</w:t>
            </w:r>
          </w:p>
        </w:tc>
        <w:tc>
          <w:tcPr>
            <w:tcW w:w="2519"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占基金总资产的比例</w:t>
            </w:r>
            <w:r w:rsidR="00DE29AF"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1</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权益投资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2,024,896,000.00</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98.54</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2,024,896,000.00</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98.54</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p>
        </w:tc>
        <w:tc>
          <w:tcPr>
            <w:tcW w:w="3419" w:type="dxa"/>
            <w:vAlign w:val="center"/>
          </w:tcPr>
          <w:p w:rsidR="003D3FE1" w:rsidRPr="00690ED2" w:rsidRDefault="003D3FE1" w:rsidP="00EF5A3D">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0C405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w:t>
            </w:r>
            <w:proofErr w:type="gramStart"/>
            <w:r w:rsidRPr="00690ED2">
              <w:rPr>
                <w:rFonts w:eastAsiaTheme="minorEastAsia"/>
                <w:color w:val="000000" w:themeColor="text1"/>
                <w:sz w:val="24"/>
              </w:rPr>
              <w:t>品投资</w:t>
            </w:r>
            <w:proofErr w:type="gramEnd"/>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EF5A3D">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19"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2,112,340.82</w:t>
            </w:r>
          </w:p>
        </w:tc>
        <w:tc>
          <w:tcPr>
            <w:tcW w:w="1980" w:type="dxa"/>
            <w:vAlign w:val="center"/>
          </w:tcPr>
          <w:p w:rsidR="003D3FE1" w:rsidRPr="00690ED2" w:rsidRDefault="003D3FE1" w:rsidP="00EF5A3D">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0.10</w:t>
            </w:r>
          </w:p>
        </w:tc>
      </w:tr>
      <w:tr w:rsidR="003D3FE1" w:rsidRPr="008A1551" w:rsidTr="008F6836">
        <w:tc>
          <w:tcPr>
            <w:tcW w:w="1080" w:type="dxa"/>
            <w:vAlign w:val="center"/>
          </w:tcPr>
          <w:p w:rsidR="003D3FE1" w:rsidRPr="00690ED2" w:rsidRDefault="003D3FE1" w:rsidP="00EF5A3D">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19" w:type="dxa"/>
            <w:vAlign w:val="center"/>
          </w:tcPr>
          <w:p w:rsidR="003D3FE1" w:rsidRPr="00690ED2" w:rsidRDefault="003D3FE1" w:rsidP="00EF5A3D">
            <w:pPr>
              <w:spacing w:line="276" w:lineRule="auto"/>
              <w:jc w:val="right"/>
              <w:rPr>
                <w:rFonts w:eastAsiaTheme="minorEastAsia"/>
                <w:color w:val="000000" w:themeColor="text1"/>
                <w:sz w:val="24"/>
              </w:rPr>
            </w:pPr>
            <w:r w:rsidRPr="00690ED2">
              <w:rPr>
                <w:rFonts w:eastAsiaTheme="minorEastAsia"/>
                <w:color w:val="000000" w:themeColor="text1"/>
                <w:sz w:val="24"/>
              </w:rPr>
              <w:t>27,863,572.47</w:t>
            </w:r>
          </w:p>
        </w:tc>
        <w:tc>
          <w:tcPr>
            <w:tcW w:w="1980" w:type="dxa"/>
            <w:vAlign w:val="center"/>
          </w:tcPr>
          <w:p w:rsidR="003D3FE1" w:rsidRPr="00690ED2" w:rsidRDefault="003D3FE1" w:rsidP="00EF5A3D">
            <w:pPr>
              <w:spacing w:line="276" w:lineRule="auto"/>
              <w:jc w:val="right"/>
              <w:rPr>
                <w:rFonts w:eastAsiaTheme="minorEastAsia"/>
                <w:color w:val="000000" w:themeColor="text1"/>
                <w:sz w:val="24"/>
              </w:rPr>
            </w:pPr>
            <w:r w:rsidRPr="00690ED2">
              <w:rPr>
                <w:rFonts w:eastAsiaTheme="minorEastAsia"/>
                <w:color w:val="000000" w:themeColor="text1"/>
                <w:sz w:val="24"/>
              </w:rPr>
              <w:t>1.36</w:t>
            </w:r>
          </w:p>
        </w:tc>
      </w:tr>
      <w:tr w:rsidR="003D3FE1" w:rsidRPr="008A1551" w:rsidTr="008F6836">
        <w:tc>
          <w:tcPr>
            <w:tcW w:w="1080" w:type="dxa"/>
            <w:vAlign w:val="center"/>
          </w:tcPr>
          <w:p w:rsidR="003D3FE1" w:rsidRPr="00690ED2" w:rsidRDefault="003D3FE1" w:rsidP="00EF5A3D">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19" w:type="dxa"/>
            <w:vAlign w:val="center"/>
          </w:tcPr>
          <w:p w:rsidR="003D3FE1" w:rsidRPr="00690ED2" w:rsidRDefault="003D3FE1" w:rsidP="00EF5A3D">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19" w:type="dxa"/>
            <w:vAlign w:val="center"/>
          </w:tcPr>
          <w:p w:rsidR="003D3FE1" w:rsidRPr="00690ED2" w:rsidRDefault="003D3FE1" w:rsidP="00EF5A3D">
            <w:pPr>
              <w:spacing w:line="276" w:lineRule="auto"/>
              <w:jc w:val="right"/>
              <w:rPr>
                <w:rFonts w:eastAsiaTheme="minorEastAsia"/>
                <w:color w:val="000000" w:themeColor="text1"/>
                <w:sz w:val="24"/>
              </w:rPr>
            </w:pPr>
            <w:r w:rsidRPr="00690ED2">
              <w:rPr>
                <w:rFonts w:eastAsiaTheme="minorEastAsia"/>
                <w:color w:val="000000" w:themeColor="text1"/>
                <w:sz w:val="24"/>
              </w:rPr>
              <w:t>2,054,871,913.29</w:t>
            </w:r>
          </w:p>
        </w:tc>
        <w:tc>
          <w:tcPr>
            <w:tcW w:w="1980" w:type="dxa"/>
            <w:vAlign w:val="center"/>
          </w:tcPr>
          <w:p w:rsidR="003D3FE1" w:rsidRPr="00690ED2" w:rsidRDefault="003D3FE1" w:rsidP="00EF5A3D">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Pr="008A1551" w:rsidRDefault="001548F9" w:rsidP="009E1EA4">
      <w:pPr>
        <w:spacing w:before="29" w:line="288" w:lineRule="auto"/>
        <w:rPr>
          <w:color w:val="000000"/>
          <w:sz w:val="24"/>
        </w:rPr>
      </w:pPr>
    </w:p>
    <w:p w:rsidR="001548F9" w:rsidRDefault="001548F9" w:rsidP="009E1EA4">
      <w:pPr>
        <w:pStyle w:val="20"/>
        <w:spacing w:before="29" w:after="0" w:line="288" w:lineRule="auto"/>
        <w:rPr>
          <w:rFonts w:ascii="Times New Roman" w:hAnsi="Times New Roman"/>
          <w:kern w:val="0"/>
          <w:szCs w:val="24"/>
        </w:rPr>
      </w:pPr>
      <w:bookmarkStart w:id="59" w:name="_Toc331410103"/>
      <w:bookmarkStart w:id="60" w:name="_Toc225498274"/>
      <w:r w:rsidRPr="008A1551">
        <w:rPr>
          <w:rFonts w:ascii="Times New Roman" w:hAnsi="Times New Roman"/>
          <w:kern w:val="0"/>
          <w:szCs w:val="24"/>
        </w:rPr>
        <w:t xml:space="preserve">7.2 </w:t>
      </w:r>
      <w:r w:rsidRPr="008A1551">
        <w:rPr>
          <w:rFonts w:ascii="Times New Roman" w:hAnsi="Times New Roman"/>
          <w:kern w:val="0"/>
          <w:szCs w:val="24"/>
        </w:rPr>
        <w:t>期末按行业分类的股票投资组合</w:t>
      </w:r>
      <w:bookmarkEnd w:id="59"/>
      <w:bookmarkEnd w:id="60"/>
    </w:p>
    <w:p w:rsidR="000B7A0A" w:rsidRPr="000B7A0A" w:rsidRDefault="000B7A0A" w:rsidP="000B7A0A">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D52A9B" w:rsidRPr="00D52A9B" w:rsidRDefault="00D52A9B" w:rsidP="00D52A9B">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w:t>
      </w:r>
      <w:r w:rsidR="00ED740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D52A9B" w:rsidRPr="00D52A9B" w:rsidRDefault="00D52A9B" w:rsidP="00D52A9B">
      <w:pPr>
        <w:tabs>
          <w:tab w:val="left" w:pos="426"/>
        </w:tabs>
        <w:spacing w:line="360" w:lineRule="auto"/>
        <w:jc w:val="left"/>
        <w:rPr>
          <w:kern w:val="0"/>
          <w:sz w:val="24"/>
        </w:rPr>
      </w:pPr>
      <w:r w:rsidRPr="00D52A9B">
        <w:rPr>
          <w:kern w:val="0"/>
          <w:sz w:val="24"/>
        </w:rPr>
        <w:t>本基金本报告期末未持有通过港股通投资的股票。</w:t>
      </w:r>
    </w:p>
    <w:p w:rsidR="001548F9" w:rsidRPr="00D52A9B"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61" w:name="_Toc331410104"/>
      <w:r w:rsidRPr="008A1551">
        <w:rPr>
          <w:rFonts w:ascii="Times New Roman" w:hAnsi="Times New Roman"/>
          <w:kern w:val="0"/>
          <w:szCs w:val="24"/>
        </w:rPr>
        <w:t xml:space="preserve">7.3 </w:t>
      </w:r>
      <w:r w:rsidR="000A6E4A" w:rsidRPr="008A1551">
        <w:rPr>
          <w:rFonts w:ascii="Times New Roman" w:hAnsi="Times New Roman"/>
          <w:kern w:val="0"/>
          <w:szCs w:val="24"/>
        </w:rPr>
        <w:t>期末按公允价值占基金资产净值比例大小排序的前十名</w:t>
      </w:r>
      <w:r w:rsidRPr="008A1551">
        <w:rPr>
          <w:rFonts w:ascii="Times New Roman" w:hAnsi="Times New Roman"/>
          <w:kern w:val="0"/>
          <w:szCs w:val="24"/>
        </w:rPr>
        <w:t>股票投资明细</w:t>
      </w:r>
      <w:bookmarkEnd w:id="61"/>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1548F9" w:rsidRPr="008A1551" w:rsidRDefault="001548F9" w:rsidP="0069563C">
      <w:pPr>
        <w:pStyle w:val="20"/>
        <w:spacing w:before="29" w:after="0" w:line="288" w:lineRule="auto"/>
      </w:pPr>
      <w:bookmarkStart w:id="62" w:name="_Toc331410105"/>
      <w:bookmarkStart w:id="63" w:name="_GoBack"/>
      <w:r w:rsidRPr="008A1551">
        <w:rPr>
          <w:rFonts w:ascii="Times New Roman" w:hAnsi="Times New Roman"/>
          <w:kern w:val="0"/>
          <w:szCs w:val="24"/>
        </w:rPr>
        <w:t>7.4</w:t>
      </w:r>
      <w:bookmarkStart w:id="64" w:name="_Toc234814103"/>
      <w:r w:rsidRPr="008A1551">
        <w:rPr>
          <w:rFonts w:ascii="Times New Roman" w:hAnsi="Times New Roman"/>
          <w:kern w:val="0"/>
          <w:szCs w:val="24"/>
        </w:rPr>
        <w:t>报告期内股票投资组合的重大变动</w:t>
      </w:r>
      <w:bookmarkEnd w:id="62"/>
      <w:bookmarkEnd w:id="64"/>
    </w:p>
    <w:bookmarkEnd w:id="63"/>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本基金本报告期内未持有股票。</w:t>
      </w:r>
    </w:p>
    <w:p w:rsidR="001548F9" w:rsidRPr="008A1551" w:rsidRDefault="001548F9" w:rsidP="009E1EA4">
      <w:pPr>
        <w:pStyle w:val="20"/>
        <w:spacing w:before="29" w:after="0" w:line="288" w:lineRule="auto"/>
        <w:rPr>
          <w:rFonts w:ascii="Times New Roman" w:hAnsi="Times New Roman"/>
          <w:kern w:val="0"/>
          <w:szCs w:val="24"/>
        </w:rPr>
      </w:pPr>
      <w:bookmarkStart w:id="65" w:name="_Toc331410106"/>
      <w:bookmarkStart w:id="66" w:name="_Toc234814104"/>
      <w:r w:rsidRPr="008A1551">
        <w:rPr>
          <w:rFonts w:ascii="Times New Roman" w:hAnsi="Times New Roman"/>
          <w:kern w:val="0"/>
          <w:szCs w:val="24"/>
        </w:rPr>
        <w:t xml:space="preserve">7.5 </w:t>
      </w:r>
      <w:r w:rsidRPr="008A1551">
        <w:rPr>
          <w:rFonts w:ascii="Times New Roman" w:hAnsi="Times New Roman"/>
          <w:kern w:val="0"/>
          <w:szCs w:val="24"/>
        </w:rPr>
        <w:t>期末按债券品种分类的债券投资组合</w:t>
      </w:r>
      <w:bookmarkEnd w:id="65"/>
      <w:bookmarkEnd w:id="66"/>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344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债券品种</w:t>
            </w:r>
          </w:p>
        </w:tc>
        <w:tc>
          <w:tcPr>
            <w:tcW w:w="254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215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E67D14" w:rsidRPr="008A1551">
              <w:rPr>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国家债券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2</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央行票据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3</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金融债券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2,024,896,000.00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126.65</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其中：政策性金融债</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2,024,896,000.00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126.65</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4</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企业债券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5</w:t>
            </w:r>
          </w:p>
        </w:tc>
        <w:tc>
          <w:tcPr>
            <w:tcW w:w="3440" w:type="dxa"/>
            <w:vAlign w:val="center"/>
          </w:tcPr>
          <w:p w:rsidR="001548F9" w:rsidRPr="008A1551" w:rsidRDefault="00EB0D3E" w:rsidP="009E1EA4">
            <w:pPr>
              <w:spacing w:before="29" w:line="288" w:lineRule="auto"/>
              <w:ind w:left="17"/>
              <w:jc w:val="left"/>
              <w:rPr>
                <w:color w:val="000000"/>
                <w:sz w:val="24"/>
              </w:rPr>
            </w:pPr>
            <w:r w:rsidRPr="008A1551">
              <w:rPr>
                <w:color w:val="000000"/>
                <w:sz w:val="24"/>
              </w:rPr>
              <w:t>企业短期融资</w:t>
            </w:r>
            <w:proofErr w:type="gramStart"/>
            <w:r w:rsidRPr="008A1551">
              <w:rPr>
                <w:color w:val="000000"/>
                <w:sz w:val="24"/>
              </w:rPr>
              <w:t>券</w:t>
            </w:r>
            <w:proofErr w:type="gramEnd"/>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6</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中期票据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8A1551" w:rsidRDefault="004B6D45" w:rsidP="000B7A0A">
            <w:pPr>
              <w:spacing w:before="29" w:line="288" w:lineRule="auto"/>
              <w:ind w:left="17"/>
              <w:jc w:val="center"/>
              <w:rPr>
                <w:color w:val="000000"/>
                <w:sz w:val="24"/>
              </w:rPr>
            </w:pPr>
            <w:r w:rsidRPr="008A1551">
              <w:rPr>
                <w:color w:val="000000"/>
                <w:sz w:val="24"/>
              </w:rPr>
              <w:t>7</w:t>
            </w:r>
          </w:p>
        </w:tc>
        <w:tc>
          <w:tcPr>
            <w:tcW w:w="3440" w:type="dxa"/>
            <w:vAlign w:val="center"/>
          </w:tcPr>
          <w:p w:rsidR="004B6D45" w:rsidRPr="008A1551" w:rsidRDefault="004B6D45" w:rsidP="000B7A0A">
            <w:pPr>
              <w:spacing w:before="29" w:line="288" w:lineRule="auto"/>
              <w:ind w:left="17"/>
              <w:jc w:val="left"/>
              <w:rPr>
                <w:color w:val="000000"/>
                <w:sz w:val="24"/>
              </w:rPr>
            </w:pPr>
            <w:r w:rsidRPr="008A1551">
              <w:rPr>
                <w:color w:val="000000"/>
                <w:sz w:val="24"/>
              </w:rPr>
              <w:t>可转债</w:t>
            </w:r>
            <w:r w:rsidR="00D52A9B">
              <w:rPr>
                <w:rFonts w:hint="eastAsia"/>
                <w:color w:val="000000"/>
                <w:sz w:val="24"/>
              </w:rPr>
              <w:t>（可交换债</w:t>
            </w:r>
            <w:r w:rsidR="00D52A9B">
              <w:rPr>
                <w:color w:val="000000"/>
                <w:sz w:val="24"/>
              </w:rPr>
              <w:t>）</w:t>
            </w:r>
          </w:p>
        </w:tc>
        <w:tc>
          <w:tcPr>
            <w:tcW w:w="2543" w:type="dxa"/>
            <w:vAlign w:val="center"/>
          </w:tcPr>
          <w:p w:rsidR="004B6D45" w:rsidRPr="008A1551" w:rsidRDefault="004B6D45" w:rsidP="000B7A0A">
            <w:pPr>
              <w:spacing w:before="29" w:line="288" w:lineRule="auto"/>
              <w:ind w:left="17"/>
              <w:jc w:val="right"/>
              <w:rPr>
                <w:sz w:val="24"/>
              </w:rPr>
            </w:pPr>
            <w:r w:rsidRPr="008A1551">
              <w:rPr>
                <w:sz w:val="24"/>
              </w:rPr>
              <w:t>-</w:t>
            </w:r>
          </w:p>
        </w:tc>
        <w:tc>
          <w:tcPr>
            <w:tcW w:w="2153" w:type="dxa"/>
            <w:vAlign w:val="center"/>
          </w:tcPr>
          <w:p w:rsidR="004B6D45" w:rsidRPr="008A1551" w:rsidRDefault="004B6D45" w:rsidP="000B7A0A">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4B6D45" w:rsidRPr="004B6D45" w:rsidRDefault="004B6D45" w:rsidP="004B6D45">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9</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其他</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10</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合计</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2,024,896,000.00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126.65</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7" w:name="_Toc331410107"/>
      <w:r w:rsidRPr="008A1551">
        <w:rPr>
          <w:rFonts w:ascii="Times New Roman" w:hAnsi="Times New Roman"/>
          <w:kern w:val="0"/>
          <w:szCs w:val="24"/>
        </w:rPr>
        <w:t>7.6</w:t>
      </w:r>
      <w:bookmarkStart w:id="68" w:name="_Toc234814105"/>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的前五名债券投资明细</w:t>
      </w:r>
      <w:bookmarkEnd w:id="67"/>
      <w:bookmarkEnd w:id="68"/>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8A1551" w:rsidTr="00F35FEF">
        <w:tc>
          <w:tcPr>
            <w:tcW w:w="125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1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28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42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6F5445" w:rsidRPr="008A1551">
              <w:rPr>
                <w:color w:val="000000"/>
                <w:sz w:val="24"/>
              </w:rPr>
              <w:t>（</w:t>
            </w:r>
            <w:r w:rsidRPr="008A1551">
              <w:rPr>
                <w:color w:val="000000"/>
                <w:sz w:val="24"/>
              </w:rPr>
              <w:t>张</w:t>
            </w:r>
            <w:r w:rsidR="006F5445" w:rsidRPr="008A1551">
              <w:rPr>
                <w:color w:val="000000"/>
                <w:sz w:val="24"/>
              </w:rPr>
              <w:t>）</w:t>
            </w:r>
          </w:p>
        </w:tc>
        <w:tc>
          <w:tcPr>
            <w:tcW w:w="164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1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8666E" w:rsidRPr="008A1551">
              <w:rPr>
                <w:color w:val="000000"/>
                <w:sz w:val="24"/>
              </w:rPr>
              <w:t>（％）</w:t>
            </w:r>
          </w:p>
        </w:tc>
      </w:tr>
      <w:tr w:rsidR="004957AA">
        <w:tc>
          <w:tcPr>
            <w:tcW w:w="1320" w:type="dxa"/>
            <w:vAlign w:val="center"/>
          </w:tcPr>
          <w:p w:rsidR="004957AA" w:rsidRDefault="00EF5A3D">
            <w:pPr>
              <w:jc w:val="center"/>
            </w:pPr>
            <w:r>
              <w:rPr>
                <w:color w:val="000000"/>
                <w:sz w:val="24"/>
              </w:rPr>
              <w:t>1</w:t>
            </w:r>
          </w:p>
        </w:tc>
        <w:tc>
          <w:tcPr>
            <w:tcW w:w="1382" w:type="dxa"/>
            <w:vAlign w:val="center"/>
          </w:tcPr>
          <w:p w:rsidR="004957AA" w:rsidRDefault="00EF5A3D">
            <w:pPr>
              <w:jc w:val="center"/>
            </w:pPr>
            <w:r>
              <w:rPr>
                <w:color w:val="000000"/>
                <w:sz w:val="24"/>
              </w:rPr>
              <w:t>180409</w:t>
            </w:r>
          </w:p>
        </w:tc>
        <w:tc>
          <w:tcPr>
            <w:tcW w:w="1353" w:type="dxa"/>
            <w:vAlign w:val="center"/>
          </w:tcPr>
          <w:p w:rsidR="004957AA" w:rsidRDefault="00EF5A3D">
            <w:pPr>
              <w:jc w:val="center"/>
            </w:pPr>
            <w:r>
              <w:rPr>
                <w:color w:val="000000"/>
                <w:sz w:val="24"/>
              </w:rPr>
              <w:t>18</w:t>
            </w:r>
            <w:r>
              <w:rPr>
                <w:color w:val="000000"/>
                <w:sz w:val="24"/>
              </w:rPr>
              <w:t>农发</w:t>
            </w:r>
            <w:r>
              <w:rPr>
                <w:color w:val="000000"/>
                <w:sz w:val="24"/>
              </w:rPr>
              <w:t>09</w:t>
            </w:r>
          </w:p>
        </w:tc>
        <w:tc>
          <w:tcPr>
            <w:tcW w:w="1505" w:type="dxa"/>
            <w:vAlign w:val="center"/>
          </w:tcPr>
          <w:p w:rsidR="004957AA" w:rsidRDefault="00EF5A3D">
            <w:pPr>
              <w:jc w:val="right"/>
            </w:pPr>
            <w:r>
              <w:rPr>
                <w:color w:val="000000"/>
                <w:sz w:val="24"/>
              </w:rPr>
              <w:t>4,700,000</w:t>
            </w:r>
          </w:p>
        </w:tc>
        <w:tc>
          <w:tcPr>
            <w:tcW w:w="1737" w:type="dxa"/>
            <w:vAlign w:val="center"/>
          </w:tcPr>
          <w:p w:rsidR="004957AA" w:rsidRDefault="00EF5A3D">
            <w:pPr>
              <w:jc w:val="right"/>
            </w:pPr>
            <w:r>
              <w:rPr>
                <w:color w:val="000000"/>
                <w:sz w:val="24"/>
              </w:rPr>
              <w:t>479,588,000.00</w:t>
            </w:r>
          </w:p>
        </w:tc>
        <w:tc>
          <w:tcPr>
            <w:tcW w:w="1701" w:type="dxa"/>
            <w:vAlign w:val="center"/>
          </w:tcPr>
          <w:p w:rsidR="004957AA" w:rsidRDefault="00EF5A3D">
            <w:pPr>
              <w:jc w:val="right"/>
            </w:pPr>
            <w:r>
              <w:rPr>
                <w:color w:val="000000"/>
                <w:sz w:val="24"/>
              </w:rPr>
              <w:t>30.00</w:t>
            </w:r>
          </w:p>
        </w:tc>
      </w:tr>
      <w:tr w:rsidR="004957AA">
        <w:tc>
          <w:tcPr>
            <w:tcW w:w="1320" w:type="dxa"/>
            <w:vAlign w:val="center"/>
          </w:tcPr>
          <w:p w:rsidR="004957AA" w:rsidRDefault="00EF5A3D">
            <w:pPr>
              <w:jc w:val="center"/>
            </w:pPr>
            <w:r>
              <w:rPr>
                <w:color w:val="000000"/>
                <w:sz w:val="24"/>
              </w:rPr>
              <w:t>2</w:t>
            </w:r>
          </w:p>
        </w:tc>
        <w:tc>
          <w:tcPr>
            <w:tcW w:w="1382" w:type="dxa"/>
            <w:vAlign w:val="center"/>
          </w:tcPr>
          <w:p w:rsidR="004957AA" w:rsidRDefault="00EF5A3D">
            <w:pPr>
              <w:jc w:val="center"/>
            </w:pPr>
            <w:r>
              <w:rPr>
                <w:color w:val="000000"/>
                <w:sz w:val="24"/>
              </w:rPr>
              <w:t>180208</w:t>
            </w:r>
          </w:p>
        </w:tc>
        <w:tc>
          <w:tcPr>
            <w:tcW w:w="1353" w:type="dxa"/>
            <w:vAlign w:val="center"/>
          </w:tcPr>
          <w:p w:rsidR="004957AA" w:rsidRDefault="00EF5A3D">
            <w:pPr>
              <w:jc w:val="center"/>
            </w:pPr>
            <w:r>
              <w:rPr>
                <w:color w:val="000000"/>
                <w:sz w:val="24"/>
              </w:rPr>
              <w:t>18</w:t>
            </w:r>
            <w:r>
              <w:rPr>
                <w:color w:val="000000"/>
                <w:sz w:val="24"/>
              </w:rPr>
              <w:t>国开</w:t>
            </w:r>
            <w:r>
              <w:rPr>
                <w:color w:val="000000"/>
                <w:sz w:val="24"/>
              </w:rPr>
              <w:t>08</w:t>
            </w:r>
          </w:p>
        </w:tc>
        <w:tc>
          <w:tcPr>
            <w:tcW w:w="1505" w:type="dxa"/>
            <w:vAlign w:val="center"/>
          </w:tcPr>
          <w:p w:rsidR="004957AA" w:rsidRDefault="00EF5A3D">
            <w:pPr>
              <w:jc w:val="right"/>
            </w:pPr>
            <w:r>
              <w:rPr>
                <w:color w:val="000000"/>
                <w:sz w:val="24"/>
              </w:rPr>
              <w:t>4,500,000</w:t>
            </w:r>
          </w:p>
        </w:tc>
        <w:tc>
          <w:tcPr>
            <w:tcW w:w="1737" w:type="dxa"/>
            <w:vAlign w:val="center"/>
          </w:tcPr>
          <w:p w:rsidR="004957AA" w:rsidRDefault="00EF5A3D">
            <w:pPr>
              <w:jc w:val="right"/>
            </w:pPr>
            <w:r>
              <w:rPr>
                <w:color w:val="000000"/>
                <w:sz w:val="24"/>
              </w:rPr>
              <w:t>457,920,000.00</w:t>
            </w:r>
          </w:p>
        </w:tc>
        <w:tc>
          <w:tcPr>
            <w:tcW w:w="1701" w:type="dxa"/>
            <w:vAlign w:val="center"/>
          </w:tcPr>
          <w:p w:rsidR="004957AA" w:rsidRDefault="00EF5A3D">
            <w:pPr>
              <w:jc w:val="right"/>
            </w:pPr>
            <w:r>
              <w:rPr>
                <w:color w:val="000000"/>
                <w:sz w:val="24"/>
              </w:rPr>
              <w:t>28.64</w:t>
            </w:r>
          </w:p>
        </w:tc>
      </w:tr>
      <w:tr w:rsidR="004957AA">
        <w:tc>
          <w:tcPr>
            <w:tcW w:w="1320" w:type="dxa"/>
            <w:vAlign w:val="center"/>
          </w:tcPr>
          <w:p w:rsidR="004957AA" w:rsidRDefault="00EF5A3D">
            <w:pPr>
              <w:jc w:val="center"/>
            </w:pPr>
            <w:r>
              <w:rPr>
                <w:color w:val="000000"/>
                <w:sz w:val="24"/>
              </w:rPr>
              <w:t>3</w:t>
            </w:r>
          </w:p>
        </w:tc>
        <w:tc>
          <w:tcPr>
            <w:tcW w:w="1382" w:type="dxa"/>
            <w:vAlign w:val="center"/>
          </w:tcPr>
          <w:p w:rsidR="004957AA" w:rsidRDefault="00EF5A3D">
            <w:pPr>
              <w:jc w:val="center"/>
            </w:pPr>
            <w:r>
              <w:rPr>
                <w:color w:val="000000"/>
                <w:sz w:val="24"/>
              </w:rPr>
              <w:t>180204</w:t>
            </w:r>
          </w:p>
        </w:tc>
        <w:tc>
          <w:tcPr>
            <w:tcW w:w="1353" w:type="dxa"/>
            <w:vAlign w:val="center"/>
          </w:tcPr>
          <w:p w:rsidR="004957AA" w:rsidRDefault="00EF5A3D">
            <w:pPr>
              <w:jc w:val="center"/>
            </w:pPr>
            <w:r>
              <w:rPr>
                <w:color w:val="000000"/>
                <w:sz w:val="24"/>
              </w:rPr>
              <w:t>18</w:t>
            </w:r>
            <w:r>
              <w:rPr>
                <w:color w:val="000000"/>
                <w:sz w:val="24"/>
              </w:rPr>
              <w:t>国开</w:t>
            </w:r>
            <w:r>
              <w:rPr>
                <w:color w:val="000000"/>
                <w:sz w:val="24"/>
              </w:rPr>
              <w:t>04</w:t>
            </w:r>
          </w:p>
        </w:tc>
        <w:tc>
          <w:tcPr>
            <w:tcW w:w="1505" w:type="dxa"/>
            <w:vAlign w:val="center"/>
          </w:tcPr>
          <w:p w:rsidR="004957AA" w:rsidRDefault="00EF5A3D">
            <w:pPr>
              <w:jc w:val="right"/>
            </w:pPr>
            <w:r>
              <w:rPr>
                <w:color w:val="000000"/>
                <w:sz w:val="24"/>
              </w:rPr>
              <w:t>2,500,000</w:t>
            </w:r>
          </w:p>
        </w:tc>
        <w:tc>
          <w:tcPr>
            <w:tcW w:w="1737" w:type="dxa"/>
            <w:vAlign w:val="center"/>
          </w:tcPr>
          <w:p w:rsidR="004957AA" w:rsidRDefault="00EF5A3D">
            <w:pPr>
              <w:jc w:val="right"/>
            </w:pPr>
            <w:r>
              <w:rPr>
                <w:color w:val="000000"/>
                <w:sz w:val="24"/>
              </w:rPr>
              <w:t>261,225,000.00</w:t>
            </w:r>
          </w:p>
        </w:tc>
        <w:tc>
          <w:tcPr>
            <w:tcW w:w="1701" w:type="dxa"/>
            <w:vAlign w:val="center"/>
          </w:tcPr>
          <w:p w:rsidR="004957AA" w:rsidRDefault="00EF5A3D">
            <w:pPr>
              <w:jc w:val="right"/>
            </w:pPr>
            <w:r>
              <w:rPr>
                <w:color w:val="000000"/>
                <w:sz w:val="24"/>
              </w:rPr>
              <w:t>16.34</w:t>
            </w:r>
          </w:p>
        </w:tc>
      </w:tr>
      <w:tr w:rsidR="004957AA">
        <w:tc>
          <w:tcPr>
            <w:tcW w:w="1320" w:type="dxa"/>
            <w:vAlign w:val="center"/>
          </w:tcPr>
          <w:p w:rsidR="004957AA" w:rsidRDefault="00EF5A3D">
            <w:pPr>
              <w:jc w:val="center"/>
            </w:pPr>
            <w:r>
              <w:rPr>
                <w:color w:val="000000"/>
                <w:sz w:val="24"/>
              </w:rPr>
              <w:t>4</w:t>
            </w:r>
          </w:p>
        </w:tc>
        <w:tc>
          <w:tcPr>
            <w:tcW w:w="1382" w:type="dxa"/>
            <w:vAlign w:val="center"/>
          </w:tcPr>
          <w:p w:rsidR="004957AA" w:rsidRDefault="00EF5A3D">
            <w:pPr>
              <w:jc w:val="center"/>
            </w:pPr>
            <w:r>
              <w:rPr>
                <w:color w:val="000000"/>
                <w:sz w:val="24"/>
              </w:rPr>
              <w:t>180203</w:t>
            </w:r>
          </w:p>
        </w:tc>
        <w:tc>
          <w:tcPr>
            <w:tcW w:w="1353" w:type="dxa"/>
            <w:vAlign w:val="center"/>
          </w:tcPr>
          <w:p w:rsidR="004957AA" w:rsidRDefault="00EF5A3D">
            <w:pPr>
              <w:jc w:val="center"/>
            </w:pPr>
            <w:r>
              <w:rPr>
                <w:color w:val="000000"/>
                <w:sz w:val="24"/>
              </w:rPr>
              <w:t>18</w:t>
            </w:r>
            <w:r>
              <w:rPr>
                <w:color w:val="000000"/>
                <w:sz w:val="24"/>
              </w:rPr>
              <w:t>国开</w:t>
            </w:r>
            <w:r>
              <w:rPr>
                <w:color w:val="000000"/>
                <w:sz w:val="24"/>
              </w:rPr>
              <w:t>03</w:t>
            </w:r>
          </w:p>
        </w:tc>
        <w:tc>
          <w:tcPr>
            <w:tcW w:w="1505" w:type="dxa"/>
            <w:vAlign w:val="center"/>
          </w:tcPr>
          <w:p w:rsidR="004957AA" w:rsidRDefault="00EF5A3D">
            <w:pPr>
              <w:jc w:val="right"/>
            </w:pPr>
            <w:r>
              <w:rPr>
                <w:color w:val="000000"/>
                <w:sz w:val="24"/>
              </w:rPr>
              <w:t>2,000,000</w:t>
            </w:r>
          </w:p>
        </w:tc>
        <w:tc>
          <w:tcPr>
            <w:tcW w:w="1737" w:type="dxa"/>
            <w:vAlign w:val="center"/>
          </w:tcPr>
          <w:p w:rsidR="004957AA" w:rsidRDefault="00EF5A3D">
            <w:pPr>
              <w:jc w:val="right"/>
            </w:pPr>
            <w:r>
              <w:rPr>
                <w:color w:val="000000"/>
                <w:sz w:val="24"/>
              </w:rPr>
              <w:t>205,200,000.00</w:t>
            </w:r>
          </w:p>
        </w:tc>
        <w:tc>
          <w:tcPr>
            <w:tcW w:w="1701" w:type="dxa"/>
            <w:vAlign w:val="center"/>
          </w:tcPr>
          <w:p w:rsidR="004957AA" w:rsidRDefault="00EF5A3D">
            <w:pPr>
              <w:jc w:val="right"/>
            </w:pPr>
            <w:r>
              <w:rPr>
                <w:color w:val="000000"/>
                <w:sz w:val="24"/>
              </w:rPr>
              <w:t>12.83</w:t>
            </w:r>
          </w:p>
        </w:tc>
      </w:tr>
      <w:tr w:rsidR="004957AA">
        <w:tc>
          <w:tcPr>
            <w:tcW w:w="1320" w:type="dxa"/>
            <w:vAlign w:val="center"/>
          </w:tcPr>
          <w:p w:rsidR="004957AA" w:rsidRDefault="00EF5A3D">
            <w:pPr>
              <w:jc w:val="center"/>
            </w:pPr>
            <w:r>
              <w:rPr>
                <w:color w:val="000000"/>
                <w:sz w:val="24"/>
              </w:rPr>
              <w:t>5</w:t>
            </w:r>
          </w:p>
        </w:tc>
        <w:tc>
          <w:tcPr>
            <w:tcW w:w="1382" w:type="dxa"/>
            <w:vAlign w:val="center"/>
          </w:tcPr>
          <w:p w:rsidR="004957AA" w:rsidRDefault="00EF5A3D">
            <w:pPr>
              <w:jc w:val="center"/>
            </w:pPr>
            <w:r>
              <w:rPr>
                <w:color w:val="000000"/>
                <w:sz w:val="24"/>
              </w:rPr>
              <w:t>170212</w:t>
            </w:r>
          </w:p>
        </w:tc>
        <w:tc>
          <w:tcPr>
            <w:tcW w:w="1353" w:type="dxa"/>
            <w:vAlign w:val="center"/>
          </w:tcPr>
          <w:p w:rsidR="004957AA" w:rsidRDefault="00EF5A3D">
            <w:pPr>
              <w:jc w:val="center"/>
            </w:pPr>
            <w:r>
              <w:rPr>
                <w:color w:val="000000"/>
                <w:sz w:val="24"/>
              </w:rPr>
              <w:t>17</w:t>
            </w:r>
            <w:r>
              <w:rPr>
                <w:color w:val="000000"/>
                <w:sz w:val="24"/>
              </w:rPr>
              <w:t>国开</w:t>
            </w:r>
            <w:r>
              <w:rPr>
                <w:color w:val="000000"/>
                <w:sz w:val="24"/>
              </w:rPr>
              <w:t>12</w:t>
            </w:r>
          </w:p>
        </w:tc>
        <w:tc>
          <w:tcPr>
            <w:tcW w:w="1505" w:type="dxa"/>
            <w:vAlign w:val="center"/>
          </w:tcPr>
          <w:p w:rsidR="004957AA" w:rsidRDefault="00EF5A3D">
            <w:pPr>
              <w:jc w:val="right"/>
            </w:pPr>
            <w:r>
              <w:rPr>
                <w:color w:val="000000"/>
                <w:sz w:val="24"/>
              </w:rPr>
              <w:t>1,500,000</w:t>
            </w:r>
          </w:p>
        </w:tc>
        <w:tc>
          <w:tcPr>
            <w:tcW w:w="1737" w:type="dxa"/>
            <w:vAlign w:val="center"/>
          </w:tcPr>
          <w:p w:rsidR="004957AA" w:rsidRDefault="00EF5A3D">
            <w:pPr>
              <w:jc w:val="right"/>
            </w:pPr>
            <w:r>
              <w:rPr>
                <w:color w:val="000000"/>
                <w:sz w:val="24"/>
              </w:rPr>
              <w:t>155,175,000.00</w:t>
            </w:r>
          </w:p>
        </w:tc>
        <w:tc>
          <w:tcPr>
            <w:tcW w:w="1701" w:type="dxa"/>
            <w:vAlign w:val="center"/>
          </w:tcPr>
          <w:p w:rsidR="004957AA" w:rsidRDefault="00EF5A3D">
            <w:pPr>
              <w:jc w:val="right"/>
            </w:pPr>
            <w:r>
              <w:rPr>
                <w:color w:val="000000"/>
                <w:sz w:val="24"/>
              </w:rPr>
              <w:t>9.71</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9" w:name="_Toc331410108"/>
      <w:r w:rsidRPr="008A1551">
        <w:rPr>
          <w:rFonts w:ascii="Times New Roman" w:hAnsi="Times New Roman"/>
          <w:kern w:val="0"/>
          <w:szCs w:val="24"/>
        </w:rPr>
        <w:t xml:space="preserve">7.7 </w:t>
      </w:r>
      <w:r w:rsidR="003E2C82"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003E2C82" w:rsidRPr="008A1551">
        <w:rPr>
          <w:rFonts w:ascii="Times New Roman" w:hAnsi="Times New Roman"/>
          <w:kern w:val="0"/>
          <w:szCs w:val="24"/>
        </w:rPr>
        <w:t>的前十名</w:t>
      </w:r>
      <w:r w:rsidRPr="008A1551">
        <w:rPr>
          <w:rFonts w:ascii="Times New Roman" w:hAnsi="Times New Roman"/>
          <w:kern w:val="0"/>
          <w:szCs w:val="24"/>
        </w:rPr>
        <w:t>资产支持证券投资明细</w:t>
      </w:r>
      <w:bookmarkEnd w:id="69"/>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本基金本报告期末未持有资产支持证券。</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3F4AC3" w:rsidRPr="008A1551" w:rsidRDefault="003F4AC3" w:rsidP="003F4AC3">
      <w:pPr>
        <w:pStyle w:val="20"/>
        <w:spacing w:before="29" w:after="0" w:line="288" w:lineRule="auto"/>
        <w:rPr>
          <w:rFonts w:ascii="Times New Roman" w:hAnsi="Times New Roman"/>
          <w:kern w:val="0"/>
          <w:szCs w:val="24"/>
        </w:rPr>
      </w:pPr>
      <w:bookmarkStart w:id="70" w:name="_Toc390421264"/>
      <w:r w:rsidRPr="008A1551">
        <w:rPr>
          <w:rFonts w:ascii="Times New Roman" w:hAnsi="Times New Roman"/>
          <w:kern w:val="0"/>
          <w:szCs w:val="24"/>
        </w:rPr>
        <w:t xml:space="preserve">7.8 </w:t>
      </w:r>
      <w:r w:rsidRPr="008A1551">
        <w:rPr>
          <w:rFonts w:ascii="Times New Roman" w:hAnsi="Times New Roman"/>
          <w:kern w:val="0"/>
          <w:szCs w:val="24"/>
        </w:rPr>
        <w:t>报告期末按公允价值占基金资产净值比例大小排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的前五名贵金属投资明细</w:t>
      </w:r>
      <w:bookmarkEnd w:id="70"/>
    </w:p>
    <w:p w:rsidR="003F4AC3" w:rsidRPr="008A1551" w:rsidRDefault="003F4AC3" w:rsidP="003F4AC3">
      <w:pPr>
        <w:tabs>
          <w:tab w:val="left" w:pos="426"/>
        </w:tabs>
        <w:spacing w:before="29" w:line="288" w:lineRule="auto"/>
        <w:jc w:val="left"/>
        <w:rPr>
          <w:kern w:val="0"/>
          <w:sz w:val="24"/>
        </w:rPr>
      </w:pPr>
      <w:r w:rsidRPr="008A1551">
        <w:rPr>
          <w:kern w:val="0"/>
          <w:sz w:val="24"/>
        </w:rPr>
        <w:t>本基金本报告期末未持有贵金属。</w:t>
      </w:r>
    </w:p>
    <w:p w:rsidR="001548F9" w:rsidRPr="008A1551" w:rsidRDefault="001548F9" w:rsidP="009E1EA4">
      <w:pPr>
        <w:pStyle w:val="20"/>
        <w:spacing w:before="29" w:after="0" w:line="288" w:lineRule="auto"/>
        <w:rPr>
          <w:rFonts w:ascii="Times New Roman" w:hAnsi="Times New Roman"/>
          <w:kern w:val="0"/>
          <w:szCs w:val="24"/>
        </w:rPr>
      </w:pPr>
      <w:bookmarkStart w:id="71" w:name="_Toc331410109"/>
      <w:r w:rsidRPr="008A1551">
        <w:rPr>
          <w:rFonts w:ascii="Times New Roman" w:hAnsi="Times New Roman"/>
          <w:kern w:val="0"/>
          <w:szCs w:val="24"/>
        </w:rPr>
        <w:t xml:space="preserve">7.9 </w:t>
      </w:r>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的前五名权证投资明细</w:t>
      </w:r>
      <w:bookmarkEnd w:id="71"/>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本基金本报告期末未持有权证。</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7.10 </w:t>
      </w:r>
      <w:r w:rsidRPr="008A1551">
        <w:rPr>
          <w:rFonts w:ascii="Times New Roman" w:hAnsi="Times New Roman"/>
          <w:kern w:val="0"/>
          <w:szCs w:val="24"/>
        </w:rPr>
        <w:t>报告期末本基金投资的股指期货交易情况说明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本基金本报告期末未持有股指期货。</w:t>
      </w:r>
    </w:p>
    <w:p w:rsidR="001548F9" w:rsidRPr="008A1551" w:rsidRDefault="001548F9" w:rsidP="009E1EA4">
      <w:pPr>
        <w:adjustRightInd w:val="0"/>
        <w:snapToGrid w:val="0"/>
        <w:spacing w:before="29" w:line="288" w:lineRule="auto"/>
        <w:rPr>
          <w:sz w:val="24"/>
        </w:rPr>
      </w:pPr>
    </w:p>
    <w:p w:rsidR="00513DD2" w:rsidRPr="008A1551" w:rsidRDefault="00513DD2"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7.11</w:t>
      </w:r>
      <w:r w:rsidRPr="008A1551">
        <w:rPr>
          <w:rFonts w:ascii="Times New Roman" w:hAnsi="Times New Roman"/>
          <w:kern w:val="0"/>
          <w:szCs w:val="24"/>
        </w:rPr>
        <w:t>报告期末本基金投资的国债期货交易情况说明</w:t>
      </w:r>
    </w:p>
    <w:p w:rsidR="00513DD2" w:rsidRPr="008A1551" w:rsidRDefault="00513DD2" w:rsidP="009E1EA4">
      <w:pPr>
        <w:tabs>
          <w:tab w:val="left" w:pos="426"/>
        </w:tabs>
        <w:spacing w:before="29" w:line="288" w:lineRule="auto"/>
        <w:jc w:val="left"/>
        <w:rPr>
          <w:kern w:val="0"/>
          <w:sz w:val="24"/>
        </w:rPr>
      </w:pPr>
      <w:r w:rsidRPr="008A1551">
        <w:rPr>
          <w:kern w:val="0"/>
          <w:sz w:val="24"/>
        </w:rPr>
        <w:t>本基金本报告期末未持有国债期货。</w:t>
      </w:r>
    </w:p>
    <w:p w:rsidR="00455950" w:rsidRPr="008A1551" w:rsidRDefault="00455950"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72" w:name="_Toc331410110"/>
      <w:r w:rsidRPr="008A1551">
        <w:rPr>
          <w:rFonts w:ascii="Times New Roman" w:hAnsi="Times New Roman"/>
          <w:kern w:val="0"/>
          <w:szCs w:val="24"/>
        </w:rPr>
        <w:t xml:space="preserve">7.12 </w:t>
      </w:r>
      <w:r w:rsidRPr="008A1551">
        <w:rPr>
          <w:rFonts w:ascii="Times New Roman" w:hAnsi="Times New Roman"/>
          <w:kern w:val="0"/>
          <w:szCs w:val="24"/>
        </w:rPr>
        <w:t>投资组合报告附注</w:t>
      </w:r>
      <w:bookmarkEnd w:id="72"/>
    </w:p>
    <w:p w:rsidR="001548F9" w:rsidRPr="008A1551" w:rsidRDefault="001548F9" w:rsidP="00DE20AB">
      <w:pPr>
        <w:spacing w:before="29" w:line="288" w:lineRule="auto"/>
        <w:rPr>
          <w:color w:val="000000"/>
          <w:sz w:val="24"/>
        </w:rPr>
      </w:pPr>
      <w:r w:rsidRPr="008A1551">
        <w:rPr>
          <w:color w:val="000000"/>
          <w:sz w:val="24"/>
        </w:rPr>
        <w:t>7.12.1</w:t>
      </w:r>
      <w:r w:rsidRPr="008A1551">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8A1551" w:rsidRDefault="001548F9" w:rsidP="00DE20AB">
      <w:pPr>
        <w:spacing w:before="29" w:line="288" w:lineRule="auto"/>
        <w:rPr>
          <w:color w:val="000000"/>
          <w:sz w:val="24"/>
        </w:rPr>
      </w:pPr>
      <w:r w:rsidRPr="008A1551">
        <w:rPr>
          <w:color w:val="000000"/>
          <w:sz w:val="24"/>
        </w:rPr>
        <w:t>7.12.2</w:t>
      </w:r>
      <w:r w:rsidRPr="008A1551">
        <w:rPr>
          <w:color w:val="000000"/>
          <w:sz w:val="24"/>
        </w:rPr>
        <w:t>本基金投资的前十名股票中，没有超出基金合同规定的备选股票库之外的股票。</w:t>
      </w:r>
    </w:p>
    <w:p w:rsidR="009B7FFE" w:rsidRPr="008A1551" w:rsidRDefault="009B7FFE"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color w:val="000000"/>
          <w:sz w:val="24"/>
        </w:rPr>
        <w:t>7.12.3</w:t>
      </w:r>
      <w:r w:rsidRPr="008A1551">
        <w:rPr>
          <w:b/>
          <w:bCs/>
          <w:color w:val="000000"/>
          <w:sz w:val="24"/>
        </w:rPr>
        <w:t>期末其他各项资产构成</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4117" w:type="dxa"/>
            <w:vAlign w:val="center"/>
          </w:tcPr>
          <w:p w:rsidR="001548F9" w:rsidRPr="008A1551" w:rsidRDefault="001548F9" w:rsidP="009E1EA4">
            <w:pPr>
              <w:spacing w:before="29" w:line="288" w:lineRule="auto"/>
              <w:jc w:val="center"/>
              <w:rPr>
                <w:color w:val="000000"/>
                <w:sz w:val="24"/>
              </w:rPr>
            </w:pPr>
            <w:r w:rsidRPr="008A1551">
              <w:rPr>
                <w:color w:val="000000"/>
                <w:sz w:val="24"/>
              </w:rPr>
              <w:t>名称</w:t>
            </w:r>
          </w:p>
        </w:tc>
        <w:tc>
          <w:tcPr>
            <w:tcW w:w="4118"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1</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存出保证金</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3,384.96</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2</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应收证券清算款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3</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应收股利</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4</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应收利息</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27,829,891.38</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5</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应收申购款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619.73</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6</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其他应收款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7</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待摊费用</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29,676.40</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8</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9</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合计</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27,863,572.47</w:t>
            </w:r>
          </w:p>
        </w:tc>
      </w:tr>
    </w:tbl>
    <w:p w:rsidR="001548F9" w:rsidRPr="008A1551" w:rsidRDefault="001548F9" w:rsidP="009E1EA4">
      <w:pPr>
        <w:pStyle w:val="af6"/>
        <w:spacing w:before="29" w:beforeAutospacing="0" w:after="0" w:afterAutospacing="0" w:line="288" w:lineRule="auto"/>
        <w:rPr>
          <w:rFonts w:ascii="Times New Roman" w:hAnsi="Times New Roman"/>
          <w:b/>
          <w:bCs/>
          <w:color w:val="000000"/>
        </w:rPr>
      </w:pPr>
    </w:p>
    <w:p w:rsidR="001548F9" w:rsidRPr="008A1551" w:rsidRDefault="001548F9" w:rsidP="009E1EA4">
      <w:pPr>
        <w:spacing w:before="29" w:line="288" w:lineRule="auto"/>
        <w:rPr>
          <w:b/>
          <w:bCs/>
          <w:color w:val="000000"/>
          <w:sz w:val="24"/>
        </w:rPr>
      </w:pPr>
      <w:r w:rsidRPr="008A1551">
        <w:rPr>
          <w:b/>
          <w:color w:val="000000"/>
          <w:sz w:val="24"/>
        </w:rPr>
        <w:t>7.12.4</w:t>
      </w:r>
      <w:r w:rsidRPr="008A1551">
        <w:rPr>
          <w:b/>
          <w:bCs/>
          <w:color w:val="000000"/>
          <w:sz w:val="24"/>
        </w:rPr>
        <w:t>期末持有的处于转股期的可转换债券明细</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本基金本报告期末未持有处于转股期的可转换债券。</w:t>
      </w:r>
    </w:p>
    <w:p w:rsidR="001548F9" w:rsidRPr="008A1551" w:rsidRDefault="001548F9" w:rsidP="009E1EA4">
      <w:pPr>
        <w:spacing w:before="29" w:line="288" w:lineRule="auto"/>
        <w:rPr>
          <w:b/>
          <w:bCs/>
          <w:color w:val="000000"/>
          <w:sz w:val="24"/>
        </w:rPr>
      </w:pPr>
      <w:r w:rsidRPr="008A1551">
        <w:rPr>
          <w:b/>
          <w:color w:val="000000"/>
          <w:sz w:val="24"/>
        </w:rPr>
        <w:t xml:space="preserve">7.12.5 </w:t>
      </w:r>
      <w:proofErr w:type="gramStart"/>
      <w:r w:rsidRPr="008A1551">
        <w:rPr>
          <w:b/>
          <w:bCs/>
          <w:color w:val="000000"/>
          <w:sz w:val="24"/>
        </w:rPr>
        <w:t>期末前</w:t>
      </w:r>
      <w:proofErr w:type="gramEnd"/>
      <w:r w:rsidRPr="008A1551">
        <w:rPr>
          <w:b/>
          <w:bCs/>
          <w:color w:val="000000"/>
          <w:sz w:val="24"/>
        </w:rPr>
        <w:t>十名股票中存在流通受限情况的说明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r w:rsidR="00644AEB" w:rsidRPr="008A1551">
        <w:rPr>
          <w:kern w:val="0"/>
          <w:sz w:val="24"/>
        </w:rPr>
        <w:br/>
      </w:r>
    </w:p>
    <w:p w:rsidR="001548F9" w:rsidRPr="008A1551" w:rsidRDefault="001548F9" w:rsidP="009E1EA4">
      <w:pPr>
        <w:spacing w:before="29" w:line="288" w:lineRule="auto"/>
        <w:rPr>
          <w:b/>
          <w:color w:val="000000"/>
          <w:sz w:val="24"/>
        </w:rPr>
      </w:pPr>
      <w:r w:rsidRPr="008A1551">
        <w:rPr>
          <w:b/>
          <w:color w:val="000000"/>
          <w:sz w:val="24"/>
        </w:rPr>
        <w:t xml:space="preserve">7.12.6 </w:t>
      </w:r>
      <w:r w:rsidRPr="008A1551">
        <w:rPr>
          <w:b/>
          <w:color w:val="000000"/>
          <w:sz w:val="24"/>
        </w:rPr>
        <w:t>投资组合报告附注的其他文字描述部分</w:t>
      </w:r>
    </w:p>
    <w:p w:rsidR="001548F9" w:rsidRPr="008A1551" w:rsidRDefault="001548F9" w:rsidP="009E1EA4">
      <w:pPr>
        <w:spacing w:before="29" w:line="288" w:lineRule="auto"/>
        <w:ind w:firstLineChars="200" w:firstLine="480"/>
        <w:rPr>
          <w:color w:val="000000"/>
          <w:sz w:val="24"/>
        </w:rPr>
      </w:pPr>
      <w:r w:rsidRPr="008A1551">
        <w:rPr>
          <w:color w:val="000000"/>
          <w:sz w:val="24"/>
        </w:rPr>
        <w:t>由于四舍五入的原因，分项之和与合计项之间可能存在尾差。</w:t>
      </w:r>
    </w:p>
    <w:p w:rsidR="004553F9" w:rsidRPr="008A1551" w:rsidRDefault="004553F9" w:rsidP="009E1EA4">
      <w:pPr>
        <w:spacing w:before="29" w:line="288" w:lineRule="auto"/>
        <w:ind w:firstLineChars="200" w:firstLine="480"/>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3" w:name="_Toc331410111"/>
      <w:bookmarkStart w:id="74" w:name="_Toc225500050"/>
      <w:r w:rsidRPr="008A1551">
        <w:rPr>
          <w:b/>
          <w:bCs/>
          <w:szCs w:val="24"/>
          <w:lang w:val="en-US"/>
        </w:rPr>
        <w:t xml:space="preserve">8  </w:t>
      </w:r>
      <w:r w:rsidRPr="008A1551">
        <w:rPr>
          <w:b/>
          <w:bCs/>
          <w:szCs w:val="24"/>
          <w:lang w:val="en-US"/>
        </w:rPr>
        <w:t>基金份额持有人信息</w:t>
      </w:r>
      <w:bookmarkEnd w:id="73"/>
      <w:bookmarkEnd w:id="74"/>
    </w:p>
    <w:p w:rsidR="001548F9" w:rsidRPr="008A1551" w:rsidRDefault="001548F9" w:rsidP="009E1EA4">
      <w:pPr>
        <w:pStyle w:val="20"/>
        <w:spacing w:before="29" w:after="0" w:line="288" w:lineRule="auto"/>
        <w:rPr>
          <w:rFonts w:ascii="Times New Roman" w:hAnsi="Times New Roman"/>
          <w:kern w:val="0"/>
          <w:szCs w:val="24"/>
        </w:rPr>
      </w:pPr>
      <w:bookmarkStart w:id="75" w:name="_Toc331410112"/>
      <w:bookmarkStart w:id="76" w:name="_Toc225500051"/>
      <w:r w:rsidRPr="008A1551">
        <w:rPr>
          <w:rFonts w:ascii="Times New Roman" w:hAnsi="Times New Roman"/>
          <w:kern w:val="0"/>
          <w:szCs w:val="24"/>
        </w:rPr>
        <w:t xml:space="preserve">8.1 </w:t>
      </w:r>
      <w:r w:rsidRPr="008A1551">
        <w:rPr>
          <w:rFonts w:ascii="Times New Roman" w:hAnsi="Times New Roman"/>
          <w:kern w:val="0"/>
          <w:szCs w:val="24"/>
        </w:rPr>
        <w:t>期末基金份额持有人户数及持有人结构</w:t>
      </w:r>
      <w:bookmarkEnd w:id="75"/>
      <w:bookmarkEnd w:id="76"/>
    </w:p>
    <w:p w:rsidR="00FF6AEC" w:rsidRPr="008A1551" w:rsidRDefault="00FF6AEC" w:rsidP="00FF6AEC">
      <w:pPr>
        <w:autoSpaceDE w:val="0"/>
        <w:autoSpaceDN w:val="0"/>
        <w:adjustRightInd w:val="0"/>
        <w:spacing w:before="29" w:line="288" w:lineRule="auto"/>
        <w:ind w:left="15"/>
        <w:jc w:val="right"/>
        <w:rPr>
          <w:color w:val="000000"/>
          <w:sz w:val="24"/>
        </w:rPr>
      </w:pPr>
      <w:r w:rsidRPr="008A1551">
        <w:rPr>
          <w:color w:val="000000"/>
          <w:sz w:val="24"/>
        </w:rPr>
        <w:t>份额单位：份</w:t>
      </w:r>
    </w:p>
    <w:p w:rsidR="00FF6AEC" w:rsidRPr="008A1551" w:rsidRDefault="00FF6AEC" w:rsidP="00FF6AE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FF6AEC" w:rsidRPr="008A1551" w:rsidTr="000B7A0A">
        <w:trPr>
          <w:jc w:val="center"/>
        </w:trPr>
        <w:tc>
          <w:tcPr>
            <w:tcW w:w="669" w:type="pct"/>
            <w:vMerge w:val="restart"/>
            <w:tcBorders>
              <w:top w:val="single" w:sz="8" w:space="0" w:color="000000"/>
              <w:left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持有人户数</w:t>
            </w:r>
            <w:r w:rsidRPr="008A1551">
              <w:rPr>
                <w:sz w:val="24"/>
              </w:rPr>
              <w:t>(</w:t>
            </w:r>
            <w:r w:rsidRPr="008A1551">
              <w:rPr>
                <w:sz w:val="24"/>
              </w:rPr>
              <w:t>户</w:t>
            </w:r>
            <w:r w:rsidRPr="008A1551">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持有</w:t>
            </w:r>
            <w:proofErr w:type="gramStart"/>
            <w:r w:rsidRPr="008A1551">
              <w:rPr>
                <w:sz w:val="24"/>
              </w:rPr>
              <w:t>人结构</w:t>
            </w:r>
            <w:proofErr w:type="gramEnd"/>
          </w:p>
        </w:tc>
      </w:tr>
      <w:tr w:rsidR="00FF6AEC" w:rsidRPr="008A1551" w:rsidTr="000B7A0A">
        <w:trPr>
          <w:jc w:val="center"/>
        </w:trPr>
        <w:tc>
          <w:tcPr>
            <w:tcW w:w="669" w:type="pct"/>
            <w:vMerge/>
            <w:tcBorders>
              <w:left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个人投资者</w:t>
            </w:r>
          </w:p>
        </w:tc>
      </w:tr>
      <w:tr w:rsidR="00FF6AEC" w:rsidRPr="008A1551" w:rsidTr="000B7A0A">
        <w:trPr>
          <w:jc w:val="center"/>
        </w:trPr>
        <w:tc>
          <w:tcPr>
            <w:tcW w:w="669" w:type="pct"/>
            <w:vMerge/>
            <w:tcBorders>
              <w:left w:val="single" w:sz="8" w:space="0" w:color="000000"/>
              <w:bottom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占总份额比例</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交银丰润收益债券</w:t>
            </w:r>
            <w:r w:rsidRPr="008A1551">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483</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3,201,176.18</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1,535,182,977.24</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99.29%</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10,985,118.18</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0.71%</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交银丰润收益债券</w:t>
            </w:r>
            <w:r w:rsidRPr="008A1551">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402</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2,108.90</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847,779.59</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100.00%</w:t>
            </w:r>
          </w:p>
        </w:tc>
      </w:tr>
      <w:tr w:rsidR="00FF6AEC" w:rsidRPr="008A1551" w:rsidTr="000B7A0A">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885</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1,748,040.54</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1,535,182,977.24</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99.24%</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11,832,897.77</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right"/>
              <w:rPr>
                <w:bCs/>
                <w:sz w:val="24"/>
              </w:rPr>
            </w:pPr>
            <w:r w:rsidRPr="008A1551">
              <w:rPr>
                <w:bCs/>
                <w:sz w:val="24"/>
              </w:rPr>
              <w:t>0.76%</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77" w:name="_Toc331410113"/>
      <w:r w:rsidRPr="008A1551">
        <w:rPr>
          <w:rFonts w:ascii="Times New Roman" w:hAnsi="Times New Roman"/>
          <w:kern w:val="0"/>
          <w:szCs w:val="24"/>
        </w:rPr>
        <w:t xml:space="preserve">8.2 </w:t>
      </w:r>
      <w:r w:rsidRPr="008A1551">
        <w:rPr>
          <w:rFonts w:ascii="Times New Roman" w:hAnsi="Times New Roman"/>
          <w:kern w:val="0"/>
          <w:szCs w:val="24"/>
        </w:rPr>
        <w:t>期末基金管理人的从业人员持有本基金的情况</w:t>
      </w:r>
      <w:bookmarkEnd w:id="77"/>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8A1551" w:rsidTr="006F74EA">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项目</w:t>
            </w:r>
          </w:p>
        </w:tc>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份额级别</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持有份额总数（份）</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占基金总份额比例</w:t>
            </w:r>
          </w:p>
        </w:tc>
      </w:tr>
      <w:tr w:rsidR="00B621D7" w:rsidRPr="008A1551" w:rsidTr="006F74EA">
        <w:tc>
          <w:tcPr>
            <w:tcW w:w="2321" w:type="dxa"/>
            <w:vMerge w:val="restart"/>
            <w:vAlign w:val="center"/>
          </w:tcPr>
          <w:p w:rsidR="00B621D7" w:rsidRPr="008A1551" w:rsidRDefault="007C0872" w:rsidP="009E1EA4">
            <w:pPr>
              <w:pStyle w:val="a0"/>
              <w:spacing w:before="29" w:line="288" w:lineRule="auto"/>
              <w:ind w:firstLineChars="0" w:firstLine="0"/>
              <w:jc w:val="center"/>
              <w:rPr>
                <w:sz w:val="24"/>
              </w:rPr>
            </w:pPr>
            <w:r w:rsidRPr="008A1551">
              <w:rPr>
                <w:color w:val="000000"/>
                <w:sz w:val="24"/>
              </w:rPr>
              <w:t>基金管理人</w:t>
            </w:r>
            <w:r w:rsidR="00B621D7" w:rsidRPr="008A1551">
              <w:rPr>
                <w:color w:val="000000"/>
                <w:sz w:val="24"/>
              </w:rPr>
              <w:t>所有从业人员持有本基金</w:t>
            </w: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交银丰润收益债券</w:t>
            </w:r>
            <w:r w:rsidRPr="008A1551">
              <w:rPr>
                <w:sz w:val="24"/>
              </w:rPr>
              <w:t>A</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交银丰润收益债券</w:t>
            </w:r>
            <w:r w:rsidRPr="008A1551">
              <w:rPr>
                <w:sz w:val="24"/>
              </w:rPr>
              <w:t>C</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9.92</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widowControl/>
              <w:spacing w:before="29" w:line="288" w:lineRule="auto"/>
              <w:jc w:val="center"/>
              <w:rPr>
                <w:color w:val="000000"/>
                <w:kern w:val="0"/>
                <w:sz w:val="24"/>
              </w:rPr>
            </w:pPr>
            <w:r w:rsidRPr="008A1551">
              <w:rPr>
                <w:color w:val="000000"/>
                <w:kern w:val="0"/>
                <w:sz w:val="24"/>
              </w:rPr>
              <w:t>合计</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9.92</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bl>
    <w:p w:rsidR="00B110F8" w:rsidRPr="008A1551" w:rsidRDefault="00B110F8" w:rsidP="009E1EA4">
      <w:pPr>
        <w:tabs>
          <w:tab w:val="left" w:pos="426"/>
        </w:tabs>
        <w:spacing w:before="29" w:line="288" w:lineRule="auto"/>
        <w:jc w:val="left"/>
        <w:rPr>
          <w:kern w:val="0"/>
          <w:sz w:val="24"/>
        </w:rPr>
      </w:pPr>
    </w:p>
    <w:p w:rsidR="00B110F8" w:rsidRPr="008A1551" w:rsidRDefault="00B110F8" w:rsidP="00B110F8">
      <w:pPr>
        <w:pStyle w:val="20"/>
        <w:spacing w:before="29" w:after="0" w:line="288" w:lineRule="auto"/>
        <w:rPr>
          <w:rFonts w:ascii="Times New Roman" w:hAnsi="Times New Roman"/>
          <w:kern w:val="0"/>
          <w:szCs w:val="24"/>
        </w:rPr>
      </w:pPr>
      <w:r w:rsidRPr="008A1551">
        <w:rPr>
          <w:rFonts w:ascii="Times New Roman" w:hAnsi="Times New Roman"/>
          <w:kern w:val="0"/>
          <w:szCs w:val="24"/>
        </w:rPr>
        <w:t>8.3</w:t>
      </w:r>
      <w:r w:rsidRPr="008A1551">
        <w:rPr>
          <w:rFonts w:ascii="Times New Roman" w:hAnsi="Times New Roman"/>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797"/>
        <w:gridCol w:w="3153"/>
      </w:tblGrid>
      <w:tr w:rsidR="00B110F8" w:rsidRPr="008A1551" w:rsidTr="00AB6E97">
        <w:trPr>
          <w:trHeight w:val="285"/>
        </w:trPr>
        <w:tc>
          <w:tcPr>
            <w:tcW w:w="2548"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项目</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份额级别</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持有基金份额总量的数量区间（万份）</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本公司高级管理人员、基金投资和研究部门负责人持有本开放式基金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交银丰润收益债券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交银丰润收益债券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w:t>
            </w:r>
            <w:proofErr w:type="gramStart"/>
            <w:r w:rsidRPr="008A1551">
              <w:rPr>
                <w:color w:val="000000"/>
                <w:sz w:val="24"/>
              </w:rPr>
              <w:t>基金基金</w:t>
            </w:r>
            <w:proofErr w:type="gramEnd"/>
            <w:r w:rsidRPr="008A1551">
              <w:rPr>
                <w:color w:val="000000"/>
                <w:sz w:val="24"/>
              </w:rPr>
              <w:t>经理持有本开放式基金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交银丰润收益债券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52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交银丰润收益债券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653"/>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bl>
    <w:p w:rsidR="00705EC3" w:rsidRPr="008A1551" w:rsidRDefault="00705EC3"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8" w:name="_Toc331410115"/>
      <w:bookmarkStart w:id="79" w:name="_Toc225500053"/>
      <w:r w:rsidRPr="008A1551">
        <w:rPr>
          <w:b/>
          <w:bCs/>
          <w:szCs w:val="24"/>
          <w:lang w:val="en-US"/>
        </w:rPr>
        <w:t>9</w:t>
      </w:r>
      <w:r w:rsidRPr="008A1551">
        <w:rPr>
          <w:b/>
          <w:bCs/>
          <w:szCs w:val="24"/>
          <w:lang w:val="en-US"/>
        </w:rPr>
        <w:t>开放式基金份额变动</w:t>
      </w:r>
      <w:bookmarkEnd w:id="78"/>
      <w:bookmarkEnd w:id="79"/>
    </w:p>
    <w:p w:rsidR="001548F9" w:rsidRPr="008A1551" w:rsidRDefault="001548F9" w:rsidP="009E1EA4">
      <w:pPr>
        <w:spacing w:before="29" w:line="288" w:lineRule="auto"/>
        <w:jc w:val="right"/>
        <w:rPr>
          <w:sz w:val="24"/>
        </w:rPr>
      </w:pPr>
      <w:r w:rsidRPr="008A155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7"/>
        <w:gridCol w:w="2905"/>
        <w:gridCol w:w="2906"/>
      </w:tblGrid>
      <w:tr w:rsidR="00343AD4" w:rsidRPr="008A1551" w:rsidTr="006F74EA">
        <w:tc>
          <w:tcPr>
            <w:tcW w:w="1771" w:type="pct"/>
            <w:vAlign w:val="center"/>
          </w:tcPr>
          <w:p w:rsidR="00343AD4" w:rsidRPr="008A1551" w:rsidRDefault="00343AD4" w:rsidP="009E1EA4">
            <w:pPr>
              <w:spacing w:before="29" w:line="288" w:lineRule="auto"/>
              <w:jc w:val="center"/>
              <w:rPr>
                <w:sz w:val="24"/>
              </w:rPr>
            </w:pPr>
            <w:r w:rsidRPr="008A1551">
              <w:rPr>
                <w:sz w:val="24"/>
              </w:rPr>
              <w:t>项目</w:t>
            </w:r>
          </w:p>
        </w:tc>
        <w:tc>
          <w:tcPr>
            <w:tcW w:w="1614" w:type="pct"/>
            <w:vAlign w:val="center"/>
          </w:tcPr>
          <w:p w:rsidR="00343AD4" w:rsidRPr="008A1551" w:rsidRDefault="00343AD4" w:rsidP="009E1EA4">
            <w:pPr>
              <w:spacing w:before="29" w:line="288" w:lineRule="auto"/>
              <w:jc w:val="center"/>
              <w:rPr>
                <w:sz w:val="24"/>
              </w:rPr>
            </w:pPr>
            <w:r w:rsidRPr="008A1551">
              <w:rPr>
                <w:sz w:val="24"/>
              </w:rPr>
              <w:t>交银丰润收益债券</w:t>
            </w:r>
            <w:r w:rsidRPr="008A1551">
              <w:rPr>
                <w:sz w:val="24"/>
              </w:rPr>
              <w:t>A</w:t>
            </w:r>
          </w:p>
        </w:tc>
        <w:tc>
          <w:tcPr>
            <w:tcW w:w="1615" w:type="pct"/>
            <w:vAlign w:val="center"/>
          </w:tcPr>
          <w:p w:rsidR="00343AD4" w:rsidRPr="008A1551" w:rsidRDefault="00343AD4" w:rsidP="009E1EA4">
            <w:pPr>
              <w:spacing w:before="29" w:line="288" w:lineRule="auto"/>
              <w:jc w:val="center"/>
              <w:rPr>
                <w:sz w:val="24"/>
              </w:rPr>
            </w:pPr>
            <w:r w:rsidRPr="008A1551">
              <w:rPr>
                <w:sz w:val="24"/>
              </w:rPr>
              <w:t>交银丰润收益债券</w:t>
            </w:r>
            <w:r w:rsidRPr="008A1551">
              <w:rPr>
                <w:sz w:val="24"/>
              </w:rPr>
              <w:t>C</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基金合同生效日（</w:t>
            </w:r>
            <w:r w:rsidRPr="008A1551">
              <w:rPr>
                <w:sz w:val="24"/>
              </w:rPr>
              <w:t>2014</w:t>
            </w:r>
            <w:r w:rsidRPr="008A1551">
              <w:rPr>
                <w:sz w:val="24"/>
              </w:rPr>
              <w:t>年</w:t>
            </w:r>
            <w:r w:rsidRPr="008A1551">
              <w:rPr>
                <w:sz w:val="24"/>
              </w:rPr>
              <w:t>12</w:t>
            </w:r>
            <w:r w:rsidRPr="008A1551">
              <w:rPr>
                <w:sz w:val="24"/>
              </w:rPr>
              <w:t>月</w:t>
            </w:r>
            <w:r w:rsidRPr="008A1551">
              <w:rPr>
                <w:sz w:val="24"/>
              </w:rPr>
              <w:t>15</w:t>
            </w:r>
            <w:r w:rsidRPr="008A1551">
              <w:rPr>
                <w:sz w:val="24"/>
              </w:rPr>
              <w:t>日）基金份额总额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402,154,039.59</w:t>
            </w:r>
          </w:p>
        </w:tc>
        <w:tc>
          <w:tcPr>
            <w:tcW w:w="1615" w:type="pct"/>
            <w:vAlign w:val="center"/>
          </w:tcPr>
          <w:p w:rsidR="001548F9" w:rsidRPr="008A1551" w:rsidRDefault="001548F9" w:rsidP="009E1EA4">
            <w:pPr>
              <w:spacing w:before="29" w:line="288" w:lineRule="auto"/>
              <w:jc w:val="right"/>
              <w:rPr>
                <w:sz w:val="24"/>
              </w:rPr>
            </w:pPr>
            <w:r w:rsidRPr="008A1551">
              <w:rPr>
                <w:sz w:val="24"/>
              </w:rPr>
              <w:t>23,334,238.83</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w:t>
            </w:r>
            <w:proofErr w:type="gramStart"/>
            <w:r w:rsidRPr="008A1551">
              <w:rPr>
                <w:sz w:val="24"/>
              </w:rPr>
              <w:t>初基金</w:t>
            </w:r>
            <w:proofErr w:type="gramEnd"/>
            <w:r w:rsidRPr="008A1551">
              <w:rPr>
                <w:sz w:val="24"/>
              </w:rPr>
              <w:t>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1,078,374,867.81</w:t>
            </w:r>
          </w:p>
        </w:tc>
        <w:tc>
          <w:tcPr>
            <w:tcW w:w="1615" w:type="pct"/>
            <w:vAlign w:val="center"/>
          </w:tcPr>
          <w:p w:rsidR="001548F9" w:rsidRPr="008A1551" w:rsidRDefault="001548F9" w:rsidP="009E1EA4">
            <w:pPr>
              <w:spacing w:before="29" w:line="288" w:lineRule="auto"/>
              <w:jc w:val="right"/>
              <w:rPr>
                <w:sz w:val="24"/>
              </w:rPr>
            </w:pPr>
            <w:r w:rsidRPr="008A1551">
              <w:rPr>
                <w:sz w:val="24"/>
              </w:rPr>
              <w:t>918,949.01</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w:t>
            </w:r>
            <w:proofErr w:type="gramStart"/>
            <w:r w:rsidRPr="008A1551">
              <w:rPr>
                <w:sz w:val="24"/>
              </w:rPr>
              <w:t>期</w:t>
            </w:r>
            <w:r w:rsidR="001548F9" w:rsidRPr="008A1551">
              <w:rPr>
                <w:sz w:val="24"/>
              </w:rPr>
              <w:t>基金</w:t>
            </w:r>
            <w:proofErr w:type="gramEnd"/>
            <w:r w:rsidR="001548F9" w:rsidRPr="008A1551">
              <w:rPr>
                <w:sz w:val="24"/>
              </w:rPr>
              <w:t>总申购份额</w:t>
            </w:r>
          </w:p>
        </w:tc>
        <w:tc>
          <w:tcPr>
            <w:tcW w:w="1614" w:type="pct"/>
            <w:vAlign w:val="center"/>
          </w:tcPr>
          <w:p w:rsidR="001548F9" w:rsidRPr="008A1551" w:rsidRDefault="001548F9" w:rsidP="009E1EA4">
            <w:pPr>
              <w:spacing w:before="29" w:line="288" w:lineRule="auto"/>
              <w:jc w:val="right"/>
              <w:rPr>
                <w:sz w:val="24"/>
              </w:rPr>
            </w:pPr>
            <w:r w:rsidRPr="008A1551">
              <w:rPr>
                <w:sz w:val="24"/>
              </w:rPr>
              <w:t>475,195,968.10</w:t>
            </w:r>
          </w:p>
        </w:tc>
        <w:tc>
          <w:tcPr>
            <w:tcW w:w="1615" w:type="pct"/>
            <w:vAlign w:val="center"/>
          </w:tcPr>
          <w:p w:rsidR="001548F9" w:rsidRPr="008A1551" w:rsidRDefault="001548F9" w:rsidP="009E1EA4">
            <w:pPr>
              <w:spacing w:before="29" w:line="288" w:lineRule="auto"/>
              <w:jc w:val="right"/>
              <w:rPr>
                <w:sz w:val="24"/>
              </w:rPr>
            </w:pPr>
            <w:r w:rsidRPr="008A1551">
              <w:rPr>
                <w:sz w:val="24"/>
              </w:rPr>
              <w:t>667,938.55</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减：</w:t>
            </w:r>
            <w:r w:rsidR="005151E7" w:rsidRPr="008A1551">
              <w:rPr>
                <w:sz w:val="24"/>
              </w:rPr>
              <w:t>本报告</w:t>
            </w:r>
            <w:proofErr w:type="gramStart"/>
            <w:r w:rsidR="005151E7" w:rsidRPr="008A1551">
              <w:rPr>
                <w:sz w:val="24"/>
              </w:rPr>
              <w:t>期</w:t>
            </w:r>
            <w:r w:rsidRPr="008A1551">
              <w:rPr>
                <w:sz w:val="24"/>
              </w:rPr>
              <w:t>基金</w:t>
            </w:r>
            <w:proofErr w:type="gramEnd"/>
            <w:r w:rsidRPr="008A1551">
              <w:rPr>
                <w:sz w:val="24"/>
              </w:rPr>
              <w:t>总赎回份额</w:t>
            </w:r>
          </w:p>
        </w:tc>
        <w:tc>
          <w:tcPr>
            <w:tcW w:w="1614" w:type="pct"/>
            <w:vAlign w:val="center"/>
          </w:tcPr>
          <w:p w:rsidR="001548F9" w:rsidRPr="008A1551" w:rsidRDefault="001548F9" w:rsidP="009E1EA4">
            <w:pPr>
              <w:spacing w:before="29" w:line="288" w:lineRule="auto"/>
              <w:jc w:val="right"/>
              <w:rPr>
                <w:sz w:val="24"/>
              </w:rPr>
            </w:pPr>
            <w:r w:rsidRPr="008A1551">
              <w:rPr>
                <w:sz w:val="24"/>
              </w:rPr>
              <w:t>7,402,740.49</w:t>
            </w:r>
          </w:p>
        </w:tc>
        <w:tc>
          <w:tcPr>
            <w:tcW w:w="1615" w:type="pct"/>
            <w:vAlign w:val="center"/>
          </w:tcPr>
          <w:p w:rsidR="001548F9" w:rsidRPr="008A1551" w:rsidRDefault="001548F9" w:rsidP="009E1EA4">
            <w:pPr>
              <w:spacing w:before="29" w:line="288" w:lineRule="auto"/>
              <w:jc w:val="right"/>
              <w:rPr>
                <w:sz w:val="24"/>
              </w:rPr>
            </w:pPr>
            <w:r w:rsidRPr="008A1551">
              <w:rPr>
                <w:sz w:val="24"/>
              </w:rPr>
              <w:t>739,107.97</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w:t>
            </w:r>
            <w:proofErr w:type="gramStart"/>
            <w:r w:rsidRPr="008A1551">
              <w:rPr>
                <w:sz w:val="24"/>
              </w:rPr>
              <w:t>期</w:t>
            </w:r>
            <w:r w:rsidR="001548F9" w:rsidRPr="008A1551">
              <w:rPr>
                <w:sz w:val="24"/>
              </w:rPr>
              <w:t>基金</w:t>
            </w:r>
            <w:proofErr w:type="gramEnd"/>
            <w:r w:rsidR="001548F9" w:rsidRPr="008A1551">
              <w:rPr>
                <w:sz w:val="24"/>
              </w:rPr>
              <w:t>拆分变动份额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本报告期期末基金份额总额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1,546,168,095.42</w:t>
            </w:r>
          </w:p>
        </w:tc>
        <w:tc>
          <w:tcPr>
            <w:tcW w:w="1615" w:type="pct"/>
            <w:vAlign w:val="center"/>
          </w:tcPr>
          <w:p w:rsidR="001548F9" w:rsidRPr="008A1551" w:rsidRDefault="001548F9" w:rsidP="009E1EA4">
            <w:pPr>
              <w:spacing w:before="29" w:line="288" w:lineRule="auto"/>
              <w:jc w:val="right"/>
              <w:rPr>
                <w:sz w:val="24"/>
              </w:rPr>
            </w:pPr>
            <w:r w:rsidRPr="008A1551">
              <w:rPr>
                <w:sz w:val="24"/>
              </w:rPr>
              <w:t>847,779.59</w:t>
            </w:r>
          </w:p>
        </w:tc>
      </w:tr>
    </w:tbl>
    <w:p w:rsidR="004957AA" w:rsidRDefault="00EF5A3D">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8A1551" w:rsidRDefault="001548F9" w:rsidP="009E1EA4">
      <w:pPr>
        <w:tabs>
          <w:tab w:val="left" w:pos="426"/>
        </w:tabs>
        <w:spacing w:before="29" w:line="288" w:lineRule="auto"/>
        <w:jc w:val="left"/>
        <w:rPr>
          <w:kern w:val="0"/>
          <w:sz w:val="24"/>
        </w:rPr>
      </w:pPr>
      <w:r w:rsidRPr="008A1551">
        <w:rPr>
          <w:kern w:val="0"/>
          <w:sz w:val="24"/>
        </w:rPr>
        <w:t>2</w:t>
      </w:r>
      <w:r w:rsidRPr="008A1551">
        <w:rPr>
          <w:kern w:val="0"/>
          <w:sz w:val="24"/>
        </w:rPr>
        <w:t>、如果本报告期间发生转换出业务，则总赎回份额中包含该业务。</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80" w:name="_Toc331410116"/>
      <w:bookmarkStart w:id="81" w:name="_Toc225500054"/>
      <w:r w:rsidRPr="008A1551">
        <w:rPr>
          <w:b/>
          <w:bCs/>
          <w:szCs w:val="24"/>
          <w:lang w:val="en-US"/>
        </w:rPr>
        <w:t xml:space="preserve">10  </w:t>
      </w:r>
      <w:r w:rsidRPr="008A1551">
        <w:rPr>
          <w:b/>
          <w:bCs/>
          <w:szCs w:val="24"/>
          <w:lang w:val="en-US"/>
        </w:rPr>
        <w:t>重大事件揭示</w:t>
      </w:r>
      <w:bookmarkEnd w:id="80"/>
      <w:bookmarkEnd w:id="81"/>
    </w:p>
    <w:p w:rsidR="00990177" w:rsidRPr="00690ED2" w:rsidRDefault="00990177" w:rsidP="00990177">
      <w:pPr>
        <w:pStyle w:val="20"/>
        <w:spacing w:before="29" w:after="0" w:line="288" w:lineRule="auto"/>
        <w:rPr>
          <w:rFonts w:ascii="Times New Roman" w:hAnsi="Times New Roman"/>
          <w:kern w:val="0"/>
          <w:szCs w:val="24"/>
        </w:rPr>
      </w:pPr>
      <w:bookmarkStart w:id="82" w:name="_Toc374438161"/>
      <w:bookmarkStart w:id="83" w:name="_Toc361324894"/>
      <w:bookmarkStart w:id="84" w:name="OLE_LINK179"/>
      <w:bookmarkStart w:id="85" w:name="OLE_LINK178"/>
      <w:bookmarkStart w:id="86" w:name="OLE_LINK174"/>
      <w:bookmarkStart w:id="87" w:name="OLE_LINK165"/>
      <w:bookmarkStart w:id="88" w:name="OLE_LINK145"/>
      <w:bookmarkStart w:id="89" w:name="OLE_LINK135"/>
      <w:bookmarkStart w:id="90" w:name="OLE_LINK84"/>
      <w:bookmarkStart w:id="91" w:name="OLE_LINK75"/>
      <w:bookmarkStart w:id="92" w:name="OLE_LINK59"/>
      <w:bookmarkStart w:id="93" w:name="OLE_LINK34"/>
      <w:bookmarkStart w:id="94" w:name="OLE_LINK33"/>
      <w:bookmarkStart w:id="95" w:name="OLE_LINK28"/>
      <w:bookmarkStart w:id="96" w:name="OLE_LINK170"/>
      <w:bookmarkStart w:id="97" w:name="OLE_LINK159"/>
      <w:bookmarkStart w:id="98" w:name="OLE_LINK143"/>
      <w:bookmarkStart w:id="99" w:name="OLE_LINK130"/>
      <w:bookmarkStart w:id="100" w:name="OLE_LINK102"/>
      <w:bookmarkStart w:id="101" w:name="OLE_LINK101"/>
      <w:bookmarkStart w:id="102" w:name="OLE_LINK72"/>
      <w:bookmarkStart w:id="103" w:name="OLE_LINK50"/>
      <w:bookmarkStart w:id="104"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2"/>
      <w:bookmarkEnd w:id="83"/>
    </w:p>
    <w:p w:rsidR="00990177" w:rsidRDefault="00990177" w:rsidP="00990177">
      <w:pPr>
        <w:tabs>
          <w:tab w:val="left" w:pos="426"/>
        </w:tabs>
        <w:spacing w:before="29" w:line="288" w:lineRule="auto"/>
        <w:jc w:val="left"/>
        <w:rPr>
          <w:kern w:val="0"/>
          <w:sz w:val="24"/>
        </w:rPr>
      </w:pPr>
      <w:r w:rsidRPr="00690ED2">
        <w:rPr>
          <w:kern w:val="0"/>
          <w:sz w:val="24"/>
        </w:rPr>
        <w:t>本基金管理人于</w:t>
      </w:r>
      <w:r w:rsidRPr="00690ED2">
        <w:rPr>
          <w:kern w:val="0"/>
          <w:sz w:val="24"/>
        </w:rPr>
        <w:t>2019</w:t>
      </w:r>
      <w:r w:rsidRPr="00690ED2">
        <w:rPr>
          <w:kern w:val="0"/>
          <w:sz w:val="24"/>
        </w:rPr>
        <w:t>年</w:t>
      </w:r>
      <w:r w:rsidRPr="00690ED2">
        <w:rPr>
          <w:kern w:val="0"/>
          <w:sz w:val="24"/>
        </w:rPr>
        <w:t>1</w:t>
      </w:r>
      <w:r w:rsidRPr="00690ED2">
        <w:rPr>
          <w:kern w:val="0"/>
          <w:sz w:val="24"/>
        </w:rPr>
        <w:t>月</w:t>
      </w:r>
      <w:r w:rsidRPr="00690ED2">
        <w:rPr>
          <w:kern w:val="0"/>
          <w:sz w:val="24"/>
        </w:rPr>
        <w:t>8</w:t>
      </w:r>
      <w:r w:rsidRPr="00690ED2">
        <w:rPr>
          <w:kern w:val="0"/>
          <w:sz w:val="24"/>
        </w:rPr>
        <w:t>日起至</w:t>
      </w:r>
      <w:r w:rsidRPr="00690ED2">
        <w:rPr>
          <w:kern w:val="0"/>
          <w:sz w:val="24"/>
        </w:rPr>
        <w:t>2019</w:t>
      </w:r>
      <w:r w:rsidRPr="00690ED2">
        <w:rPr>
          <w:kern w:val="0"/>
          <w:sz w:val="24"/>
        </w:rPr>
        <w:t>年</w:t>
      </w:r>
      <w:r w:rsidRPr="00690ED2">
        <w:rPr>
          <w:kern w:val="0"/>
          <w:sz w:val="24"/>
        </w:rPr>
        <w:t>2</w:t>
      </w:r>
      <w:r w:rsidRPr="00690ED2">
        <w:rPr>
          <w:kern w:val="0"/>
          <w:sz w:val="24"/>
        </w:rPr>
        <w:t>月</w:t>
      </w:r>
      <w:r w:rsidRPr="00690ED2">
        <w:rPr>
          <w:kern w:val="0"/>
          <w:sz w:val="24"/>
        </w:rPr>
        <w:t>13</w:t>
      </w:r>
      <w:r w:rsidRPr="00690ED2">
        <w:rPr>
          <w:kern w:val="0"/>
          <w:sz w:val="24"/>
        </w:rPr>
        <w:t>日</w:t>
      </w:r>
      <w:r w:rsidRPr="00690ED2">
        <w:rPr>
          <w:kern w:val="0"/>
          <w:sz w:val="24"/>
        </w:rPr>
        <w:t>17</w:t>
      </w:r>
      <w:r w:rsidRPr="00690ED2">
        <w:rPr>
          <w:kern w:val="0"/>
          <w:sz w:val="24"/>
        </w:rPr>
        <w:t>：</w:t>
      </w:r>
      <w:r w:rsidRPr="00690ED2">
        <w:rPr>
          <w:kern w:val="0"/>
          <w:sz w:val="24"/>
        </w:rPr>
        <w:t>00</w:t>
      </w:r>
      <w:r w:rsidRPr="00690ED2">
        <w:rPr>
          <w:kern w:val="0"/>
          <w:sz w:val="24"/>
        </w:rPr>
        <w:t>止以通讯方式召开本基金的基金份额持有人大会，就本</w:t>
      </w:r>
      <w:proofErr w:type="gramStart"/>
      <w:r w:rsidRPr="00690ED2">
        <w:rPr>
          <w:kern w:val="0"/>
          <w:sz w:val="24"/>
        </w:rPr>
        <w:t>基金基金</w:t>
      </w:r>
      <w:proofErr w:type="gramEnd"/>
      <w:r w:rsidRPr="00690ED2">
        <w:rPr>
          <w:kern w:val="0"/>
          <w:sz w:val="24"/>
        </w:rPr>
        <w:t>合同修改有关事项的议案进行表决。根据基金份额持有人大会的决议，本基金管理人调整了</w:t>
      </w:r>
      <w:r w:rsidRPr="00690ED2">
        <w:rPr>
          <w:kern w:val="0"/>
          <w:sz w:val="24"/>
        </w:rPr>
        <w:t>A</w:t>
      </w:r>
      <w:r w:rsidRPr="00690ED2">
        <w:rPr>
          <w:kern w:val="0"/>
          <w:sz w:val="24"/>
        </w:rPr>
        <w:t>类基金份额的赎回费率、修改了收益分配原则，并相应修改基金合同和托管协议。本基金管理人将在更新基金招募说明书时，对上述相关内容进行相应修订。本次基金份额持有人大会决议于</w:t>
      </w:r>
      <w:r w:rsidRPr="00690ED2">
        <w:rPr>
          <w:kern w:val="0"/>
          <w:sz w:val="24"/>
        </w:rPr>
        <w:t>2019</w:t>
      </w:r>
      <w:r w:rsidRPr="00690ED2">
        <w:rPr>
          <w:kern w:val="0"/>
          <w:sz w:val="24"/>
        </w:rPr>
        <w:t>年</w:t>
      </w:r>
      <w:r w:rsidRPr="00690ED2">
        <w:rPr>
          <w:kern w:val="0"/>
          <w:sz w:val="24"/>
        </w:rPr>
        <w:t>2</w:t>
      </w:r>
      <w:r w:rsidRPr="00690ED2">
        <w:rPr>
          <w:kern w:val="0"/>
          <w:sz w:val="24"/>
        </w:rPr>
        <w:t>月</w:t>
      </w:r>
      <w:r w:rsidRPr="00690ED2">
        <w:rPr>
          <w:kern w:val="0"/>
          <w:sz w:val="24"/>
        </w:rPr>
        <w:t>14</w:t>
      </w:r>
      <w:r w:rsidRPr="00690ED2">
        <w:rPr>
          <w:kern w:val="0"/>
          <w:sz w:val="24"/>
        </w:rPr>
        <w:t>日生效，自本次基金份额持有人大会决议公告之日即</w:t>
      </w:r>
      <w:r w:rsidRPr="00690ED2">
        <w:rPr>
          <w:kern w:val="0"/>
          <w:sz w:val="24"/>
        </w:rPr>
        <w:t>2019</w:t>
      </w:r>
      <w:r w:rsidRPr="00690ED2">
        <w:rPr>
          <w:kern w:val="0"/>
          <w:sz w:val="24"/>
        </w:rPr>
        <w:t>年</w:t>
      </w:r>
      <w:r w:rsidRPr="00690ED2">
        <w:rPr>
          <w:kern w:val="0"/>
          <w:sz w:val="24"/>
        </w:rPr>
        <w:t>2</w:t>
      </w:r>
      <w:r w:rsidRPr="00690ED2">
        <w:rPr>
          <w:kern w:val="0"/>
          <w:sz w:val="24"/>
        </w:rPr>
        <w:t>月</w:t>
      </w:r>
      <w:r w:rsidRPr="00690ED2">
        <w:rPr>
          <w:kern w:val="0"/>
          <w:sz w:val="24"/>
        </w:rPr>
        <w:t>15</w:t>
      </w:r>
      <w:r w:rsidRPr="00690ED2">
        <w:rPr>
          <w:kern w:val="0"/>
          <w:sz w:val="24"/>
        </w:rPr>
        <w:t>日起，本基金执行修改后的</w:t>
      </w:r>
      <w:r w:rsidRPr="00690ED2">
        <w:rPr>
          <w:kern w:val="0"/>
          <w:sz w:val="24"/>
        </w:rPr>
        <w:t>A</w:t>
      </w:r>
      <w:r w:rsidRPr="00690ED2">
        <w:rPr>
          <w:kern w:val="0"/>
          <w:sz w:val="24"/>
        </w:rPr>
        <w:t>类基金份额的赎回费率及基金收益分配原则。详情请查阅本基金管理人于</w:t>
      </w:r>
      <w:r w:rsidRPr="00690ED2">
        <w:rPr>
          <w:kern w:val="0"/>
          <w:sz w:val="24"/>
        </w:rPr>
        <w:t>2019</w:t>
      </w:r>
      <w:r w:rsidRPr="00690ED2">
        <w:rPr>
          <w:kern w:val="0"/>
          <w:sz w:val="24"/>
        </w:rPr>
        <w:t>年</w:t>
      </w:r>
      <w:r w:rsidRPr="00690ED2">
        <w:rPr>
          <w:kern w:val="0"/>
          <w:sz w:val="24"/>
        </w:rPr>
        <w:t>2</w:t>
      </w:r>
      <w:r w:rsidRPr="00690ED2">
        <w:rPr>
          <w:kern w:val="0"/>
          <w:sz w:val="24"/>
        </w:rPr>
        <w:t>月</w:t>
      </w:r>
      <w:r w:rsidRPr="00690ED2">
        <w:rPr>
          <w:kern w:val="0"/>
          <w:sz w:val="24"/>
        </w:rPr>
        <w:t>15</w:t>
      </w:r>
      <w:r w:rsidRPr="00690ED2">
        <w:rPr>
          <w:kern w:val="0"/>
          <w:sz w:val="24"/>
        </w:rPr>
        <w:t>日发布的《交银施罗德基金管理有限公司关于交银施罗德丰润收益债券型证券投资基金基金份额持有人大会表决结果暨决议生效的公告》。</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5" w:name="_Toc374438162"/>
      <w:bookmarkStart w:id="106"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5"/>
      <w:bookmarkEnd w:id="106"/>
    </w:p>
    <w:p w:rsidR="004957AA" w:rsidRDefault="00EF5A3D">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p>
    <w:p w:rsidR="00990177" w:rsidRDefault="00990177" w:rsidP="00990177">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、基金托管人的基金托管部门的重大人事变动：本报告期内，经中信银行股份有限公司董事会会议审议通过，聘任方合英先生为中信银行行长，任职资格于</w:t>
      </w:r>
      <w:r w:rsidRPr="00690ED2">
        <w:rPr>
          <w:kern w:val="0"/>
          <w:sz w:val="24"/>
        </w:rPr>
        <w:t>2019</w:t>
      </w:r>
      <w:r w:rsidRPr="00690ED2">
        <w:rPr>
          <w:kern w:val="0"/>
          <w:sz w:val="24"/>
        </w:rPr>
        <w:t>年</w:t>
      </w:r>
      <w:r w:rsidRPr="00690ED2">
        <w:rPr>
          <w:kern w:val="0"/>
          <w:sz w:val="24"/>
        </w:rPr>
        <w:t>3</w:t>
      </w:r>
      <w:r w:rsidRPr="00690ED2">
        <w:rPr>
          <w:kern w:val="0"/>
          <w:sz w:val="24"/>
        </w:rPr>
        <w:t>月</w:t>
      </w:r>
      <w:r w:rsidRPr="00690ED2">
        <w:rPr>
          <w:kern w:val="0"/>
          <w:sz w:val="24"/>
        </w:rPr>
        <w:t>29</w:t>
      </w:r>
      <w:r w:rsidRPr="00690ED2">
        <w:rPr>
          <w:kern w:val="0"/>
          <w:sz w:val="24"/>
        </w:rPr>
        <w:t>日获中国银行保险监督管理委员批复核准。孙德顺先生因年龄原因不再担任执行董事、行长等职务。根据工作需要，任命杨璋琪先生担任资产托管部副总经理，主持资产托管部相关工作。</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7" w:name="_Toc374438163"/>
      <w:bookmarkStart w:id="108"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7"/>
      <w:bookmarkEnd w:id="108"/>
    </w:p>
    <w:p w:rsidR="00990177" w:rsidRDefault="00990177" w:rsidP="00990177">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9" w:name="_Toc374438164"/>
      <w:bookmarkStart w:id="110"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09"/>
      <w:bookmarkEnd w:id="110"/>
    </w:p>
    <w:p w:rsidR="00990177" w:rsidRDefault="00990177" w:rsidP="00990177">
      <w:pPr>
        <w:tabs>
          <w:tab w:val="left" w:pos="426"/>
        </w:tabs>
        <w:spacing w:before="29" w:line="288" w:lineRule="auto"/>
        <w:jc w:val="left"/>
        <w:rPr>
          <w:kern w:val="0"/>
          <w:sz w:val="24"/>
        </w:rPr>
      </w:pPr>
      <w:r w:rsidRPr="00690ED2">
        <w:rPr>
          <w:kern w:val="0"/>
          <w:sz w:val="24"/>
        </w:rPr>
        <w:t>本基金本报告期内投资策略未发生改变。</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90177" w:rsidRDefault="00990177" w:rsidP="00990177">
      <w:pPr>
        <w:tabs>
          <w:tab w:val="left" w:pos="426"/>
        </w:tabs>
        <w:spacing w:before="29" w:line="288" w:lineRule="auto"/>
        <w:jc w:val="left"/>
        <w:rPr>
          <w:kern w:val="0"/>
          <w:sz w:val="24"/>
        </w:rPr>
      </w:pPr>
      <w:r w:rsidRPr="00690ED2">
        <w:rPr>
          <w:kern w:val="0"/>
          <w:sz w:val="24"/>
        </w:rPr>
        <w:t>无。</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1" w:name="_Toc409100103"/>
      <w:bookmarkStart w:id="112"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1"/>
      <w:bookmarkEnd w:id="112"/>
    </w:p>
    <w:p w:rsidR="00990177" w:rsidRDefault="00990177" w:rsidP="00990177">
      <w:pPr>
        <w:tabs>
          <w:tab w:val="left" w:pos="426"/>
        </w:tabs>
        <w:spacing w:before="29" w:line="288" w:lineRule="auto"/>
        <w:jc w:val="left"/>
        <w:rPr>
          <w:kern w:val="0"/>
          <w:sz w:val="24"/>
        </w:rPr>
      </w:pPr>
      <w:bookmarkStart w:id="113" w:name="OLE_LINK3"/>
      <w:r w:rsidRPr="00690ED2">
        <w:rPr>
          <w:kern w:val="0"/>
          <w:sz w:val="24"/>
        </w:rPr>
        <w:t>本基金自基金合同生效日起聘请普华永道中天会计师事务所</w:t>
      </w:r>
      <w:r w:rsidRPr="00690ED2">
        <w:rPr>
          <w:kern w:val="0"/>
          <w:sz w:val="24"/>
        </w:rPr>
        <w:t xml:space="preserve"> (</w:t>
      </w:r>
      <w:r w:rsidRPr="00690ED2">
        <w:rPr>
          <w:kern w:val="0"/>
          <w:sz w:val="24"/>
        </w:rPr>
        <w:t>特殊普通合伙</w:t>
      </w:r>
      <w:r w:rsidRPr="00690ED2">
        <w:rPr>
          <w:kern w:val="0"/>
          <w:sz w:val="24"/>
        </w:rPr>
        <w:t>)</w:t>
      </w:r>
      <w:r w:rsidRPr="00690ED2">
        <w:rPr>
          <w:kern w:val="0"/>
          <w:sz w:val="24"/>
        </w:rPr>
        <w:t>为本基金提供审计服务。</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4" w:name="_Toc361324899"/>
      <w:bookmarkStart w:id="115" w:name="_Toc409100467"/>
      <w:bookmarkStart w:id="116" w:name="_Toc409100104"/>
      <w:bookmarkEnd w:id="113"/>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4"/>
      <w:bookmarkEnd w:id="115"/>
      <w:bookmarkEnd w:id="116"/>
    </w:p>
    <w:p w:rsidR="004957AA" w:rsidRDefault="00EF5A3D">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4957AA" w:rsidRDefault="00EF5A3D">
      <w:pPr>
        <w:tabs>
          <w:tab w:val="left" w:pos="426"/>
        </w:tabs>
        <w:spacing w:before="29" w:line="288" w:lineRule="auto"/>
        <w:jc w:val="left"/>
        <w:rPr>
          <w:kern w:val="0"/>
          <w:sz w:val="24"/>
        </w:rPr>
      </w:pPr>
      <w:r>
        <w:rPr>
          <w:kern w:val="0"/>
          <w:sz w:val="24"/>
        </w:rPr>
        <w:t>基金管理人及其高级管理人员本报告期内未受监管部门稽查或处罚。</w:t>
      </w:r>
    </w:p>
    <w:p w:rsidR="004957AA" w:rsidRDefault="00EF5A3D">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90177" w:rsidRDefault="00990177" w:rsidP="00990177">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7" w:name="_Toc409100105"/>
      <w:bookmarkStart w:id="118" w:name="_Toc409100468"/>
      <w:bookmarkStart w:id="119"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7"/>
      <w:bookmarkEnd w:id="118"/>
      <w:bookmarkEnd w:id="119"/>
    </w:p>
    <w:p w:rsidR="00990177" w:rsidRPr="00690ED2" w:rsidRDefault="00990177" w:rsidP="00990177">
      <w:pPr>
        <w:tabs>
          <w:tab w:val="left" w:pos="426"/>
        </w:tabs>
        <w:spacing w:before="29" w:line="288" w:lineRule="auto"/>
        <w:jc w:val="left"/>
        <w:rPr>
          <w:b/>
          <w:kern w:val="0"/>
          <w:sz w:val="24"/>
        </w:rPr>
      </w:pPr>
      <w:bookmarkStart w:id="120" w:name="_Toc249760070"/>
      <w:r w:rsidRPr="00690ED2">
        <w:rPr>
          <w:b/>
          <w:kern w:val="0"/>
          <w:sz w:val="24"/>
        </w:rPr>
        <w:t>10.8.1</w:t>
      </w:r>
      <w:r w:rsidRPr="00690ED2">
        <w:rPr>
          <w:rFonts w:hint="eastAsia"/>
          <w:b/>
          <w:kern w:val="0"/>
          <w:sz w:val="24"/>
        </w:rPr>
        <w:t>基金租用证券公司交易单元进行股票投资及佣金支付情况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20"/>
    </w:p>
    <w:p w:rsidR="00B932B3" w:rsidRPr="008A1551" w:rsidRDefault="00B932B3"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8A1551" w:rsidTr="006F74EA">
        <w:tc>
          <w:tcPr>
            <w:tcW w:w="1560" w:type="dxa"/>
            <w:vMerge w:val="restart"/>
            <w:vAlign w:val="center"/>
          </w:tcPr>
          <w:p w:rsidR="001548F9" w:rsidRPr="008A1551" w:rsidRDefault="001548F9" w:rsidP="009E1EA4">
            <w:pPr>
              <w:spacing w:before="29" w:line="288" w:lineRule="auto"/>
              <w:jc w:val="center"/>
              <w:rPr>
                <w:color w:val="000000"/>
                <w:sz w:val="24"/>
              </w:rPr>
            </w:pPr>
            <w:bookmarkStart w:id="121" w:name="_Toc249760071"/>
            <w:r w:rsidRPr="008A1551">
              <w:rPr>
                <w:color w:val="000000"/>
                <w:sz w:val="24"/>
              </w:rPr>
              <w:t>券商名称</w:t>
            </w:r>
          </w:p>
        </w:tc>
        <w:tc>
          <w:tcPr>
            <w:tcW w:w="78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交易单元数量</w:t>
            </w:r>
          </w:p>
        </w:tc>
        <w:tc>
          <w:tcPr>
            <w:tcW w:w="288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股票交易</w:t>
            </w:r>
          </w:p>
        </w:tc>
        <w:tc>
          <w:tcPr>
            <w:tcW w:w="270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应支付该券商的佣金</w:t>
            </w:r>
          </w:p>
        </w:tc>
        <w:tc>
          <w:tcPr>
            <w:tcW w:w="1080"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备注</w:t>
            </w:r>
          </w:p>
        </w:tc>
      </w:tr>
      <w:tr w:rsidR="001548F9" w:rsidRPr="008A1551" w:rsidTr="006F74EA">
        <w:tc>
          <w:tcPr>
            <w:tcW w:w="9000" w:type="dxa"/>
            <w:vMerge/>
            <w:vAlign w:val="center"/>
          </w:tcPr>
          <w:p w:rsidR="001548F9" w:rsidRPr="008A1551" w:rsidRDefault="001548F9" w:rsidP="009E1EA4">
            <w:pPr>
              <w:widowControl/>
              <w:spacing w:before="29" w:line="288" w:lineRule="auto"/>
              <w:jc w:val="left"/>
              <w:rPr>
                <w:color w:val="000000"/>
                <w:sz w:val="24"/>
              </w:rPr>
            </w:pPr>
          </w:p>
        </w:tc>
        <w:tc>
          <w:tcPr>
            <w:tcW w:w="780" w:type="dxa"/>
            <w:vMerge/>
            <w:vAlign w:val="center"/>
          </w:tcPr>
          <w:p w:rsidR="001548F9" w:rsidRPr="008A1551" w:rsidRDefault="001548F9" w:rsidP="009E1EA4">
            <w:pPr>
              <w:widowControl/>
              <w:spacing w:before="29" w:line="288" w:lineRule="auto"/>
              <w:jc w:val="left"/>
              <w:rPr>
                <w:color w:val="000000"/>
                <w:sz w:val="24"/>
              </w:rPr>
            </w:pPr>
          </w:p>
        </w:tc>
        <w:tc>
          <w:tcPr>
            <w:tcW w:w="180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占当期股票成交总额的比例</w:t>
            </w:r>
          </w:p>
        </w:tc>
        <w:tc>
          <w:tcPr>
            <w:tcW w:w="1620" w:type="dxa"/>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佣金</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占当期佣金总量的比例</w:t>
            </w:r>
          </w:p>
        </w:tc>
        <w:tc>
          <w:tcPr>
            <w:tcW w:w="1080" w:type="dxa"/>
            <w:vMerge/>
            <w:vAlign w:val="center"/>
          </w:tcPr>
          <w:p w:rsidR="001548F9" w:rsidRPr="008A1551" w:rsidRDefault="001548F9" w:rsidP="009E1EA4">
            <w:pPr>
              <w:widowControl/>
              <w:spacing w:before="29" w:line="288" w:lineRule="auto"/>
              <w:jc w:val="left"/>
              <w:rPr>
                <w:color w:val="000000"/>
                <w:kern w:val="0"/>
                <w:sz w:val="24"/>
              </w:rPr>
            </w:pPr>
          </w:p>
        </w:tc>
      </w:tr>
      <w:tr w:rsidR="004957AA">
        <w:tc>
          <w:tcPr>
            <w:tcW w:w="1559" w:type="dxa"/>
            <w:vAlign w:val="center"/>
          </w:tcPr>
          <w:p w:rsidR="004957AA" w:rsidRDefault="00EF5A3D">
            <w:pPr>
              <w:jc w:val="center"/>
            </w:pPr>
            <w:r>
              <w:rPr>
                <w:color w:val="000000"/>
                <w:sz w:val="24"/>
              </w:rPr>
              <w:t>中信证券股份有限公司</w:t>
            </w:r>
          </w:p>
        </w:tc>
        <w:tc>
          <w:tcPr>
            <w:tcW w:w="779" w:type="dxa"/>
            <w:vAlign w:val="center"/>
          </w:tcPr>
          <w:p w:rsidR="004957AA" w:rsidRDefault="00EF5A3D">
            <w:pPr>
              <w:jc w:val="center"/>
            </w:pPr>
            <w:r>
              <w:rPr>
                <w:color w:val="000000"/>
                <w:sz w:val="24"/>
              </w:rPr>
              <w:t>1</w:t>
            </w:r>
          </w:p>
        </w:tc>
        <w:tc>
          <w:tcPr>
            <w:tcW w:w="180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62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080" w:type="dxa"/>
            <w:vAlign w:val="center"/>
          </w:tcPr>
          <w:p w:rsidR="004957AA" w:rsidRDefault="00EF5A3D">
            <w:pPr>
              <w:jc w:val="left"/>
            </w:pPr>
            <w:r>
              <w:rPr>
                <w:color w:val="000000"/>
                <w:sz w:val="24"/>
              </w:rPr>
              <w:t>-</w:t>
            </w:r>
          </w:p>
        </w:tc>
      </w:tr>
      <w:tr w:rsidR="004957AA">
        <w:tc>
          <w:tcPr>
            <w:tcW w:w="1559" w:type="dxa"/>
            <w:vAlign w:val="center"/>
          </w:tcPr>
          <w:p w:rsidR="004957AA" w:rsidRDefault="00EF5A3D">
            <w:pPr>
              <w:jc w:val="center"/>
            </w:pPr>
            <w:r>
              <w:rPr>
                <w:color w:val="000000"/>
                <w:sz w:val="24"/>
              </w:rPr>
              <w:t>国金证券股份有限公司</w:t>
            </w:r>
          </w:p>
        </w:tc>
        <w:tc>
          <w:tcPr>
            <w:tcW w:w="779" w:type="dxa"/>
            <w:vAlign w:val="center"/>
          </w:tcPr>
          <w:p w:rsidR="004957AA" w:rsidRDefault="00EF5A3D">
            <w:pPr>
              <w:jc w:val="center"/>
            </w:pPr>
            <w:r>
              <w:rPr>
                <w:color w:val="000000"/>
                <w:sz w:val="24"/>
              </w:rPr>
              <w:t>2</w:t>
            </w:r>
          </w:p>
        </w:tc>
        <w:tc>
          <w:tcPr>
            <w:tcW w:w="180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62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080" w:type="dxa"/>
            <w:vAlign w:val="center"/>
          </w:tcPr>
          <w:p w:rsidR="004957AA" w:rsidRDefault="00EF5A3D">
            <w:pPr>
              <w:jc w:val="left"/>
            </w:pPr>
            <w:r>
              <w:rPr>
                <w:color w:val="000000"/>
                <w:sz w:val="24"/>
              </w:rPr>
              <w:t>-</w:t>
            </w:r>
          </w:p>
        </w:tc>
      </w:tr>
      <w:tr w:rsidR="004957AA">
        <w:tc>
          <w:tcPr>
            <w:tcW w:w="1559" w:type="dxa"/>
            <w:vAlign w:val="center"/>
          </w:tcPr>
          <w:p w:rsidR="004957AA" w:rsidRDefault="00EF5A3D">
            <w:pPr>
              <w:jc w:val="center"/>
            </w:pPr>
            <w:r>
              <w:rPr>
                <w:color w:val="000000"/>
                <w:sz w:val="24"/>
              </w:rPr>
              <w:t>中泰证券股份有限公司</w:t>
            </w:r>
          </w:p>
        </w:tc>
        <w:tc>
          <w:tcPr>
            <w:tcW w:w="779" w:type="dxa"/>
            <w:vAlign w:val="center"/>
          </w:tcPr>
          <w:p w:rsidR="004957AA" w:rsidRDefault="00EF5A3D">
            <w:pPr>
              <w:jc w:val="center"/>
            </w:pPr>
            <w:r>
              <w:rPr>
                <w:color w:val="000000"/>
                <w:sz w:val="24"/>
              </w:rPr>
              <w:t>3</w:t>
            </w:r>
          </w:p>
        </w:tc>
        <w:tc>
          <w:tcPr>
            <w:tcW w:w="180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62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080" w:type="dxa"/>
            <w:vAlign w:val="center"/>
          </w:tcPr>
          <w:p w:rsidR="004957AA" w:rsidRDefault="00EF5A3D">
            <w:pPr>
              <w:jc w:val="left"/>
            </w:pPr>
            <w:r>
              <w:rPr>
                <w:color w:val="000000"/>
                <w:sz w:val="24"/>
              </w:rPr>
              <w:t>-</w:t>
            </w:r>
          </w:p>
        </w:tc>
      </w:tr>
      <w:tr w:rsidR="004957AA">
        <w:tc>
          <w:tcPr>
            <w:tcW w:w="1559" w:type="dxa"/>
            <w:vAlign w:val="center"/>
          </w:tcPr>
          <w:p w:rsidR="004957AA" w:rsidRDefault="00EF5A3D">
            <w:pPr>
              <w:jc w:val="center"/>
            </w:pPr>
            <w:r>
              <w:rPr>
                <w:color w:val="000000"/>
                <w:sz w:val="24"/>
              </w:rPr>
              <w:t>新时代证券股份有限公司</w:t>
            </w:r>
          </w:p>
        </w:tc>
        <w:tc>
          <w:tcPr>
            <w:tcW w:w="779" w:type="dxa"/>
            <w:vAlign w:val="center"/>
          </w:tcPr>
          <w:p w:rsidR="004957AA" w:rsidRDefault="00EF5A3D">
            <w:pPr>
              <w:jc w:val="center"/>
            </w:pPr>
            <w:r>
              <w:rPr>
                <w:color w:val="000000"/>
                <w:sz w:val="24"/>
              </w:rPr>
              <w:t>1</w:t>
            </w:r>
          </w:p>
        </w:tc>
        <w:tc>
          <w:tcPr>
            <w:tcW w:w="180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62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080" w:type="dxa"/>
            <w:vAlign w:val="center"/>
          </w:tcPr>
          <w:p w:rsidR="004957AA" w:rsidRDefault="00EF5A3D">
            <w:pPr>
              <w:jc w:val="left"/>
            </w:pPr>
            <w:r>
              <w:rPr>
                <w:color w:val="000000"/>
                <w:sz w:val="24"/>
              </w:rPr>
              <w:t>-</w:t>
            </w:r>
          </w:p>
        </w:tc>
      </w:tr>
      <w:tr w:rsidR="004957AA">
        <w:tc>
          <w:tcPr>
            <w:tcW w:w="1559" w:type="dxa"/>
            <w:vAlign w:val="center"/>
          </w:tcPr>
          <w:p w:rsidR="004957AA" w:rsidRDefault="00EF5A3D">
            <w:pPr>
              <w:jc w:val="center"/>
            </w:pPr>
            <w:r>
              <w:rPr>
                <w:color w:val="000000"/>
                <w:sz w:val="24"/>
              </w:rPr>
              <w:t>国盛证券有限责任公司</w:t>
            </w:r>
          </w:p>
        </w:tc>
        <w:tc>
          <w:tcPr>
            <w:tcW w:w="779" w:type="dxa"/>
            <w:vAlign w:val="center"/>
          </w:tcPr>
          <w:p w:rsidR="004957AA" w:rsidRDefault="00EF5A3D">
            <w:pPr>
              <w:jc w:val="center"/>
            </w:pPr>
            <w:r>
              <w:rPr>
                <w:color w:val="000000"/>
                <w:sz w:val="24"/>
              </w:rPr>
              <w:t>1</w:t>
            </w:r>
          </w:p>
        </w:tc>
        <w:tc>
          <w:tcPr>
            <w:tcW w:w="180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62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080" w:type="dxa"/>
            <w:vAlign w:val="center"/>
          </w:tcPr>
          <w:p w:rsidR="004957AA" w:rsidRDefault="00EF5A3D">
            <w:pPr>
              <w:jc w:val="left"/>
            </w:pPr>
            <w:r>
              <w:rPr>
                <w:color w:val="000000"/>
                <w:sz w:val="24"/>
              </w:rPr>
              <w:t>-</w:t>
            </w:r>
          </w:p>
        </w:tc>
      </w:tr>
      <w:tr w:rsidR="004957AA">
        <w:tc>
          <w:tcPr>
            <w:tcW w:w="1559" w:type="dxa"/>
            <w:vAlign w:val="center"/>
          </w:tcPr>
          <w:p w:rsidR="004957AA" w:rsidRDefault="00EF5A3D">
            <w:pPr>
              <w:jc w:val="center"/>
            </w:pPr>
            <w:r>
              <w:rPr>
                <w:color w:val="000000"/>
                <w:sz w:val="24"/>
              </w:rPr>
              <w:t>安信证券股份有限公司</w:t>
            </w:r>
          </w:p>
        </w:tc>
        <w:tc>
          <w:tcPr>
            <w:tcW w:w="779" w:type="dxa"/>
            <w:vAlign w:val="center"/>
          </w:tcPr>
          <w:p w:rsidR="004957AA" w:rsidRDefault="00EF5A3D">
            <w:pPr>
              <w:jc w:val="center"/>
            </w:pPr>
            <w:r>
              <w:rPr>
                <w:color w:val="000000"/>
                <w:sz w:val="24"/>
              </w:rPr>
              <w:t>2</w:t>
            </w:r>
          </w:p>
        </w:tc>
        <w:tc>
          <w:tcPr>
            <w:tcW w:w="180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620" w:type="dxa"/>
            <w:vAlign w:val="center"/>
          </w:tcPr>
          <w:p w:rsidR="004957AA" w:rsidRDefault="00EF5A3D">
            <w:pPr>
              <w:jc w:val="right"/>
            </w:pPr>
            <w:r>
              <w:rPr>
                <w:color w:val="000000"/>
                <w:sz w:val="24"/>
              </w:rPr>
              <w:t>-</w:t>
            </w:r>
          </w:p>
        </w:tc>
        <w:tc>
          <w:tcPr>
            <w:tcW w:w="1080" w:type="dxa"/>
            <w:vAlign w:val="center"/>
          </w:tcPr>
          <w:p w:rsidR="004957AA" w:rsidRDefault="00EF5A3D">
            <w:pPr>
              <w:jc w:val="right"/>
            </w:pPr>
            <w:r>
              <w:rPr>
                <w:color w:val="000000"/>
                <w:sz w:val="24"/>
              </w:rPr>
              <w:t>-</w:t>
            </w:r>
          </w:p>
        </w:tc>
        <w:tc>
          <w:tcPr>
            <w:tcW w:w="1080" w:type="dxa"/>
            <w:vAlign w:val="center"/>
          </w:tcPr>
          <w:p w:rsidR="004957AA" w:rsidRDefault="00EF5A3D">
            <w:pPr>
              <w:jc w:val="left"/>
            </w:pPr>
            <w:r>
              <w:rPr>
                <w:color w:val="000000"/>
                <w:sz w:val="24"/>
              </w:rPr>
              <w:t>-</w:t>
            </w:r>
          </w:p>
        </w:tc>
      </w:tr>
    </w:tbl>
    <w:p w:rsidR="001548F9" w:rsidRPr="008A1551" w:rsidRDefault="001548F9" w:rsidP="009E1EA4">
      <w:pPr>
        <w:spacing w:before="29" w:line="288" w:lineRule="auto"/>
        <w:rPr>
          <w:color w:val="000000"/>
          <w:sz w:val="24"/>
        </w:rPr>
      </w:pPr>
    </w:p>
    <w:p w:rsidR="00990177" w:rsidRPr="00690ED2" w:rsidRDefault="00990177" w:rsidP="00990177">
      <w:pPr>
        <w:pStyle w:val="20"/>
        <w:spacing w:before="29" w:after="0" w:line="288" w:lineRule="auto"/>
        <w:rPr>
          <w:rFonts w:ascii="Times New Roman" w:hAnsi="Times New Roman"/>
          <w:kern w:val="0"/>
          <w:szCs w:val="24"/>
        </w:rPr>
      </w:pPr>
      <w:bookmarkStart w:id="122" w:name="OLE_LINK177"/>
      <w:bookmarkStart w:id="123" w:name="OLE_LINK176"/>
      <w:bookmarkStart w:id="124" w:name="OLE_LINK175"/>
      <w:bookmarkStart w:id="125" w:name="OLE_LINK156"/>
      <w:bookmarkStart w:id="126" w:name="OLE_LINK146"/>
      <w:bookmarkStart w:id="127" w:name="OLE_LINK108"/>
      <w:bookmarkStart w:id="128" w:name="OLE_LINK37"/>
      <w:bookmarkStart w:id="129" w:name="OLE_LINK36"/>
      <w:bookmarkStart w:id="130" w:name="OLE_LINK35"/>
      <w:bookmarkStart w:id="131" w:name="OLE_LINK32"/>
      <w:bookmarkStart w:id="132" w:name="OLE_LINK31"/>
      <w:bookmarkStart w:id="133" w:name="OLE_LINK30"/>
      <w:bookmarkStart w:id="134" w:name="OLE_LINK29"/>
      <w:bookmarkStart w:id="135" w:name="_Toc249707408"/>
      <w:bookmarkEnd w:id="121"/>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1548F9" w:rsidRPr="008A1551" w:rsidRDefault="001548F9" w:rsidP="009E1EA4">
      <w:pPr>
        <w:spacing w:before="29" w:line="288" w:lineRule="auto"/>
        <w:ind w:firstLine="420"/>
        <w:jc w:val="right"/>
        <w:rPr>
          <w:color w:val="000000"/>
          <w:sz w:val="24"/>
        </w:rPr>
      </w:pPr>
      <w:r w:rsidRPr="008A1551">
        <w:rPr>
          <w:sz w:val="24"/>
        </w:rPr>
        <w:t>金额单位</w:t>
      </w:r>
      <w:r w:rsidRPr="008A1551">
        <w:rPr>
          <w:color w:val="000000"/>
          <w:kern w:val="0"/>
          <w:sz w:val="24"/>
        </w:rPr>
        <w:t>：</w:t>
      </w:r>
      <w:r w:rsidRPr="008A1551">
        <w:rPr>
          <w:color w:val="000000"/>
          <w:kern w:val="0"/>
          <w:sz w:val="24"/>
          <w:lang w:val="zh-CN"/>
        </w:rPr>
        <w:t>人民币元</w:t>
      </w:r>
      <w:bookmarkEnd w:id="1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7"/>
        <w:gridCol w:w="1092"/>
        <w:gridCol w:w="1093"/>
        <w:gridCol w:w="1093"/>
        <w:gridCol w:w="1093"/>
        <w:gridCol w:w="1093"/>
        <w:gridCol w:w="1097"/>
      </w:tblGrid>
      <w:tr w:rsidR="001548F9" w:rsidRPr="008A1551" w:rsidTr="006F74EA">
        <w:tc>
          <w:tcPr>
            <w:tcW w:w="2479"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sz w:val="24"/>
              </w:rPr>
              <w:t>券商名称</w:t>
            </w:r>
          </w:p>
        </w:tc>
        <w:tc>
          <w:tcPr>
            <w:tcW w:w="2218"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债券交易</w:t>
            </w:r>
          </w:p>
        </w:tc>
        <w:tc>
          <w:tcPr>
            <w:tcW w:w="222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回购交易</w:t>
            </w:r>
          </w:p>
        </w:tc>
        <w:tc>
          <w:tcPr>
            <w:tcW w:w="2224"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权证交易</w:t>
            </w:r>
          </w:p>
        </w:tc>
      </w:tr>
      <w:tr w:rsidR="001548F9" w:rsidRPr="008A1551" w:rsidTr="006F74EA">
        <w:tc>
          <w:tcPr>
            <w:tcW w:w="2479" w:type="dxa"/>
            <w:vMerge/>
            <w:vAlign w:val="center"/>
          </w:tcPr>
          <w:p w:rsidR="001548F9" w:rsidRPr="008A1551" w:rsidRDefault="001548F9" w:rsidP="009E1EA4">
            <w:pPr>
              <w:widowControl/>
              <w:spacing w:before="29" w:line="288" w:lineRule="auto"/>
              <w:jc w:val="left"/>
              <w:rPr>
                <w:color w:val="000000"/>
                <w:kern w:val="0"/>
                <w:sz w:val="24"/>
              </w:rPr>
            </w:pPr>
          </w:p>
        </w:tc>
        <w:tc>
          <w:tcPr>
            <w:tcW w:w="1108"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占当期债券成交总额的比例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占当期回购成交总额的比例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4"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占当期权</w:t>
            </w:r>
            <w:proofErr w:type="gramStart"/>
            <w:r w:rsidRPr="008A1551">
              <w:rPr>
                <w:color w:val="000000"/>
                <w:sz w:val="24"/>
              </w:rPr>
              <w:t>证成交</w:t>
            </w:r>
            <w:proofErr w:type="gramEnd"/>
            <w:r w:rsidRPr="008A1551">
              <w:rPr>
                <w:color w:val="000000"/>
                <w:sz w:val="24"/>
              </w:rPr>
              <w:t>总额的比例</w:t>
            </w:r>
          </w:p>
        </w:tc>
      </w:tr>
      <w:tr w:rsidR="004957AA">
        <w:tc>
          <w:tcPr>
            <w:tcW w:w="2437" w:type="dxa"/>
            <w:vAlign w:val="center"/>
          </w:tcPr>
          <w:p w:rsidR="004957AA" w:rsidRDefault="00EF5A3D">
            <w:r>
              <w:rPr>
                <w:sz w:val="24"/>
              </w:rPr>
              <w:t>中信证券股份有限公司</w:t>
            </w:r>
          </w:p>
        </w:tc>
        <w:tc>
          <w:tcPr>
            <w:tcW w:w="1092" w:type="dxa"/>
            <w:vAlign w:val="center"/>
          </w:tcPr>
          <w:p w:rsidR="004957AA" w:rsidRDefault="00EF5A3D">
            <w:pPr>
              <w:jc w:val="right"/>
            </w:pPr>
            <w:r>
              <w:rPr>
                <w:sz w:val="24"/>
              </w:rPr>
              <w:t>27,496,618.13</w:t>
            </w:r>
          </w:p>
        </w:tc>
        <w:tc>
          <w:tcPr>
            <w:tcW w:w="1093" w:type="dxa"/>
            <w:vAlign w:val="center"/>
          </w:tcPr>
          <w:p w:rsidR="004957AA" w:rsidRDefault="00EF5A3D">
            <w:pPr>
              <w:jc w:val="right"/>
            </w:pPr>
            <w:r>
              <w:rPr>
                <w:sz w:val="24"/>
              </w:rPr>
              <w:t>100.00%</w:t>
            </w:r>
          </w:p>
        </w:tc>
        <w:tc>
          <w:tcPr>
            <w:tcW w:w="1093" w:type="dxa"/>
            <w:vAlign w:val="center"/>
          </w:tcPr>
          <w:p w:rsidR="004957AA" w:rsidRDefault="00EF5A3D">
            <w:pPr>
              <w:jc w:val="right"/>
            </w:pPr>
            <w:r>
              <w:rPr>
                <w:sz w:val="24"/>
              </w:rPr>
              <w:t>54,000,000.00</w:t>
            </w:r>
          </w:p>
        </w:tc>
        <w:tc>
          <w:tcPr>
            <w:tcW w:w="1093" w:type="dxa"/>
            <w:vAlign w:val="center"/>
          </w:tcPr>
          <w:p w:rsidR="004957AA" w:rsidRDefault="00EF5A3D">
            <w:pPr>
              <w:jc w:val="right"/>
            </w:pPr>
            <w:r>
              <w:rPr>
                <w:sz w:val="24"/>
              </w:rPr>
              <w:t>12.54%</w:t>
            </w:r>
          </w:p>
        </w:tc>
        <w:tc>
          <w:tcPr>
            <w:tcW w:w="1093" w:type="dxa"/>
            <w:vAlign w:val="center"/>
          </w:tcPr>
          <w:p w:rsidR="004957AA" w:rsidRDefault="00EF5A3D">
            <w:pPr>
              <w:jc w:val="right"/>
            </w:pPr>
            <w:r>
              <w:rPr>
                <w:sz w:val="24"/>
              </w:rPr>
              <w:t>-</w:t>
            </w:r>
          </w:p>
        </w:tc>
        <w:tc>
          <w:tcPr>
            <w:tcW w:w="1097" w:type="dxa"/>
            <w:vAlign w:val="center"/>
          </w:tcPr>
          <w:p w:rsidR="004957AA" w:rsidRDefault="00EF5A3D">
            <w:pPr>
              <w:jc w:val="right"/>
            </w:pPr>
            <w:r>
              <w:rPr>
                <w:sz w:val="24"/>
              </w:rPr>
              <w:t>-</w:t>
            </w:r>
          </w:p>
        </w:tc>
      </w:tr>
      <w:tr w:rsidR="004957AA">
        <w:tc>
          <w:tcPr>
            <w:tcW w:w="2437" w:type="dxa"/>
            <w:vAlign w:val="center"/>
          </w:tcPr>
          <w:p w:rsidR="004957AA" w:rsidRDefault="00EF5A3D">
            <w:r>
              <w:rPr>
                <w:sz w:val="24"/>
              </w:rPr>
              <w:t>国金证券股份有限公司</w:t>
            </w:r>
          </w:p>
        </w:tc>
        <w:tc>
          <w:tcPr>
            <w:tcW w:w="1092" w:type="dxa"/>
            <w:vAlign w:val="center"/>
          </w:tcPr>
          <w:p w:rsidR="004957AA" w:rsidRDefault="00EF5A3D">
            <w:pPr>
              <w:jc w:val="right"/>
            </w:pPr>
            <w:r>
              <w:rPr>
                <w:sz w:val="24"/>
              </w:rPr>
              <w:t>-</w:t>
            </w:r>
          </w:p>
        </w:tc>
        <w:tc>
          <w:tcPr>
            <w:tcW w:w="1093" w:type="dxa"/>
            <w:vAlign w:val="center"/>
          </w:tcPr>
          <w:p w:rsidR="004957AA" w:rsidRDefault="00EF5A3D">
            <w:pPr>
              <w:jc w:val="right"/>
            </w:pPr>
            <w:r>
              <w:rPr>
                <w:sz w:val="24"/>
              </w:rPr>
              <w:t>-</w:t>
            </w:r>
          </w:p>
        </w:tc>
        <w:tc>
          <w:tcPr>
            <w:tcW w:w="1093" w:type="dxa"/>
            <w:vAlign w:val="center"/>
          </w:tcPr>
          <w:p w:rsidR="004957AA" w:rsidRDefault="00EF5A3D">
            <w:pPr>
              <w:jc w:val="right"/>
            </w:pPr>
            <w:r>
              <w:rPr>
                <w:sz w:val="24"/>
              </w:rPr>
              <w:t>2,100,000.00</w:t>
            </w:r>
          </w:p>
        </w:tc>
        <w:tc>
          <w:tcPr>
            <w:tcW w:w="1093" w:type="dxa"/>
            <w:vAlign w:val="center"/>
          </w:tcPr>
          <w:p w:rsidR="004957AA" w:rsidRDefault="00EF5A3D">
            <w:pPr>
              <w:jc w:val="right"/>
            </w:pPr>
            <w:r>
              <w:rPr>
                <w:sz w:val="24"/>
              </w:rPr>
              <w:t>0.49%</w:t>
            </w:r>
          </w:p>
        </w:tc>
        <w:tc>
          <w:tcPr>
            <w:tcW w:w="1093" w:type="dxa"/>
            <w:vAlign w:val="center"/>
          </w:tcPr>
          <w:p w:rsidR="004957AA" w:rsidRDefault="00EF5A3D">
            <w:pPr>
              <w:jc w:val="right"/>
            </w:pPr>
            <w:r>
              <w:rPr>
                <w:sz w:val="24"/>
              </w:rPr>
              <w:t>-</w:t>
            </w:r>
          </w:p>
        </w:tc>
        <w:tc>
          <w:tcPr>
            <w:tcW w:w="1097" w:type="dxa"/>
            <w:vAlign w:val="center"/>
          </w:tcPr>
          <w:p w:rsidR="004957AA" w:rsidRDefault="00EF5A3D">
            <w:pPr>
              <w:jc w:val="right"/>
            </w:pPr>
            <w:r>
              <w:rPr>
                <w:sz w:val="24"/>
              </w:rPr>
              <w:t>-</w:t>
            </w:r>
          </w:p>
        </w:tc>
      </w:tr>
      <w:tr w:rsidR="004957AA">
        <w:tc>
          <w:tcPr>
            <w:tcW w:w="2437" w:type="dxa"/>
            <w:vAlign w:val="center"/>
          </w:tcPr>
          <w:p w:rsidR="004957AA" w:rsidRDefault="00EF5A3D">
            <w:r>
              <w:rPr>
                <w:sz w:val="24"/>
              </w:rPr>
              <w:t>中泰证券股份有限公司</w:t>
            </w:r>
          </w:p>
        </w:tc>
        <w:tc>
          <w:tcPr>
            <w:tcW w:w="1092" w:type="dxa"/>
            <w:vAlign w:val="center"/>
          </w:tcPr>
          <w:p w:rsidR="004957AA" w:rsidRDefault="00EF5A3D">
            <w:pPr>
              <w:jc w:val="right"/>
            </w:pPr>
            <w:r>
              <w:rPr>
                <w:sz w:val="24"/>
              </w:rPr>
              <w:t>-</w:t>
            </w:r>
          </w:p>
        </w:tc>
        <w:tc>
          <w:tcPr>
            <w:tcW w:w="1093" w:type="dxa"/>
            <w:vAlign w:val="center"/>
          </w:tcPr>
          <w:p w:rsidR="004957AA" w:rsidRDefault="00EF5A3D">
            <w:pPr>
              <w:jc w:val="right"/>
            </w:pPr>
            <w:r>
              <w:rPr>
                <w:sz w:val="24"/>
              </w:rPr>
              <w:t>-</w:t>
            </w:r>
          </w:p>
        </w:tc>
        <w:tc>
          <w:tcPr>
            <w:tcW w:w="1093" w:type="dxa"/>
            <w:vAlign w:val="center"/>
          </w:tcPr>
          <w:p w:rsidR="004957AA" w:rsidRDefault="00EF5A3D">
            <w:pPr>
              <w:jc w:val="right"/>
            </w:pPr>
            <w:r>
              <w:rPr>
                <w:sz w:val="24"/>
              </w:rPr>
              <w:t>11,000,000.00</w:t>
            </w:r>
          </w:p>
        </w:tc>
        <w:tc>
          <w:tcPr>
            <w:tcW w:w="1093" w:type="dxa"/>
            <w:vAlign w:val="center"/>
          </w:tcPr>
          <w:p w:rsidR="004957AA" w:rsidRDefault="00EF5A3D">
            <w:pPr>
              <w:jc w:val="right"/>
            </w:pPr>
            <w:r>
              <w:rPr>
                <w:sz w:val="24"/>
              </w:rPr>
              <w:t>2.55%</w:t>
            </w:r>
          </w:p>
        </w:tc>
        <w:tc>
          <w:tcPr>
            <w:tcW w:w="1093" w:type="dxa"/>
            <w:vAlign w:val="center"/>
          </w:tcPr>
          <w:p w:rsidR="004957AA" w:rsidRDefault="00EF5A3D">
            <w:pPr>
              <w:jc w:val="right"/>
            </w:pPr>
            <w:r>
              <w:rPr>
                <w:sz w:val="24"/>
              </w:rPr>
              <w:t>-</w:t>
            </w:r>
          </w:p>
        </w:tc>
        <w:tc>
          <w:tcPr>
            <w:tcW w:w="1097" w:type="dxa"/>
            <w:vAlign w:val="center"/>
          </w:tcPr>
          <w:p w:rsidR="004957AA" w:rsidRDefault="00EF5A3D">
            <w:pPr>
              <w:jc w:val="right"/>
            </w:pPr>
            <w:r>
              <w:rPr>
                <w:sz w:val="24"/>
              </w:rPr>
              <w:t>-</w:t>
            </w:r>
          </w:p>
        </w:tc>
      </w:tr>
      <w:tr w:rsidR="004957AA">
        <w:tc>
          <w:tcPr>
            <w:tcW w:w="2437" w:type="dxa"/>
            <w:vAlign w:val="center"/>
          </w:tcPr>
          <w:p w:rsidR="004957AA" w:rsidRDefault="00EF5A3D">
            <w:r>
              <w:rPr>
                <w:sz w:val="24"/>
              </w:rPr>
              <w:t>安信证券股份有限公司</w:t>
            </w:r>
          </w:p>
        </w:tc>
        <w:tc>
          <w:tcPr>
            <w:tcW w:w="1092" w:type="dxa"/>
            <w:vAlign w:val="center"/>
          </w:tcPr>
          <w:p w:rsidR="004957AA" w:rsidRDefault="00EF5A3D">
            <w:pPr>
              <w:jc w:val="right"/>
            </w:pPr>
            <w:r>
              <w:rPr>
                <w:sz w:val="24"/>
              </w:rPr>
              <w:t>-</w:t>
            </w:r>
          </w:p>
        </w:tc>
        <w:tc>
          <w:tcPr>
            <w:tcW w:w="1093" w:type="dxa"/>
            <w:vAlign w:val="center"/>
          </w:tcPr>
          <w:p w:rsidR="004957AA" w:rsidRDefault="00EF5A3D">
            <w:pPr>
              <w:jc w:val="right"/>
            </w:pPr>
            <w:r>
              <w:rPr>
                <w:sz w:val="24"/>
              </w:rPr>
              <w:t>-</w:t>
            </w:r>
          </w:p>
        </w:tc>
        <w:tc>
          <w:tcPr>
            <w:tcW w:w="1093" w:type="dxa"/>
            <w:vAlign w:val="center"/>
          </w:tcPr>
          <w:p w:rsidR="004957AA" w:rsidRDefault="00EF5A3D">
            <w:pPr>
              <w:jc w:val="right"/>
            </w:pPr>
            <w:r>
              <w:rPr>
                <w:sz w:val="24"/>
              </w:rPr>
              <w:t>363,500,000.00</w:t>
            </w:r>
          </w:p>
        </w:tc>
        <w:tc>
          <w:tcPr>
            <w:tcW w:w="1093" w:type="dxa"/>
            <w:vAlign w:val="center"/>
          </w:tcPr>
          <w:p w:rsidR="004957AA" w:rsidRDefault="00EF5A3D">
            <w:pPr>
              <w:jc w:val="right"/>
            </w:pPr>
            <w:r>
              <w:rPr>
                <w:sz w:val="24"/>
              </w:rPr>
              <w:t>84.42%</w:t>
            </w:r>
          </w:p>
        </w:tc>
        <w:tc>
          <w:tcPr>
            <w:tcW w:w="1093" w:type="dxa"/>
            <w:vAlign w:val="center"/>
          </w:tcPr>
          <w:p w:rsidR="004957AA" w:rsidRDefault="00EF5A3D">
            <w:pPr>
              <w:jc w:val="right"/>
            </w:pPr>
            <w:r>
              <w:rPr>
                <w:sz w:val="24"/>
              </w:rPr>
              <w:t>-</w:t>
            </w:r>
          </w:p>
        </w:tc>
        <w:tc>
          <w:tcPr>
            <w:tcW w:w="1097" w:type="dxa"/>
            <w:vAlign w:val="center"/>
          </w:tcPr>
          <w:p w:rsidR="004957AA" w:rsidRDefault="00EF5A3D">
            <w:pPr>
              <w:jc w:val="right"/>
            </w:pPr>
            <w:r>
              <w:rPr>
                <w:sz w:val="24"/>
              </w:rPr>
              <w:t>-</w:t>
            </w:r>
          </w:p>
        </w:tc>
      </w:tr>
    </w:tbl>
    <w:p w:rsidR="004957AA" w:rsidRDefault="00EF5A3D">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、报告期内，本基金新增加交易单元为国盛证券有限责任公司，其它交易单元未发生变化；</w:t>
      </w:r>
    </w:p>
    <w:p w:rsidR="004957AA" w:rsidRDefault="00EF5A3D">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、租用证券公司交易单元的程序：首先根据租用证券公司交易单元的选择标准进行综合评价，然后根据评价选择基金交易单元。研究部提交方案，并上报公司批准。</w:t>
      </w:r>
    </w:p>
    <w:p w:rsidR="005A0301" w:rsidRPr="008A1551" w:rsidRDefault="005A0301" w:rsidP="009E1EA4">
      <w:pPr>
        <w:tabs>
          <w:tab w:val="left" w:pos="426"/>
        </w:tabs>
        <w:spacing w:before="29" w:line="288" w:lineRule="auto"/>
        <w:jc w:val="left"/>
        <w:rPr>
          <w:kern w:val="0"/>
          <w:sz w:val="24"/>
        </w:rPr>
      </w:pPr>
    </w:p>
    <w:p w:rsidR="00DA3AB8" w:rsidRPr="0045565B" w:rsidRDefault="00DA3AB8" w:rsidP="00A7746B">
      <w:pPr>
        <w:pStyle w:val="1"/>
        <w:keepNext/>
        <w:keepLines/>
        <w:widowControl w:val="0"/>
        <w:spacing w:beforeLines="100" w:before="312" w:afterLines="100" w:after="312" w:line="360" w:lineRule="auto"/>
        <w:jc w:val="center"/>
        <w:rPr>
          <w:rFonts w:eastAsiaTheme="minorEastAsia"/>
          <w:b/>
          <w:bCs/>
          <w:sz w:val="21"/>
          <w:szCs w:val="21"/>
          <w:lang w:val="en-US"/>
        </w:rPr>
      </w:pPr>
      <w:bookmarkStart w:id="136" w:name="_Toc361324902"/>
      <w:r w:rsidRPr="0045565B">
        <w:rPr>
          <w:rFonts w:eastAsiaTheme="minorEastAsia"/>
          <w:b/>
          <w:bCs/>
          <w:sz w:val="21"/>
          <w:szCs w:val="21"/>
          <w:lang w:val="en-US"/>
        </w:rPr>
        <w:t xml:space="preserve">11  </w:t>
      </w:r>
      <w:r w:rsidRPr="0045565B">
        <w:rPr>
          <w:rFonts w:eastAsiaTheme="minorEastAsia"/>
          <w:b/>
          <w:bCs/>
          <w:sz w:val="21"/>
          <w:szCs w:val="21"/>
          <w:lang w:val="en-US"/>
        </w:rPr>
        <w:t>影响投资者决策的其他重要信息</w:t>
      </w:r>
      <w:bookmarkEnd w:id="136"/>
    </w:p>
    <w:p w:rsidR="00DA3AB8" w:rsidRPr="004F0662" w:rsidRDefault="00DA3AB8" w:rsidP="00DA3AB8">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DA3AB8" w:rsidRPr="004F0662" w:rsidTr="00EF5A3D">
        <w:tc>
          <w:tcPr>
            <w:tcW w:w="993" w:type="dxa"/>
            <w:vMerge w:val="restart"/>
            <w:vAlign w:val="center"/>
          </w:tcPr>
          <w:p w:rsidR="00DA3AB8" w:rsidRPr="004F0662" w:rsidRDefault="00DA3AB8" w:rsidP="00EF5A3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DA3AB8" w:rsidRPr="004F0662" w:rsidRDefault="00DA3AB8" w:rsidP="00EF5A3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DA3AB8" w:rsidRPr="004F0662" w:rsidRDefault="00DA3AB8" w:rsidP="00EF5A3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DA3AB8" w:rsidRPr="004F0662" w:rsidTr="00EF5A3D">
        <w:tc>
          <w:tcPr>
            <w:tcW w:w="993" w:type="dxa"/>
            <w:vMerge/>
            <w:vAlign w:val="center"/>
          </w:tcPr>
          <w:p w:rsidR="00DA3AB8" w:rsidRPr="004F0662" w:rsidRDefault="00DA3AB8" w:rsidP="00EF5A3D">
            <w:pPr>
              <w:autoSpaceDE w:val="0"/>
              <w:autoSpaceDN w:val="0"/>
              <w:adjustRightInd w:val="0"/>
              <w:jc w:val="center"/>
              <w:rPr>
                <w:rFonts w:ascii="宋体" w:hAnsi="宋体"/>
                <w:b/>
                <w:bCs/>
                <w:color w:val="000000"/>
                <w:kern w:val="0"/>
                <w:szCs w:val="21"/>
              </w:rPr>
            </w:pPr>
          </w:p>
        </w:tc>
        <w:tc>
          <w:tcPr>
            <w:tcW w:w="992" w:type="dxa"/>
            <w:vAlign w:val="center"/>
          </w:tcPr>
          <w:p w:rsidR="00DA3AB8" w:rsidRPr="004F0662" w:rsidRDefault="00DA3AB8" w:rsidP="00EF5A3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DA3AB8" w:rsidRPr="004F0662" w:rsidRDefault="00DA3AB8" w:rsidP="00EF5A3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DA3AB8" w:rsidRPr="004F0662" w:rsidRDefault="00DA3AB8" w:rsidP="00EF5A3D">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DA3AB8" w:rsidRPr="004F0662" w:rsidRDefault="00DA3AB8" w:rsidP="00EF5A3D">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DA3AB8" w:rsidRPr="004F0662" w:rsidRDefault="00DA3AB8" w:rsidP="00EF5A3D">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DA3AB8" w:rsidRPr="004F0662" w:rsidRDefault="00DA3AB8" w:rsidP="00EF5A3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DA3AB8" w:rsidRPr="004F0662" w:rsidRDefault="00DA3AB8" w:rsidP="00EF5A3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4957AA">
        <w:tc>
          <w:tcPr>
            <w:tcW w:w="993" w:type="dxa"/>
            <w:vMerge w:val="restart"/>
          </w:tcPr>
          <w:p w:rsidR="004957AA" w:rsidRDefault="004957AA"/>
          <w:p w:rsidR="004957AA" w:rsidRDefault="00EF5A3D">
            <w:r>
              <w:rPr>
                <w:rFonts w:ascii="宋体" w:hAnsi="宋体" w:hint="eastAsia"/>
                <w:bCs/>
                <w:color w:val="000000"/>
                <w:kern w:val="0"/>
                <w:szCs w:val="21"/>
              </w:rPr>
              <w:t>机构</w:t>
            </w:r>
          </w:p>
        </w:tc>
        <w:tc>
          <w:tcPr>
            <w:tcW w:w="992" w:type="dxa"/>
            <w:vAlign w:val="center"/>
          </w:tcPr>
          <w:p w:rsidR="004957AA" w:rsidRDefault="00EF5A3D">
            <w:pPr>
              <w:jc w:val="center"/>
            </w:pPr>
            <w:r>
              <w:rPr>
                <w:rFonts w:ascii="宋体" w:hAnsi="宋体"/>
                <w:color w:val="000000"/>
                <w:kern w:val="0"/>
                <w:szCs w:val="21"/>
              </w:rPr>
              <w:t>1</w:t>
            </w:r>
          </w:p>
        </w:tc>
        <w:tc>
          <w:tcPr>
            <w:tcW w:w="1843" w:type="dxa"/>
            <w:vAlign w:val="center"/>
          </w:tcPr>
          <w:p w:rsidR="004957AA" w:rsidRDefault="00EF5A3D">
            <w:pPr>
              <w:jc w:val="center"/>
            </w:pPr>
            <w:r>
              <w:rPr>
                <w:rFonts w:ascii="宋体" w:hAnsi="宋体"/>
                <w:color w:val="000000"/>
                <w:kern w:val="0"/>
                <w:szCs w:val="21"/>
              </w:rPr>
              <w:t>2019/1/1-2019/6/30</w:t>
            </w:r>
          </w:p>
        </w:tc>
        <w:tc>
          <w:tcPr>
            <w:tcW w:w="851" w:type="dxa"/>
            <w:vAlign w:val="center"/>
          </w:tcPr>
          <w:p w:rsidR="004957AA" w:rsidRDefault="00EF5A3D">
            <w:pPr>
              <w:jc w:val="center"/>
            </w:pPr>
            <w:r>
              <w:rPr>
                <w:rFonts w:ascii="宋体" w:hAnsi="宋体"/>
                <w:color w:val="000000"/>
                <w:kern w:val="0"/>
                <w:szCs w:val="21"/>
              </w:rPr>
              <w:t>482,398,512.93</w:t>
            </w:r>
          </w:p>
        </w:tc>
        <w:tc>
          <w:tcPr>
            <w:tcW w:w="850" w:type="dxa"/>
            <w:vAlign w:val="center"/>
          </w:tcPr>
          <w:p w:rsidR="004957AA" w:rsidRDefault="00EF5A3D">
            <w:pPr>
              <w:jc w:val="center"/>
            </w:pPr>
            <w:r>
              <w:rPr>
                <w:rFonts w:ascii="宋体" w:hAnsi="宋体"/>
                <w:color w:val="000000"/>
                <w:kern w:val="0"/>
                <w:szCs w:val="21"/>
              </w:rPr>
              <w:t>94,543,821.50</w:t>
            </w:r>
          </w:p>
        </w:tc>
        <w:tc>
          <w:tcPr>
            <w:tcW w:w="1134" w:type="dxa"/>
            <w:vAlign w:val="center"/>
          </w:tcPr>
          <w:p w:rsidR="004957AA" w:rsidRDefault="00EF5A3D">
            <w:pPr>
              <w:jc w:val="center"/>
            </w:pPr>
            <w:r>
              <w:rPr>
                <w:rFonts w:ascii="宋体" w:hAnsi="宋体"/>
                <w:color w:val="000000"/>
                <w:kern w:val="0"/>
                <w:szCs w:val="21"/>
              </w:rPr>
              <w:t>-</w:t>
            </w:r>
          </w:p>
        </w:tc>
        <w:tc>
          <w:tcPr>
            <w:tcW w:w="1419" w:type="dxa"/>
            <w:vAlign w:val="center"/>
          </w:tcPr>
          <w:p w:rsidR="004957AA" w:rsidRDefault="00EF5A3D">
            <w:pPr>
              <w:jc w:val="center"/>
            </w:pPr>
            <w:r>
              <w:rPr>
                <w:rFonts w:ascii="宋体" w:hAnsi="宋体"/>
                <w:color w:val="000000"/>
                <w:kern w:val="0"/>
                <w:szCs w:val="21"/>
              </w:rPr>
              <w:t>576,942,334.43</w:t>
            </w:r>
          </w:p>
        </w:tc>
        <w:tc>
          <w:tcPr>
            <w:tcW w:w="1130" w:type="dxa"/>
            <w:vAlign w:val="center"/>
          </w:tcPr>
          <w:p w:rsidR="004957AA" w:rsidRDefault="00EF5A3D">
            <w:pPr>
              <w:jc w:val="center"/>
            </w:pPr>
            <w:r>
              <w:rPr>
                <w:rFonts w:ascii="宋体" w:hAnsi="宋体"/>
                <w:color w:val="000000"/>
                <w:kern w:val="0"/>
                <w:szCs w:val="21"/>
              </w:rPr>
              <w:t>37.29%</w:t>
            </w:r>
          </w:p>
        </w:tc>
      </w:tr>
      <w:tr w:rsidR="004957AA">
        <w:tc>
          <w:tcPr>
            <w:tcW w:w="993" w:type="dxa"/>
            <w:vMerge/>
          </w:tcPr>
          <w:p w:rsidR="004957AA" w:rsidRDefault="004957AA"/>
        </w:tc>
        <w:tc>
          <w:tcPr>
            <w:tcW w:w="992" w:type="dxa"/>
            <w:vAlign w:val="center"/>
          </w:tcPr>
          <w:p w:rsidR="004957AA" w:rsidRDefault="00EF5A3D">
            <w:pPr>
              <w:jc w:val="center"/>
            </w:pPr>
            <w:r>
              <w:rPr>
                <w:rFonts w:ascii="宋体" w:hAnsi="宋体"/>
                <w:color w:val="000000"/>
                <w:kern w:val="0"/>
                <w:szCs w:val="21"/>
              </w:rPr>
              <w:t>2</w:t>
            </w:r>
          </w:p>
        </w:tc>
        <w:tc>
          <w:tcPr>
            <w:tcW w:w="1843" w:type="dxa"/>
            <w:vAlign w:val="center"/>
          </w:tcPr>
          <w:p w:rsidR="004957AA" w:rsidRDefault="00EF5A3D">
            <w:pPr>
              <w:jc w:val="center"/>
            </w:pPr>
            <w:r>
              <w:rPr>
                <w:rFonts w:ascii="宋体" w:hAnsi="宋体"/>
                <w:color w:val="000000"/>
                <w:kern w:val="0"/>
                <w:szCs w:val="21"/>
              </w:rPr>
              <w:t>2019/1/1-2019/6/30</w:t>
            </w:r>
          </w:p>
        </w:tc>
        <w:tc>
          <w:tcPr>
            <w:tcW w:w="851" w:type="dxa"/>
            <w:vAlign w:val="center"/>
          </w:tcPr>
          <w:p w:rsidR="004957AA" w:rsidRDefault="00EF5A3D">
            <w:pPr>
              <w:jc w:val="center"/>
            </w:pPr>
            <w:r>
              <w:rPr>
                <w:rFonts w:ascii="宋体" w:hAnsi="宋体"/>
                <w:color w:val="000000"/>
                <w:kern w:val="0"/>
                <w:szCs w:val="21"/>
              </w:rPr>
              <w:t>290,387,184.20</w:t>
            </w:r>
          </w:p>
        </w:tc>
        <w:tc>
          <w:tcPr>
            <w:tcW w:w="850" w:type="dxa"/>
            <w:vAlign w:val="center"/>
          </w:tcPr>
          <w:p w:rsidR="004957AA" w:rsidRDefault="00EF5A3D">
            <w:pPr>
              <w:jc w:val="center"/>
            </w:pPr>
            <w:r>
              <w:rPr>
                <w:rFonts w:ascii="宋体" w:hAnsi="宋体"/>
                <w:color w:val="000000"/>
                <w:kern w:val="0"/>
                <w:szCs w:val="21"/>
              </w:rPr>
              <w:t>-</w:t>
            </w:r>
          </w:p>
        </w:tc>
        <w:tc>
          <w:tcPr>
            <w:tcW w:w="1134" w:type="dxa"/>
            <w:vAlign w:val="center"/>
          </w:tcPr>
          <w:p w:rsidR="004957AA" w:rsidRDefault="00EF5A3D">
            <w:pPr>
              <w:jc w:val="center"/>
            </w:pPr>
            <w:r>
              <w:rPr>
                <w:rFonts w:ascii="宋体" w:hAnsi="宋体"/>
                <w:color w:val="000000"/>
                <w:kern w:val="0"/>
                <w:szCs w:val="21"/>
              </w:rPr>
              <w:t>-</w:t>
            </w:r>
          </w:p>
        </w:tc>
        <w:tc>
          <w:tcPr>
            <w:tcW w:w="1419" w:type="dxa"/>
            <w:vAlign w:val="center"/>
          </w:tcPr>
          <w:p w:rsidR="004957AA" w:rsidRDefault="00EF5A3D">
            <w:pPr>
              <w:jc w:val="center"/>
            </w:pPr>
            <w:r>
              <w:rPr>
                <w:rFonts w:ascii="宋体" w:hAnsi="宋体"/>
                <w:color w:val="000000"/>
                <w:kern w:val="0"/>
                <w:szCs w:val="21"/>
              </w:rPr>
              <w:t>290,387,184.20</w:t>
            </w:r>
          </w:p>
        </w:tc>
        <w:tc>
          <w:tcPr>
            <w:tcW w:w="1130" w:type="dxa"/>
            <w:vAlign w:val="center"/>
          </w:tcPr>
          <w:p w:rsidR="004957AA" w:rsidRDefault="00EF5A3D">
            <w:pPr>
              <w:jc w:val="center"/>
            </w:pPr>
            <w:r>
              <w:rPr>
                <w:rFonts w:ascii="宋体" w:hAnsi="宋体"/>
                <w:color w:val="000000"/>
                <w:kern w:val="0"/>
                <w:szCs w:val="21"/>
              </w:rPr>
              <w:t>18.77%</w:t>
            </w:r>
          </w:p>
        </w:tc>
      </w:tr>
      <w:tr w:rsidR="004957AA">
        <w:tc>
          <w:tcPr>
            <w:tcW w:w="993" w:type="dxa"/>
            <w:vMerge/>
          </w:tcPr>
          <w:p w:rsidR="004957AA" w:rsidRDefault="004957AA"/>
        </w:tc>
        <w:tc>
          <w:tcPr>
            <w:tcW w:w="992" w:type="dxa"/>
            <w:vAlign w:val="center"/>
          </w:tcPr>
          <w:p w:rsidR="004957AA" w:rsidRDefault="00EF5A3D">
            <w:pPr>
              <w:jc w:val="center"/>
            </w:pPr>
            <w:r>
              <w:rPr>
                <w:rFonts w:ascii="宋体" w:hAnsi="宋体"/>
                <w:color w:val="000000"/>
                <w:kern w:val="0"/>
                <w:szCs w:val="21"/>
              </w:rPr>
              <w:t>3</w:t>
            </w:r>
          </w:p>
        </w:tc>
        <w:tc>
          <w:tcPr>
            <w:tcW w:w="1843" w:type="dxa"/>
            <w:vAlign w:val="center"/>
          </w:tcPr>
          <w:p w:rsidR="004957AA" w:rsidRDefault="00EF5A3D">
            <w:pPr>
              <w:jc w:val="center"/>
            </w:pPr>
            <w:r>
              <w:rPr>
                <w:rFonts w:ascii="宋体" w:hAnsi="宋体"/>
                <w:color w:val="000000"/>
                <w:kern w:val="0"/>
                <w:szCs w:val="21"/>
              </w:rPr>
              <w:t>2019/1/1-2019/6/30</w:t>
            </w:r>
          </w:p>
        </w:tc>
        <w:tc>
          <w:tcPr>
            <w:tcW w:w="851" w:type="dxa"/>
            <w:vAlign w:val="center"/>
          </w:tcPr>
          <w:p w:rsidR="004957AA" w:rsidRDefault="00EF5A3D">
            <w:pPr>
              <w:jc w:val="center"/>
            </w:pPr>
            <w:r>
              <w:rPr>
                <w:rFonts w:ascii="宋体" w:hAnsi="宋体"/>
                <w:color w:val="000000"/>
                <w:kern w:val="0"/>
                <w:szCs w:val="21"/>
              </w:rPr>
              <w:t>288,017,473.12</w:t>
            </w:r>
          </w:p>
        </w:tc>
        <w:tc>
          <w:tcPr>
            <w:tcW w:w="850" w:type="dxa"/>
            <w:vAlign w:val="center"/>
          </w:tcPr>
          <w:p w:rsidR="004957AA" w:rsidRDefault="00EF5A3D">
            <w:pPr>
              <w:jc w:val="center"/>
            </w:pPr>
            <w:r>
              <w:rPr>
                <w:rFonts w:ascii="宋体" w:hAnsi="宋体"/>
                <w:color w:val="000000"/>
                <w:kern w:val="0"/>
                <w:szCs w:val="21"/>
              </w:rPr>
              <w:t>-</w:t>
            </w:r>
          </w:p>
        </w:tc>
        <w:tc>
          <w:tcPr>
            <w:tcW w:w="1134" w:type="dxa"/>
            <w:vAlign w:val="center"/>
          </w:tcPr>
          <w:p w:rsidR="004957AA" w:rsidRDefault="00EF5A3D">
            <w:pPr>
              <w:jc w:val="center"/>
            </w:pPr>
            <w:r>
              <w:rPr>
                <w:rFonts w:ascii="宋体" w:hAnsi="宋体"/>
                <w:color w:val="000000"/>
                <w:kern w:val="0"/>
                <w:szCs w:val="21"/>
              </w:rPr>
              <w:t>-</w:t>
            </w:r>
          </w:p>
        </w:tc>
        <w:tc>
          <w:tcPr>
            <w:tcW w:w="1419" w:type="dxa"/>
            <w:vAlign w:val="center"/>
          </w:tcPr>
          <w:p w:rsidR="004957AA" w:rsidRDefault="00EF5A3D">
            <w:pPr>
              <w:jc w:val="center"/>
            </w:pPr>
            <w:r>
              <w:rPr>
                <w:rFonts w:ascii="宋体" w:hAnsi="宋体"/>
                <w:color w:val="000000"/>
                <w:kern w:val="0"/>
                <w:szCs w:val="21"/>
              </w:rPr>
              <w:t>288,017,473.12</w:t>
            </w:r>
          </w:p>
        </w:tc>
        <w:tc>
          <w:tcPr>
            <w:tcW w:w="1130" w:type="dxa"/>
            <w:vAlign w:val="center"/>
          </w:tcPr>
          <w:p w:rsidR="004957AA" w:rsidRDefault="00EF5A3D">
            <w:pPr>
              <w:jc w:val="center"/>
            </w:pPr>
            <w:r>
              <w:rPr>
                <w:rFonts w:ascii="宋体" w:hAnsi="宋体"/>
                <w:color w:val="000000"/>
                <w:kern w:val="0"/>
                <w:szCs w:val="21"/>
              </w:rPr>
              <w:t>18.62%</w:t>
            </w:r>
          </w:p>
        </w:tc>
      </w:tr>
      <w:tr w:rsidR="00DA3AB8" w:rsidRPr="004F0662" w:rsidTr="00EF5A3D">
        <w:tc>
          <w:tcPr>
            <w:tcW w:w="9212" w:type="dxa"/>
            <w:gridSpan w:val="8"/>
            <w:vAlign w:val="center"/>
          </w:tcPr>
          <w:p w:rsidR="00DA3AB8" w:rsidRPr="004F0662" w:rsidRDefault="00DA3AB8" w:rsidP="00EF5A3D">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DA3AB8" w:rsidRPr="004F0662" w:rsidTr="00EF5A3D">
        <w:tc>
          <w:tcPr>
            <w:tcW w:w="9212" w:type="dxa"/>
            <w:gridSpan w:val="8"/>
            <w:vAlign w:val="center"/>
          </w:tcPr>
          <w:p w:rsidR="00DA3AB8" w:rsidRPr="004F0662" w:rsidRDefault="00DA3AB8" w:rsidP="00EF5A3D">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DA3AB8" w:rsidRPr="004F0662" w:rsidRDefault="00DA3AB8" w:rsidP="00DA3AB8">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11.2 影响投资者决策的其他重要信息</w:t>
      </w:r>
    </w:p>
    <w:p w:rsidR="00DA3AB8" w:rsidRPr="004F0662" w:rsidRDefault="00DA3AB8" w:rsidP="00DA3AB8">
      <w:pPr>
        <w:spacing w:line="360" w:lineRule="auto"/>
        <w:ind w:firstLineChars="200" w:firstLine="420"/>
        <w:rPr>
          <w:rFonts w:ascii="宋体" w:hAnsi="宋体"/>
          <w:color w:val="000000"/>
          <w:szCs w:val="21"/>
        </w:rPr>
      </w:pPr>
      <w:r w:rsidRPr="004F0662">
        <w:rPr>
          <w:rFonts w:ascii="宋体" w:hAnsi="宋体"/>
          <w:color w:val="000000"/>
          <w:szCs w:val="21"/>
        </w:rPr>
        <w:t>本基金管理人于2019年1月8日起至2019年2月13日17：00止以通讯方式召开本基金的基金份额持有人大会，就本</w:t>
      </w:r>
      <w:proofErr w:type="gramStart"/>
      <w:r w:rsidRPr="004F0662">
        <w:rPr>
          <w:rFonts w:ascii="宋体" w:hAnsi="宋体"/>
          <w:color w:val="000000"/>
          <w:szCs w:val="21"/>
        </w:rPr>
        <w:t>基金基金</w:t>
      </w:r>
      <w:proofErr w:type="gramEnd"/>
      <w:r w:rsidRPr="004F0662">
        <w:rPr>
          <w:rFonts w:ascii="宋体" w:hAnsi="宋体"/>
          <w:color w:val="000000"/>
          <w:szCs w:val="21"/>
        </w:rPr>
        <w:t>合同修改有关事项的议案进行表决。根据基金份额持有人大会的决议，本基金管理人调整了A类基金份额的赎回费率、修改了收益分配原则，并相应修改基金合同和托管协议。本基金管理人将在更新基金招募说明书时，对上述相关内容进行相应修订。本次基金份额持有人大会决议于2019年2月14日生效，自本次基金份额持有人大会决议公告之日即2019年2月15日起，本基金执行修改后的A类基金份额的赎回费率及基金收益分配原则。详情请查阅本基金管理人于2019年2月15日发布的《交银施罗德基金管理有限公司关于交银施罗德丰润收益债券型证券投资基金基金份额持有人大会表决结果暨决议生效的公告》。</w:t>
      </w:r>
    </w:p>
    <w:p w:rsidR="001548F9" w:rsidRPr="008A1551" w:rsidRDefault="001548F9" w:rsidP="004E46A8">
      <w:pPr>
        <w:autoSpaceDE w:val="0"/>
        <w:autoSpaceDN w:val="0"/>
        <w:adjustRightInd w:val="0"/>
        <w:spacing w:before="29" w:line="288" w:lineRule="auto"/>
        <w:jc w:val="left"/>
        <w:rPr>
          <w:sz w:val="24"/>
        </w:rPr>
      </w:pPr>
    </w:p>
    <w:sectPr w:rsidR="001548F9" w:rsidRPr="008A1551"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A3D" w:rsidRDefault="00EF5A3D">
      <w:r>
        <w:separator/>
      </w:r>
    </w:p>
  </w:endnote>
  <w:endnote w:type="continuationSeparator" w:id="0">
    <w:p w:rsidR="00EF5A3D" w:rsidRDefault="00EF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Default="00EF5A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Default="00EF5A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Default="00EF5A3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Default="00EF5A3D"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F5A3D" w:rsidRDefault="00EF5A3D"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Default="00EF5A3D"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9563C">
      <w:rPr>
        <w:noProof/>
        <w:kern w:val="0"/>
        <w:szCs w:val="21"/>
      </w:rPr>
      <w:t>28</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69563C">
      <w:rPr>
        <w:noProof/>
        <w:kern w:val="0"/>
        <w:szCs w:val="21"/>
      </w:rPr>
      <w:t>30</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A3D" w:rsidRDefault="00EF5A3D">
      <w:r>
        <w:separator/>
      </w:r>
    </w:p>
  </w:footnote>
  <w:footnote w:type="continuationSeparator" w:id="0">
    <w:p w:rsidR="00EF5A3D" w:rsidRDefault="00EF5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Default="00EF5A3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Pr="003B6CAA" w:rsidRDefault="00EF5A3D" w:rsidP="002243A3">
    <w:pPr>
      <w:pStyle w:val="a9"/>
      <w:pBdr>
        <w:bottom w:val="single" w:sz="6" w:space="0" w:color="auto"/>
      </w:pBdr>
      <w:jc w:val="right"/>
    </w:pPr>
    <w:r w:rsidRPr="003B6CAA">
      <w:t>交银施罗德丰润收益债券型证券投资基金</w:t>
    </w:r>
    <w:r w:rsidRPr="003B6CAA">
      <w:t>2019</w:t>
    </w:r>
    <w:r w:rsidRPr="003B6CAA">
      <w:t>年半年度报告</w:t>
    </w:r>
    <w:r w:rsidRPr="003B6CAA">
      <w:rPr>
        <w:rFonts w:hint="eastAsia"/>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3D" w:rsidRDefault="00EF5A3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052"/>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640E"/>
    <w:rsid w:val="00017581"/>
    <w:rsid w:val="0001767C"/>
    <w:rsid w:val="00020583"/>
    <w:rsid w:val="0002154E"/>
    <w:rsid w:val="00021813"/>
    <w:rsid w:val="00021DD4"/>
    <w:rsid w:val="000221FE"/>
    <w:rsid w:val="00023BE7"/>
    <w:rsid w:val="0002411B"/>
    <w:rsid w:val="0002453B"/>
    <w:rsid w:val="00024A49"/>
    <w:rsid w:val="00024C15"/>
    <w:rsid w:val="00024C62"/>
    <w:rsid w:val="00024CA0"/>
    <w:rsid w:val="000274FE"/>
    <w:rsid w:val="000276C9"/>
    <w:rsid w:val="0003228A"/>
    <w:rsid w:val="000322D5"/>
    <w:rsid w:val="000323F4"/>
    <w:rsid w:val="0003271C"/>
    <w:rsid w:val="00032ADD"/>
    <w:rsid w:val="00032EF0"/>
    <w:rsid w:val="00032FE1"/>
    <w:rsid w:val="00033104"/>
    <w:rsid w:val="000331EA"/>
    <w:rsid w:val="000335CE"/>
    <w:rsid w:val="00033EC1"/>
    <w:rsid w:val="00034BA5"/>
    <w:rsid w:val="000358FE"/>
    <w:rsid w:val="00035B5A"/>
    <w:rsid w:val="00037267"/>
    <w:rsid w:val="000372F8"/>
    <w:rsid w:val="000378BC"/>
    <w:rsid w:val="00037CF2"/>
    <w:rsid w:val="00037E23"/>
    <w:rsid w:val="00037FCF"/>
    <w:rsid w:val="000415E6"/>
    <w:rsid w:val="00041844"/>
    <w:rsid w:val="00041BC8"/>
    <w:rsid w:val="00041F20"/>
    <w:rsid w:val="000421B8"/>
    <w:rsid w:val="00042656"/>
    <w:rsid w:val="000429DF"/>
    <w:rsid w:val="00042AAD"/>
    <w:rsid w:val="000430CA"/>
    <w:rsid w:val="0004381B"/>
    <w:rsid w:val="00043ABF"/>
    <w:rsid w:val="00044158"/>
    <w:rsid w:val="000445E4"/>
    <w:rsid w:val="000471B4"/>
    <w:rsid w:val="00050260"/>
    <w:rsid w:val="00050DE0"/>
    <w:rsid w:val="000510AB"/>
    <w:rsid w:val="000514E0"/>
    <w:rsid w:val="00052A60"/>
    <w:rsid w:val="00053091"/>
    <w:rsid w:val="0005346A"/>
    <w:rsid w:val="000534CD"/>
    <w:rsid w:val="00053EED"/>
    <w:rsid w:val="0005448A"/>
    <w:rsid w:val="00054C44"/>
    <w:rsid w:val="00055AF1"/>
    <w:rsid w:val="000573B5"/>
    <w:rsid w:val="00060597"/>
    <w:rsid w:val="00060A2C"/>
    <w:rsid w:val="00060CB4"/>
    <w:rsid w:val="00061167"/>
    <w:rsid w:val="00062997"/>
    <w:rsid w:val="00062AC1"/>
    <w:rsid w:val="0006334D"/>
    <w:rsid w:val="00063554"/>
    <w:rsid w:val="00063D34"/>
    <w:rsid w:val="0006400C"/>
    <w:rsid w:val="0006475F"/>
    <w:rsid w:val="00064AE3"/>
    <w:rsid w:val="00064FC8"/>
    <w:rsid w:val="00066524"/>
    <w:rsid w:val="000671A3"/>
    <w:rsid w:val="00070CD1"/>
    <w:rsid w:val="00071022"/>
    <w:rsid w:val="000711FE"/>
    <w:rsid w:val="0007171B"/>
    <w:rsid w:val="000717A1"/>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1BB"/>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2720"/>
    <w:rsid w:val="000934D7"/>
    <w:rsid w:val="00093C66"/>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379"/>
    <w:rsid w:val="000A457E"/>
    <w:rsid w:val="000A4640"/>
    <w:rsid w:val="000A4672"/>
    <w:rsid w:val="000A4FEF"/>
    <w:rsid w:val="000A53FD"/>
    <w:rsid w:val="000A549A"/>
    <w:rsid w:val="000A578A"/>
    <w:rsid w:val="000A6D6D"/>
    <w:rsid w:val="000A6E4A"/>
    <w:rsid w:val="000A72F2"/>
    <w:rsid w:val="000B0C56"/>
    <w:rsid w:val="000B0E46"/>
    <w:rsid w:val="000B2B57"/>
    <w:rsid w:val="000B2C8D"/>
    <w:rsid w:val="000B36CC"/>
    <w:rsid w:val="000B3E43"/>
    <w:rsid w:val="000B417C"/>
    <w:rsid w:val="000B4365"/>
    <w:rsid w:val="000B4F79"/>
    <w:rsid w:val="000B5CC0"/>
    <w:rsid w:val="000B6F72"/>
    <w:rsid w:val="000B7A0A"/>
    <w:rsid w:val="000B7EC1"/>
    <w:rsid w:val="000C01F9"/>
    <w:rsid w:val="000C05AB"/>
    <w:rsid w:val="000C0871"/>
    <w:rsid w:val="000C0CA5"/>
    <w:rsid w:val="000C0F55"/>
    <w:rsid w:val="000C1224"/>
    <w:rsid w:val="000C127D"/>
    <w:rsid w:val="000C15BE"/>
    <w:rsid w:val="000C1723"/>
    <w:rsid w:val="000C1B20"/>
    <w:rsid w:val="000C224F"/>
    <w:rsid w:val="000C238F"/>
    <w:rsid w:val="000C3FD9"/>
    <w:rsid w:val="000C4056"/>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4424"/>
    <w:rsid w:val="000F4C43"/>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6605"/>
    <w:rsid w:val="001069ED"/>
    <w:rsid w:val="00106C1F"/>
    <w:rsid w:val="001116BA"/>
    <w:rsid w:val="0011177A"/>
    <w:rsid w:val="0011179E"/>
    <w:rsid w:val="00111C71"/>
    <w:rsid w:val="001141C0"/>
    <w:rsid w:val="00115975"/>
    <w:rsid w:val="001165BD"/>
    <w:rsid w:val="00116E31"/>
    <w:rsid w:val="00120825"/>
    <w:rsid w:val="00120EED"/>
    <w:rsid w:val="001212B4"/>
    <w:rsid w:val="001220E0"/>
    <w:rsid w:val="0012304E"/>
    <w:rsid w:val="0012336E"/>
    <w:rsid w:val="001237F2"/>
    <w:rsid w:val="001239C8"/>
    <w:rsid w:val="00123A56"/>
    <w:rsid w:val="00123EB3"/>
    <w:rsid w:val="001248EF"/>
    <w:rsid w:val="001257C7"/>
    <w:rsid w:val="00126502"/>
    <w:rsid w:val="00126AF2"/>
    <w:rsid w:val="00126DDF"/>
    <w:rsid w:val="001270BF"/>
    <w:rsid w:val="00127BAC"/>
    <w:rsid w:val="00127FF5"/>
    <w:rsid w:val="00131976"/>
    <w:rsid w:val="00131EC2"/>
    <w:rsid w:val="001321F9"/>
    <w:rsid w:val="00132337"/>
    <w:rsid w:val="00132E82"/>
    <w:rsid w:val="0013374F"/>
    <w:rsid w:val="00133C97"/>
    <w:rsid w:val="00135467"/>
    <w:rsid w:val="00135F90"/>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4F7F"/>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22E1"/>
    <w:rsid w:val="00173AF1"/>
    <w:rsid w:val="001744B4"/>
    <w:rsid w:val="001751EF"/>
    <w:rsid w:val="001756A1"/>
    <w:rsid w:val="001761EE"/>
    <w:rsid w:val="00176EAA"/>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F7A"/>
    <w:rsid w:val="00190788"/>
    <w:rsid w:val="00190AE2"/>
    <w:rsid w:val="00190E27"/>
    <w:rsid w:val="001928F7"/>
    <w:rsid w:val="00193182"/>
    <w:rsid w:val="00193575"/>
    <w:rsid w:val="0019389D"/>
    <w:rsid w:val="00193B62"/>
    <w:rsid w:val="00194537"/>
    <w:rsid w:val="0019563C"/>
    <w:rsid w:val="001956CA"/>
    <w:rsid w:val="00195B79"/>
    <w:rsid w:val="001A081B"/>
    <w:rsid w:val="001A088E"/>
    <w:rsid w:val="001A0F4A"/>
    <w:rsid w:val="001A1B13"/>
    <w:rsid w:val="001A1D38"/>
    <w:rsid w:val="001A21A9"/>
    <w:rsid w:val="001A2A97"/>
    <w:rsid w:val="001A335E"/>
    <w:rsid w:val="001A364F"/>
    <w:rsid w:val="001A39B7"/>
    <w:rsid w:val="001A42FA"/>
    <w:rsid w:val="001A4AEC"/>
    <w:rsid w:val="001A4BE3"/>
    <w:rsid w:val="001A59D8"/>
    <w:rsid w:val="001A5CED"/>
    <w:rsid w:val="001A5E35"/>
    <w:rsid w:val="001A5FA6"/>
    <w:rsid w:val="001A668F"/>
    <w:rsid w:val="001A71CC"/>
    <w:rsid w:val="001A7452"/>
    <w:rsid w:val="001A7F30"/>
    <w:rsid w:val="001B2F0C"/>
    <w:rsid w:val="001B30CA"/>
    <w:rsid w:val="001B3513"/>
    <w:rsid w:val="001B353A"/>
    <w:rsid w:val="001B36E6"/>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167"/>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4C17"/>
    <w:rsid w:val="001E56FF"/>
    <w:rsid w:val="001E5C6B"/>
    <w:rsid w:val="001E60D6"/>
    <w:rsid w:val="001E6EBF"/>
    <w:rsid w:val="001E7505"/>
    <w:rsid w:val="001E7C94"/>
    <w:rsid w:val="001F0307"/>
    <w:rsid w:val="001F03E1"/>
    <w:rsid w:val="001F0E6B"/>
    <w:rsid w:val="001F221F"/>
    <w:rsid w:val="001F3CC6"/>
    <w:rsid w:val="001F3F50"/>
    <w:rsid w:val="001F4530"/>
    <w:rsid w:val="001F47C0"/>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6819"/>
    <w:rsid w:val="00207A46"/>
    <w:rsid w:val="00207C2A"/>
    <w:rsid w:val="00211A26"/>
    <w:rsid w:val="00212249"/>
    <w:rsid w:val="002125F7"/>
    <w:rsid w:val="0021397C"/>
    <w:rsid w:val="00214418"/>
    <w:rsid w:val="00214463"/>
    <w:rsid w:val="00214756"/>
    <w:rsid w:val="00214EBC"/>
    <w:rsid w:val="00215556"/>
    <w:rsid w:val="00215CF2"/>
    <w:rsid w:val="00215D9F"/>
    <w:rsid w:val="00216310"/>
    <w:rsid w:val="00216B48"/>
    <w:rsid w:val="00216BCE"/>
    <w:rsid w:val="00216C25"/>
    <w:rsid w:val="0021712C"/>
    <w:rsid w:val="00217867"/>
    <w:rsid w:val="00217AE3"/>
    <w:rsid w:val="00217C6C"/>
    <w:rsid w:val="00220416"/>
    <w:rsid w:val="00220421"/>
    <w:rsid w:val="00220542"/>
    <w:rsid w:val="00220D7F"/>
    <w:rsid w:val="002210EB"/>
    <w:rsid w:val="00221174"/>
    <w:rsid w:val="00222DE3"/>
    <w:rsid w:val="00223244"/>
    <w:rsid w:val="002233F0"/>
    <w:rsid w:val="002243A3"/>
    <w:rsid w:val="0022498A"/>
    <w:rsid w:val="00225756"/>
    <w:rsid w:val="00225ADC"/>
    <w:rsid w:val="00225CEB"/>
    <w:rsid w:val="0022687D"/>
    <w:rsid w:val="0022692D"/>
    <w:rsid w:val="002276E6"/>
    <w:rsid w:val="002279AA"/>
    <w:rsid w:val="00231610"/>
    <w:rsid w:val="002318F3"/>
    <w:rsid w:val="00231E15"/>
    <w:rsid w:val="0023323F"/>
    <w:rsid w:val="00234202"/>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A83"/>
    <w:rsid w:val="00242FA2"/>
    <w:rsid w:val="0024431F"/>
    <w:rsid w:val="00245012"/>
    <w:rsid w:val="0024504E"/>
    <w:rsid w:val="00245236"/>
    <w:rsid w:val="00245761"/>
    <w:rsid w:val="0024646D"/>
    <w:rsid w:val="0024651F"/>
    <w:rsid w:val="00247729"/>
    <w:rsid w:val="0025158D"/>
    <w:rsid w:val="00251C7E"/>
    <w:rsid w:val="00252697"/>
    <w:rsid w:val="0025281A"/>
    <w:rsid w:val="00253D3C"/>
    <w:rsid w:val="002544D7"/>
    <w:rsid w:val="00255292"/>
    <w:rsid w:val="00256F99"/>
    <w:rsid w:val="00257359"/>
    <w:rsid w:val="00257578"/>
    <w:rsid w:val="002578B3"/>
    <w:rsid w:val="00257B95"/>
    <w:rsid w:val="00260200"/>
    <w:rsid w:val="00260B06"/>
    <w:rsid w:val="00261D93"/>
    <w:rsid w:val="00262029"/>
    <w:rsid w:val="00263BBD"/>
    <w:rsid w:val="002643A0"/>
    <w:rsid w:val="002648D8"/>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38"/>
    <w:rsid w:val="0028315D"/>
    <w:rsid w:val="00283885"/>
    <w:rsid w:val="002839A4"/>
    <w:rsid w:val="00283AAC"/>
    <w:rsid w:val="002841A9"/>
    <w:rsid w:val="0028459B"/>
    <w:rsid w:val="002846E1"/>
    <w:rsid w:val="00284C5F"/>
    <w:rsid w:val="0028507E"/>
    <w:rsid w:val="00285F4D"/>
    <w:rsid w:val="00286183"/>
    <w:rsid w:val="00286C1A"/>
    <w:rsid w:val="002873F0"/>
    <w:rsid w:val="00287762"/>
    <w:rsid w:val="00290793"/>
    <w:rsid w:val="002916E3"/>
    <w:rsid w:val="00291A70"/>
    <w:rsid w:val="00291F6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1EAF"/>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659B"/>
    <w:rsid w:val="002D6AF6"/>
    <w:rsid w:val="002D7FA3"/>
    <w:rsid w:val="002E0394"/>
    <w:rsid w:val="002E0644"/>
    <w:rsid w:val="002E0FEB"/>
    <w:rsid w:val="002E171B"/>
    <w:rsid w:val="002E1C35"/>
    <w:rsid w:val="002E1DC2"/>
    <w:rsid w:val="002E1E4D"/>
    <w:rsid w:val="002E2E3E"/>
    <w:rsid w:val="002E319D"/>
    <w:rsid w:val="002E4AD5"/>
    <w:rsid w:val="002E4C2D"/>
    <w:rsid w:val="002E51EA"/>
    <w:rsid w:val="002E5E56"/>
    <w:rsid w:val="002F0F79"/>
    <w:rsid w:val="002F1C9E"/>
    <w:rsid w:val="002F1E17"/>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2F0F"/>
    <w:rsid w:val="00303F04"/>
    <w:rsid w:val="00304860"/>
    <w:rsid w:val="00304E23"/>
    <w:rsid w:val="00305084"/>
    <w:rsid w:val="003051CF"/>
    <w:rsid w:val="00306408"/>
    <w:rsid w:val="003064C8"/>
    <w:rsid w:val="00307249"/>
    <w:rsid w:val="00307919"/>
    <w:rsid w:val="003100E4"/>
    <w:rsid w:val="00312C47"/>
    <w:rsid w:val="00312DAE"/>
    <w:rsid w:val="003132DB"/>
    <w:rsid w:val="00313336"/>
    <w:rsid w:val="003137CA"/>
    <w:rsid w:val="00313918"/>
    <w:rsid w:val="00314FAB"/>
    <w:rsid w:val="003153CB"/>
    <w:rsid w:val="00315865"/>
    <w:rsid w:val="00316643"/>
    <w:rsid w:val="003166DE"/>
    <w:rsid w:val="003171A3"/>
    <w:rsid w:val="00317226"/>
    <w:rsid w:val="003201F9"/>
    <w:rsid w:val="00320285"/>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7B1B"/>
    <w:rsid w:val="003405DA"/>
    <w:rsid w:val="003407A5"/>
    <w:rsid w:val="0034096C"/>
    <w:rsid w:val="003410A1"/>
    <w:rsid w:val="00341188"/>
    <w:rsid w:val="0034147B"/>
    <w:rsid w:val="003424CB"/>
    <w:rsid w:val="0034349C"/>
    <w:rsid w:val="003439DB"/>
    <w:rsid w:val="00343AD4"/>
    <w:rsid w:val="00344FBE"/>
    <w:rsid w:val="00345432"/>
    <w:rsid w:val="00345876"/>
    <w:rsid w:val="00346759"/>
    <w:rsid w:val="00346982"/>
    <w:rsid w:val="00350238"/>
    <w:rsid w:val="0035109C"/>
    <w:rsid w:val="00351752"/>
    <w:rsid w:val="00351F0A"/>
    <w:rsid w:val="00352648"/>
    <w:rsid w:val="00353AC6"/>
    <w:rsid w:val="003542B7"/>
    <w:rsid w:val="0035432B"/>
    <w:rsid w:val="00354765"/>
    <w:rsid w:val="00354E10"/>
    <w:rsid w:val="00356B08"/>
    <w:rsid w:val="003570E4"/>
    <w:rsid w:val="00357B15"/>
    <w:rsid w:val="00357BB3"/>
    <w:rsid w:val="003602EA"/>
    <w:rsid w:val="003609DD"/>
    <w:rsid w:val="00360F81"/>
    <w:rsid w:val="00361E7E"/>
    <w:rsid w:val="0036247E"/>
    <w:rsid w:val="00363D25"/>
    <w:rsid w:val="003648F2"/>
    <w:rsid w:val="00364FA1"/>
    <w:rsid w:val="00365B9A"/>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87BF7"/>
    <w:rsid w:val="00390379"/>
    <w:rsid w:val="00390741"/>
    <w:rsid w:val="003909FB"/>
    <w:rsid w:val="00390B25"/>
    <w:rsid w:val="00390DD9"/>
    <w:rsid w:val="00392958"/>
    <w:rsid w:val="00392AE5"/>
    <w:rsid w:val="00394393"/>
    <w:rsid w:val="00395CAA"/>
    <w:rsid w:val="00395CC3"/>
    <w:rsid w:val="0039626A"/>
    <w:rsid w:val="00396588"/>
    <w:rsid w:val="00396863"/>
    <w:rsid w:val="00396C75"/>
    <w:rsid w:val="003970B5"/>
    <w:rsid w:val="00397156"/>
    <w:rsid w:val="003972ED"/>
    <w:rsid w:val="00397960"/>
    <w:rsid w:val="003A0663"/>
    <w:rsid w:val="003A1FE0"/>
    <w:rsid w:val="003A3BC4"/>
    <w:rsid w:val="003A458A"/>
    <w:rsid w:val="003A4FE2"/>
    <w:rsid w:val="003A5119"/>
    <w:rsid w:val="003A551D"/>
    <w:rsid w:val="003A7E6F"/>
    <w:rsid w:val="003B05F2"/>
    <w:rsid w:val="003B2A94"/>
    <w:rsid w:val="003B2E87"/>
    <w:rsid w:val="003B2F13"/>
    <w:rsid w:val="003B3353"/>
    <w:rsid w:val="003B405E"/>
    <w:rsid w:val="003B4712"/>
    <w:rsid w:val="003B47EB"/>
    <w:rsid w:val="003B48BA"/>
    <w:rsid w:val="003B57D3"/>
    <w:rsid w:val="003B59CA"/>
    <w:rsid w:val="003B6067"/>
    <w:rsid w:val="003B6CAA"/>
    <w:rsid w:val="003C06E4"/>
    <w:rsid w:val="003C0892"/>
    <w:rsid w:val="003C08E3"/>
    <w:rsid w:val="003C09B5"/>
    <w:rsid w:val="003C0ECA"/>
    <w:rsid w:val="003C0F62"/>
    <w:rsid w:val="003C1176"/>
    <w:rsid w:val="003C1272"/>
    <w:rsid w:val="003C1D9A"/>
    <w:rsid w:val="003C1F58"/>
    <w:rsid w:val="003C48B1"/>
    <w:rsid w:val="003C57A7"/>
    <w:rsid w:val="003C5C2B"/>
    <w:rsid w:val="003C6457"/>
    <w:rsid w:val="003C65F0"/>
    <w:rsid w:val="003C6943"/>
    <w:rsid w:val="003C6BD2"/>
    <w:rsid w:val="003C7294"/>
    <w:rsid w:val="003C792F"/>
    <w:rsid w:val="003C7ABD"/>
    <w:rsid w:val="003C7C3D"/>
    <w:rsid w:val="003D08F8"/>
    <w:rsid w:val="003D124B"/>
    <w:rsid w:val="003D18F3"/>
    <w:rsid w:val="003D1C06"/>
    <w:rsid w:val="003D2CC1"/>
    <w:rsid w:val="003D3FE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0E"/>
    <w:rsid w:val="003E709C"/>
    <w:rsid w:val="003E712E"/>
    <w:rsid w:val="003E726D"/>
    <w:rsid w:val="003E798B"/>
    <w:rsid w:val="003E7B89"/>
    <w:rsid w:val="003F0B30"/>
    <w:rsid w:val="003F0FA3"/>
    <w:rsid w:val="003F276B"/>
    <w:rsid w:val="003F4241"/>
    <w:rsid w:val="003F4AC3"/>
    <w:rsid w:val="003F4B8A"/>
    <w:rsid w:val="003F4C20"/>
    <w:rsid w:val="003F62BB"/>
    <w:rsid w:val="003F6FEC"/>
    <w:rsid w:val="003F7B50"/>
    <w:rsid w:val="003F7C45"/>
    <w:rsid w:val="00400241"/>
    <w:rsid w:val="0040132C"/>
    <w:rsid w:val="00401EFD"/>
    <w:rsid w:val="0040231A"/>
    <w:rsid w:val="00402489"/>
    <w:rsid w:val="004026E7"/>
    <w:rsid w:val="00402CC3"/>
    <w:rsid w:val="0040350D"/>
    <w:rsid w:val="004049BD"/>
    <w:rsid w:val="00404EB5"/>
    <w:rsid w:val="00405085"/>
    <w:rsid w:val="00405B9D"/>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63FD"/>
    <w:rsid w:val="0041683D"/>
    <w:rsid w:val="00416C10"/>
    <w:rsid w:val="00417976"/>
    <w:rsid w:val="00417A0E"/>
    <w:rsid w:val="0042053A"/>
    <w:rsid w:val="004213D6"/>
    <w:rsid w:val="0042148B"/>
    <w:rsid w:val="00421C75"/>
    <w:rsid w:val="00422440"/>
    <w:rsid w:val="00422916"/>
    <w:rsid w:val="0042388D"/>
    <w:rsid w:val="00423BA3"/>
    <w:rsid w:val="00424213"/>
    <w:rsid w:val="00424990"/>
    <w:rsid w:val="00424EF3"/>
    <w:rsid w:val="004267DB"/>
    <w:rsid w:val="004268BB"/>
    <w:rsid w:val="00426A4B"/>
    <w:rsid w:val="00430724"/>
    <w:rsid w:val="00431047"/>
    <w:rsid w:val="00431B86"/>
    <w:rsid w:val="00432B7F"/>
    <w:rsid w:val="00433EED"/>
    <w:rsid w:val="00436430"/>
    <w:rsid w:val="00437C96"/>
    <w:rsid w:val="004408EC"/>
    <w:rsid w:val="004416A4"/>
    <w:rsid w:val="00441761"/>
    <w:rsid w:val="00441E6A"/>
    <w:rsid w:val="00442AEE"/>
    <w:rsid w:val="00443C8F"/>
    <w:rsid w:val="00444C60"/>
    <w:rsid w:val="00444E26"/>
    <w:rsid w:val="00444E35"/>
    <w:rsid w:val="0044502D"/>
    <w:rsid w:val="00445783"/>
    <w:rsid w:val="00445F6B"/>
    <w:rsid w:val="00445FEE"/>
    <w:rsid w:val="00446684"/>
    <w:rsid w:val="00447C0A"/>
    <w:rsid w:val="00447CEF"/>
    <w:rsid w:val="00447E28"/>
    <w:rsid w:val="00450BA9"/>
    <w:rsid w:val="004511C3"/>
    <w:rsid w:val="00451A56"/>
    <w:rsid w:val="00452481"/>
    <w:rsid w:val="004528FA"/>
    <w:rsid w:val="00453ACA"/>
    <w:rsid w:val="00453DC8"/>
    <w:rsid w:val="00455165"/>
    <w:rsid w:val="004553F9"/>
    <w:rsid w:val="00455950"/>
    <w:rsid w:val="0045654B"/>
    <w:rsid w:val="00457804"/>
    <w:rsid w:val="00460AEF"/>
    <w:rsid w:val="00460C52"/>
    <w:rsid w:val="0046135C"/>
    <w:rsid w:val="00462279"/>
    <w:rsid w:val="004646BF"/>
    <w:rsid w:val="00464744"/>
    <w:rsid w:val="00465CC2"/>
    <w:rsid w:val="004665E3"/>
    <w:rsid w:val="0046760F"/>
    <w:rsid w:val="00470A34"/>
    <w:rsid w:val="00471F28"/>
    <w:rsid w:val="0047237D"/>
    <w:rsid w:val="00472561"/>
    <w:rsid w:val="004731F1"/>
    <w:rsid w:val="00473EB5"/>
    <w:rsid w:val="0047456B"/>
    <w:rsid w:val="00475251"/>
    <w:rsid w:val="004755BD"/>
    <w:rsid w:val="00477400"/>
    <w:rsid w:val="00480BC8"/>
    <w:rsid w:val="00481265"/>
    <w:rsid w:val="004814BF"/>
    <w:rsid w:val="00481A17"/>
    <w:rsid w:val="00481C10"/>
    <w:rsid w:val="00482649"/>
    <w:rsid w:val="00482BDC"/>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57AA"/>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9A"/>
    <w:rsid w:val="004A6513"/>
    <w:rsid w:val="004B01B2"/>
    <w:rsid w:val="004B0E6D"/>
    <w:rsid w:val="004B16E8"/>
    <w:rsid w:val="004B1D17"/>
    <w:rsid w:val="004B2CA5"/>
    <w:rsid w:val="004B3FF0"/>
    <w:rsid w:val="004B412E"/>
    <w:rsid w:val="004B4203"/>
    <w:rsid w:val="004B5AEB"/>
    <w:rsid w:val="004B5B92"/>
    <w:rsid w:val="004B6250"/>
    <w:rsid w:val="004B659B"/>
    <w:rsid w:val="004B66F3"/>
    <w:rsid w:val="004B6D45"/>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2FD"/>
    <w:rsid w:val="004D74EE"/>
    <w:rsid w:val="004D7F01"/>
    <w:rsid w:val="004E08FC"/>
    <w:rsid w:val="004E0B6E"/>
    <w:rsid w:val="004E1AE3"/>
    <w:rsid w:val="004E1BBB"/>
    <w:rsid w:val="004E2133"/>
    <w:rsid w:val="004E2AB3"/>
    <w:rsid w:val="004E2BD2"/>
    <w:rsid w:val="004E395B"/>
    <w:rsid w:val="004E46A8"/>
    <w:rsid w:val="004E5EDB"/>
    <w:rsid w:val="004E60FB"/>
    <w:rsid w:val="004E6242"/>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212"/>
    <w:rsid w:val="00511597"/>
    <w:rsid w:val="00511915"/>
    <w:rsid w:val="00511999"/>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147"/>
    <w:rsid w:val="00520AB5"/>
    <w:rsid w:val="00520B2B"/>
    <w:rsid w:val="00521596"/>
    <w:rsid w:val="00522066"/>
    <w:rsid w:val="005222FA"/>
    <w:rsid w:val="00524625"/>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2A1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3FE1"/>
    <w:rsid w:val="00574103"/>
    <w:rsid w:val="005744A6"/>
    <w:rsid w:val="00575B68"/>
    <w:rsid w:val="00575DA6"/>
    <w:rsid w:val="00576C4E"/>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D9C"/>
    <w:rsid w:val="0059282D"/>
    <w:rsid w:val="005932C1"/>
    <w:rsid w:val="00593440"/>
    <w:rsid w:val="005936BF"/>
    <w:rsid w:val="00593B97"/>
    <w:rsid w:val="00593DE5"/>
    <w:rsid w:val="00593EE1"/>
    <w:rsid w:val="00594E3C"/>
    <w:rsid w:val="0059592B"/>
    <w:rsid w:val="00595A79"/>
    <w:rsid w:val="00596617"/>
    <w:rsid w:val="00596CC4"/>
    <w:rsid w:val="00597057"/>
    <w:rsid w:val="005973A6"/>
    <w:rsid w:val="00597546"/>
    <w:rsid w:val="00597657"/>
    <w:rsid w:val="00597AAB"/>
    <w:rsid w:val="00597D8B"/>
    <w:rsid w:val="005A00A3"/>
    <w:rsid w:val="005A0301"/>
    <w:rsid w:val="005A0742"/>
    <w:rsid w:val="005A09BF"/>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94D"/>
    <w:rsid w:val="005B4F97"/>
    <w:rsid w:val="005B52A4"/>
    <w:rsid w:val="005B5CA4"/>
    <w:rsid w:val="005B6E01"/>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4C"/>
    <w:rsid w:val="005D1584"/>
    <w:rsid w:val="005D15AE"/>
    <w:rsid w:val="005D1A7B"/>
    <w:rsid w:val="005D1EDD"/>
    <w:rsid w:val="005D2F95"/>
    <w:rsid w:val="005D456F"/>
    <w:rsid w:val="005D45B3"/>
    <w:rsid w:val="005D4AB3"/>
    <w:rsid w:val="005D4CEB"/>
    <w:rsid w:val="005D5344"/>
    <w:rsid w:val="005D5DA8"/>
    <w:rsid w:val="005D61EB"/>
    <w:rsid w:val="005D6733"/>
    <w:rsid w:val="005D7A23"/>
    <w:rsid w:val="005E0AE0"/>
    <w:rsid w:val="005E40C4"/>
    <w:rsid w:val="005E5501"/>
    <w:rsid w:val="005F04E6"/>
    <w:rsid w:val="005F17EC"/>
    <w:rsid w:val="005F1C2F"/>
    <w:rsid w:val="005F3546"/>
    <w:rsid w:val="005F39D5"/>
    <w:rsid w:val="005F3AB5"/>
    <w:rsid w:val="005F3E05"/>
    <w:rsid w:val="005F3F98"/>
    <w:rsid w:val="005F43B9"/>
    <w:rsid w:val="005F55D6"/>
    <w:rsid w:val="005F5CA9"/>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715"/>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1F70"/>
    <w:rsid w:val="006320D8"/>
    <w:rsid w:val="00632540"/>
    <w:rsid w:val="00632E88"/>
    <w:rsid w:val="00634020"/>
    <w:rsid w:val="0063454C"/>
    <w:rsid w:val="00634DBB"/>
    <w:rsid w:val="00635255"/>
    <w:rsid w:val="00637C26"/>
    <w:rsid w:val="00640732"/>
    <w:rsid w:val="0064141A"/>
    <w:rsid w:val="006414FE"/>
    <w:rsid w:val="00642072"/>
    <w:rsid w:val="0064292C"/>
    <w:rsid w:val="006431D0"/>
    <w:rsid w:val="006440ED"/>
    <w:rsid w:val="0064467C"/>
    <w:rsid w:val="00644AB5"/>
    <w:rsid w:val="00644AEB"/>
    <w:rsid w:val="00645213"/>
    <w:rsid w:val="00645293"/>
    <w:rsid w:val="006462E8"/>
    <w:rsid w:val="006468CB"/>
    <w:rsid w:val="006475F3"/>
    <w:rsid w:val="00647A34"/>
    <w:rsid w:val="006507C8"/>
    <w:rsid w:val="00650AA5"/>
    <w:rsid w:val="00651B78"/>
    <w:rsid w:val="00652263"/>
    <w:rsid w:val="0065238F"/>
    <w:rsid w:val="0065278C"/>
    <w:rsid w:val="00652881"/>
    <w:rsid w:val="00652985"/>
    <w:rsid w:val="006533AE"/>
    <w:rsid w:val="006551AE"/>
    <w:rsid w:val="006578CB"/>
    <w:rsid w:val="00661974"/>
    <w:rsid w:val="006623E2"/>
    <w:rsid w:val="006624E3"/>
    <w:rsid w:val="00662FC9"/>
    <w:rsid w:val="006640F9"/>
    <w:rsid w:val="00664551"/>
    <w:rsid w:val="00664685"/>
    <w:rsid w:val="00664B95"/>
    <w:rsid w:val="00665D5F"/>
    <w:rsid w:val="006676A0"/>
    <w:rsid w:val="006704F3"/>
    <w:rsid w:val="00670857"/>
    <w:rsid w:val="00671124"/>
    <w:rsid w:val="006727B0"/>
    <w:rsid w:val="0067307E"/>
    <w:rsid w:val="006739C0"/>
    <w:rsid w:val="00673F6D"/>
    <w:rsid w:val="00674850"/>
    <w:rsid w:val="00675020"/>
    <w:rsid w:val="00675116"/>
    <w:rsid w:val="00675D03"/>
    <w:rsid w:val="00676016"/>
    <w:rsid w:val="00676EA7"/>
    <w:rsid w:val="00680969"/>
    <w:rsid w:val="00681AFB"/>
    <w:rsid w:val="00683F61"/>
    <w:rsid w:val="00686A36"/>
    <w:rsid w:val="00687AD5"/>
    <w:rsid w:val="006906D1"/>
    <w:rsid w:val="00690DCB"/>
    <w:rsid w:val="0069211A"/>
    <w:rsid w:val="00692962"/>
    <w:rsid w:val="00692B81"/>
    <w:rsid w:val="00692C4F"/>
    <w:rsid w:val="006949D2"/>
    <w:rsid w:val="00694C5F"/>
    <w:rsid w:val="00695251"/>
    <w:rsid w:val="006953EF"/>
    <w:rsid w:val="0069563C"/>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62F0"/>
    <w:rsid w:val="006B6C6B"/>
    <w:rsid w:val="006B7F2C"/>
    <w:rsid w:val="006C09B6"/>
    <w:rsid w:val="006C168D"/>
    <w:rsid w:val="006C2BF5"/>
    <w:rsid w:val="006C4A40"/>
    <w:rsid w:val="006C4E56"/>
    <w:rsid w:val="006C5FD3"/>
    <w:rsid w:val="006C61CD"/>
    <w:rsid w:val="006C6300"/>
    <w:rsid w:val="006C642C"/>
    <w:rsid w:val="006C6FC6"/>
    <w:rsid w:val="006C7BB9"/>
    <w:rsid w:val="006C7D50"/>
    <w:rsid w:val="006D0C34"/>
    <w:rsid w:val="006D0D66"/>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D09"/>
    <w:rsid w:val="006E0D15"/>
    <w:rsid w:val="006E241F"/>
    <w:rsid w:val="006E24EE"/>
    <w:rsid w:val="006E25BD"/>
    <w:rsid w:val="006E3379"/>
    <w:rsid w:val="006E34B7"/>
    <w:rsid w:val="006E3669"/>
    <w:rsid w:val="006E36B8"/>
    <w:rsid w:val="006E3874"/>
    <w:rsid w:val="006E5585"/>
    <w:rsid w:val="006E59C6"/>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B26"/>
    <w:rsid w:val="006F4CD8"/>
    <w:rsid w:val="006F5125"/>
    <w:rsid w:val="006F53D9"/>
    <w:rsid w:val="006F5445"/>
    <w:rsid w:val="006F5812"/>
    <w:rsid w:val="006F609A"/>
    <w:rsid w:val="006F685F"/>
    <w:rsid w:val="006F74E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5A4"/>
    <w:rsid w:val="00721AF1"/>
    <w:rsid w:val="00721D20"/>
    <w:rsid w:val="0072280F"/>
    <w:rsid w:val="00722B5E"/>
    <w:rsid w:val="007235F5"/>
    <w:rsid w:val="00723B2C"/>
    <w:rsid w:val="00723CBA"/>
    <w:rsid w:val="007252C6"/>
    <w:rsid w:val="007253CC"/>
    <w:rsid w:val="00726F5A"/>
    <w:rsid w:val="0072708F"/>
    <w:rsid w:val="007272A9"/>
    <w:rsid w:val="00730395"/>
    <w:rsid w:val="00730E81"/>
    <w:rsid w:val="00731000"/>
    <w:rsid w:val="00731204"/>
    <w:rsid w:val="0073136C"/>
    <w:rsid w:val="007319BC"/>
    <w:rsid w:val="0073222B"/>
    <w:rsid w:val="00732582"/>
    <w:rsid w:val="00732D1D"/>
    <w:rsid w:val="007332C4"/>
    <w:rsid w:val="00733480"/>
    <w:rsid w:val="00734321"/>
    <w:rsid w:val="00734381"/>
    <w:rsid w:val="007349D2"/>
    <w:rsid w:val="00736034"/>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0E2C"/>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185"/>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679AF"/>
    <w:rsid w:val="00770F2A"/>
    <w:rsid w:val="0077111A"/>
    <w:rsid w:val="00771332"/>
    <w:rsid w:val="0077213A"/>
    <w:rsid w:val="00772272"/>
    <w:rsid w:val="0077369F"/>
    <w:rsid w:val="0077463A"/>
    <w:rsid w:val="00774AB3"/>
    <w:rsid w:val="00774D0F"/>
    <w:rsid w:val="00774D7B"/>
    <w:rsid w:val="007756ED"/>
    <w:rsid w:val="0077589D"/>
    <w:rsid w:val="0077617F"/>
    <w:rsid w:val="00776A3D"/>
    <w:rsid w:val="0077707A"/>
    <w:rsid w:val="007776BF"/>
    <w:rsid w:val="00777C63"/>
    <w:rsid w:val="007819A1"/>
    <w:rsid w:val="007839DF"/>
    <w:rsid w:val="00783BA5"/>
    <w:rsid w:val="00784F9E"/>
    <w:rsid w:val="0078533C"/>
    <w:rsid w:val="0078555B"/>
    <w:rsid w:val="007856FD"/>
    <w:rsid w:val="007857FB"/>
    <w:rsid w:val="007870FC"/>
    <w:rsid w:val="00787153"/>
    <w:rsid w:val="00787CD0"/>
    <w:rsid w:val="007905A2"/>
    <w:rsid w:val="00791053"/>
    <w:rsid w:val="00791261"/>
    <w:rsid w:val="007918FE"/>
    <w:rsid w:val="00791A3A"/>
    <w:rsid w:val="0079262D"/>
    <w:rsid w:val="00792A53"/>
    <w:rsid w:val="00793761"/>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5214"/>
    <w:rsid w:val="007A59B8"/>
    <w:rsid w:val="007A65AF"/>
    <w:rsid w:val="007A7682"/>
    <w:rsid w:val="007A7F42"/>
    <w:rsid w:val="007B2862"/>
    <w:rsid w:val="007B2FD8"/>
    <w:rsid w:val="007B3968"/>
    <w:rsid w:val="007B42F7"/>
    <w:rsid w:val="007B45AF"/>
    <w:rsid w:val="007B4DD0"/>
    <w:rsid w:val="007B611E"/>
    <w:rsid w:val="007B662A"/>
    <w:rsid w:val="007B71DC"/>
    <w:rsid w:val="007B7743"/>
    <w:rsid w:val="007C04F4"/>
    <w:rsid w:val="007C0872"/>
    <w:rsid w:val="007C0927"/>
    <w:rsid w:val="007C2139"/>
    <w:rsid w:val="007C27DE"/>
    <w:rsid w:val="007C299E"/>
    <w:rsid w:val="007C525F"/>
    <w:rsid w:val="007C5321"/>
    <w:rsid w:val="007C5881"/>
    <w:rsid w:val="007C5E8A"/>
    <w:rsid w:val="007C5EBA"/>
    <w:rsid w:val="007C5F4B"/>
    <w:rsid w:val="007C6AAB"/>
    <w:rsid w:val="007C7B84"/>
    <w:rsid w:val="007D0C4D"/>
    <w:rsid w:val="007D1CDA"/>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650"/>
    <w:rsid w:val="007E279D"/>
    <w:rsid w:val="007E2D69"/>
    <w:rsid w:val="007E3B9A"/>
    <w:rsid w:val="007E3EEF"/>
    <w:rsid w:val="007E46E8"/>
    <w:rsid w:val="007E470F"/>
    <w:rsid w:val="007E4C1F"/>
    <w:rsid w:val="007E57C9"/>
    <w:rsid w:val="007F01DE"/>
    <w:rsid w:val="007F02E5"/>
    <w:rsid w:val="007F0759"/>
    <w:rsid w:val="007F0BCC"/>
    <w:rsid w:val="007F1057"/>
    <w:rsid w:val="007F156E"/>
    <w:rsid w:val="007F1CF3"/>
    <w:rsid w:val="007F25C0"/>
    <w:rsid w:val="007F30BB"/>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1839"/>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2ABE"/>
    <w:rsid w:val="00822AF7"/>
    <w:rsid w:val="008238C7"/>
    <w:rsid w:val="00825268"/>
    <w:rsid w:val="008252CB"/>
    <w:rsid w:val="0082571C"/>
    <w:rsid w:val="00825B94"/>
    <w:rsid w:val="00825BB4"/>
    <w:rsid w:val="00825F68"/>
    <w:rsid w:val="008273D2"/>
    <w:rsid w:val="00830E92"/>
    <w:rsid w:val="008320ED"/>
    <w:rsid w:val="00832A0F"/>
    <w:rsid w:val="008338E2"/>
    <w:rsid w:val="00835179"/>
    <w:rsid w:val="008353D5"/>
    <w:rsid w:val="00835408"/>
    <w:rsid w:val="008358A2"/>
    <w:rsid w:val="008359DA"/>
    <w:rsid w:val="00835AA6"/>
    <w:rsid w:val="008367AF"/>
    <w:rsid w:val="00837CEF"/>
    <w:rsid w:val="00837E2F"/>
    <w:rsid w:val="00840035"/>
    <w:rsid w:val="00842661"/>
    <w:rsid w:val="008428A9"/>
    <w:rsid w:val="00842B86"/>
    <w:rsid w:val="00844112"/>
    <w:rsid w:val="0084429A"/>
    <w:rsid w:val="00845401"/>
    <w:rsid w:val="008456C9"/>
    <w:rsid w:val="0084611D"/>
    <w:rsid w:val="00846177"/>
    <w:rsid w:val="0084654D"/>
    <w:rsid w:val="00846C9F"/>
    <w:rsid w:val="0084718D"/>
    <w:rsid w:val="00847BD6"/>
    <w:rsid w:val="00850137"/>
    <w:rsid w:val="0085081E"/>
    <w:rsid w:val="00850C62"/>
    <w:rsid w:val="00852B48"/>
    <w:rsid w:val="008539F6"/>
    <w:rsid w:val="0085474D"/>
    <w:rsid w:val="00856481"/>
    <w:rsid w:val="008567A2"/>
    <w:rsid w:val="00856E6C"/>
    <w:rsid w:val="00857DE1"/>
    <w:rsid w:val="008606A5"/>
    <w:rsid w:val="00860793"/>
    <w:rsid w:val="00861747"/>
    <w:rsid w:val="00863011"/>
    <w:rsid w:val="00863C5B"/>
    <w:rsid w:val="00863D2E"/>
    <w:rsid w:val="00864E32"/>
    <w:rsid w:val="00865075"/>
    <w:rsid w:val="0086615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1E36"/>
    <w:rsid w:val="00882E73"/>
    <w:rsid w:val="008836B7"/>
    <w:rsid w:val="00883F7C"/>
    <w:rsid w:val="008841D3"/>
    <w:rsid w:val="00884987"/>
    <w:rsid w:val="00884BE0"/>
    <w:rsid w:val="00885CD3"/>
    <w:rsid w:val="00887BF9"/>
    <w:rsid w:val="00887DE6"/>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551"/>
    <w:rsid w:val="008A17AF"/>
    <w:rsid w:val="008A1B95"/>
    <w:rsid w:val="008A1ED9"/>
    <w:rsid w:val="008A2C65"/>
    <w:rsid w:val="008A2F16"/>
    <w:rsid w:val="008A36AE"/>
    <w:rsid w:val="008A3FCB"/>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B7F69"/>
    <w:rsid w:val="008C0DF9"/>
    <w:rsid w:val="008C10DC"/>
    <w:rsid w:val="008C2029"/>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0FBC"/>
    <w:rsid w:val="008D1434"/>
    <w:rsid w:val="008D1BB0"/>
    <w:rsid w:val="008D20FF"/>
    <w:rsid w:val="008D2B9A"/>
    <w:rsid w:val="008D3A3D"/>
    <w:rsid w:val="008D3DE6"/>
    <w:rsid w:val="008D4223"/>
    <w:rsid w:val="008D44CC"/>
    <w:rsid w:val="008D46E3"/>
    <w:rsid w:val="008D4CED"/>
    <w:rsid w:val="008D50F9"/>
    <w:rsid w:val="008D5442"/>
    <w:rsid w:val="008D5C75"/>
    <w:rsid w:val="008D5CAF"/>
    <w:rsid w:val="008D5F8E"/>
    <w:rsid w:val="008D64F1"/>
    <w:rsid w:val="008D6709"/>
    <w:rsid w:val="008E083A"/>
    <w:rsid w:val="008E12AD"/>
    <w:rsid w:val="008E2152"/>
    <w:rsid w:val="008E22FF"/>
    <w:rsid w:val="008E2450"/>
    <w:rsid w:val="008E3F27"/>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836"/>
    <w:rsid w:val="008F7769"/>
    <w:rsid w:val="009004FE"/>
    <w:rsid w:val="009010F0"/>
    <w:rsid w:val="00901162"/>
    <w:rsid w:val="00901B53"/>
    <w:rsid w:val="00901F33"/>
    <w:rsid w:val="0090223A"/>
    <w:rsid w:val="009028E2"/>
    <w:rsid w:val="009039FE"/>
    <w:rsid w:val="00903E9A"/>
    <w:rsid w:val="009048A5"/>
    <w:rsid w:val="00904A98"/>
    <w:rsid w:val="00905404"/>
    <w:rsid w:val="00905551"/>
    <w:rsid w:val="00906478"/>
    <w:rsid w:val="00906753"/>
    <w:rsid w:val="00907264"/>
    <w:rsid w:val="00907378"/>
    <w:rsid w:val="0090765F"/>
    <w:rsid w:val="00911305"/>
    <w:rsid w:val="00912590"/>
    <w:rsid w:val="00913200"/>
    <w:rsid w:val="00913546"/>
    <w:rsid w:val="00914EAB"/>
    <w:rsid w:val="009152D8"/>
    <w:rsid w:val="00915A1D"/>
    <w:rsid w:val="00922081"/>
    <w:rsid w:val="00922567"/>
    <w:rsid w:val="009228DB"/>
    <w:rsid w:val="00922D49"/>
    <w:rsid w:val="009236B9"/>
    <w:rsid w:val="00924064"/>
    <w:rsid w:val="00925E37"/>
    <w:rsid w:val="00925EDD"/>
    <w:rsid w:val="00925F20"/>
    <w:rsid w:val="00927899"/>
    <w:rsid w:val="0092796D"/>
    <w:rsid w:val="00927D0E"/>
    <w:rsid w:val="00930873"/>
    <w:rsid w:val="009309DA"/>
    <w:rsid w:val="00931040"/>
    <w:rsid w:val="00931663"/>
    <w:rsid w:val="00931D22"/>
    <w:rsid w:val="00931DE4"/>
    <w:rsid w:val="00932CC7"/>
    <w:rsid w:val="00933CC8"/>
    <w:rsid w:val="00935306"/>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671"/>
    <w:rsid w:val="009567B2"/>
    <w:rsid w:val="00957466"/>
    <w:rsid w:val="009576F7"/>
    <w:rsid w:val="00957917"/>
    <w:rsid w:val="00957A36"/>
    <w:rsid w:val="00957F1D"/>
    <w:rsid w:val="009602EE"/>
    <w:rsid w:val="00960722"/>
    <w:rsid w:val="00961272"/>
    <w:rsid w:val="00961356"/>
    <w:rsid w:val="009622F0"/>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B4F"/>
    <w:rsid w:val="00970C69"/>
    <w:rsid w:val="00971F1C"/>
    <w:rsid w:val="0097211D"/>
    <w:rsid w:val="009724F9"/>
    <w:rsid w:val="0097263C"/>
    <w:rsid w:val="00972DF9"/>
    <w:rsid w:val="00972E10"/>
    <w:rsid w:val="00972E7B"/>
    <w:rsid w:val="009738AD"/>
    <w:rsid w:val="00973C23"/>
    <w:rsid w:val="00974694"/>
    <w:rsid w:val="009746CA"/>
    <w:rsid w:val="00974E7C"/>
    <w:rsid w:val="00975268"/>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666E"/>
    <w:rsid w:val="009871EA"/>
    <w:rsid w:val="00987FA6"/>
    <w:rsid w:val="00990177"/>
    <w:rsid w:val="00991675"/>
    <w:rsid w:val="00992BA2"/>
    <w:rsid w:val="00992F83"/>
    <w:rsid w:val="0099344F"/>
    <w:rsid w:val="00993A3C"/>
    <w:rsid w:val="0099508A"/>
    <w:rsid w:val="009974EB"/>
    <w:rsid w:val="00997A12"/>
    <w:rsid w:val="009A1126"/>
    <w:rsid w:val="009A1B37"/>
    <w:rsid w:val="009A2907"/>
    <w:rsid w:val="009A394F"/>
    <w:rsid w:val="009A4FD0"/>
    <w:rsid w:val="009A5564"/>
    <w:rsid w:val="009A7469"/>
    <w:rsid w:val="009A79DC"/>
    <w:rsid w:val="009A7D60"/>
    <w:rsid w:val="009B07EE"/>
    <w:rsid w:val="009B0FED"/>
    <w:rsid w:val="009B1584"/>
    <w:rsid w:val="009B1B32"/>
    <w:rsid w:val="009B21CA"/>
    <w:rsid w:val="009B2648"/>
    <w:rsid w:val="009B424E"/>
    <w:rsid w:val="009B4317"/>
    <w:rsid w:val="009B4EBB"/>
    <w:rsid w:val="009B529C"/>
    <w:rsid w:val="009B56FC"/>
    <w:rsid w:val="009B641D"/>
    <w:rsid w:val="009B65A2"/>
    <w:rsid w:val="009B7332"/>
    <w:rsid w:val="009B7420"/>
    <w:rsid w:val="009B7B46"/>
    <w:rsid w:val="009B7FFE"/>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061"/>
    <w:rsid w:val="009C583C"/>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5C8B"/>
    <w:rsid w:val="009D696D"/>
    <w:rsid w:val="009D6993"/>
    <w:rsid w:val="009D6ED2"/>
    <w:rsid w:val="009E08B3"/>
    <w:rsid w:val="009E0BCD"/>
    <w:rsid w:val="009E0E03"/>
    <w:rsid w:val="009E0F1A"/>
    <w:rsid w:val="009E140D"/>
    <w:rsid w:val="009E1EA4"/>
    <w:rsid w:val="009E266D"/>
    <w:rsid w:val="009E43DD"/>
    <w:rsid w:val="009E4465"/>
    <w:rsid w:val="009E5318"/>
    <w:rsid w:val="009E6401"/>
    <w:rsid w:val="009E6C54"/>
    <w:rsid w:val="009E7614"/>
    <w:rsid w:val="009F04C8"/>
    <w:rsid w:val="009F0812"/>
    <w:rsid w:val="009F0E02"/>
    <w:rsid w:val="009F113C"/>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ACE"/>
    <w:rsid w:val="00A062B7"/>
    <w:rsid w:val="00A0646C"/>
    <w:rsid w:val="00A114B9"/>
    <w:rsid w:val="00A1308A"/>
    <w:rsid w:val="00A131DE"/>
    <w:rsid w:val="00A13A65"/>
    <w:rsid w:val="00A14589"/>
    <w:rsid w:val="00A14AE3"/>
    <w:rsid w:val="00A16675"/>
    <w:rsid w:val="00A16D10"/>
    <w:rsid w:val="00A17B40"/>
    <w:rsid w:val="00A212B9"/>
    <w:rsid w:val="00A212FB"/>
    <w:rsid w:val="00A21955"/>
    <w:rsid w:val="00A22CD6"/>
    <w:rsid w:val="00A234EC"/>
    <w:rsid w:val="00A23A26"/>
    <w:rsid w:val="00A24128"/>
    <w:rsid w:val="00A2417A"/>
    <w:rsid w:val="00A242EE"/>
    <w:rsid w:val="00A25642"/>
    <w:rsid w:val="00A260D5"/>
    <w:rsid w:val="00A26668"/>
    <w:rsid w:val="00A2681F"/>
    <w:rsid w:val="00A27804"/>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65A"/>
    <w:rsid w:val="00A546F0"/>
    <w:rsid w:val="00A54870"/>
    <w:rsid w:val="00A54FB5"/>
    <w:rsid w:val="00A5500A"/>
    <w:rsid w:val="00A552E7"/>
    <w:rsid w:val="00A55B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118"/>
    <w:rsid w:val="00A64CB8"/>
    <w:rsid w:val="00A659C4"/>
    <w:rsid w:val="00A66065"/>
    <w:rsid w:val="00A67018"/>
    <w:rsid w:val="00A671D2"/>
    <w:rsid w:val="00A67289"/>
    <w:rsid w:val="00A672F3"/>
    <w:rsid w:val="00A673DC"/>
    <w:rsid w:val="00A7076E"/>
    <w:rsid w:val="00A709BE"/>
    <w:rsid w:val="00A70D85"/>
    <w:rsid w:val="00A7162E"/>
    <w:rsid w:val="00A719E8"/>
    <w:rsid w:val="00A72AA4"/>
    <w:rsid w:val="00A72D71"/>
    <w:rsid w:val="00A73112"/>
    <w:rsid w:val="00A73617"/>
    <w:rsid w:val="00A747D2"/>
    <w:rsid w:val="00A74985"/>
    <w:rsid w:val="00A74F25"/>
    <w:rsid w:val="00A75123"/>
    <w:rsid w:val="00A75705"/>
    <w:rsid w:val="00A75F35"/>
    <w:rsid w:val="00A765A9"/>
    <w:rsid w:val="00A7746B"/>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81C"/>
    <w:rsid w:val="00A96867"/>
    <w:rsid w:val="00A96A94"/>
    <w:rsid w:val="00A96AE6"/>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88F"/>
    <w:rsid w:val="00AB6E97"/>
    <w:rsid w:val="00AB75EA"/>
    <w:rsid w:val="00AB7654"/>
    <w:rsid w:val="00AB7AA2"/>
    <w:rsid w:val="00AC0116"/>
    <w:rsid w:val="00AC0668"/>
    <w:rsid w:val="00AC0A22"/>
    <w:rsid w:val="00AC0A3B"/>
    <w:rsid w:val="00AC1515"/>
    <w:rsid w:val="00AC1941"/>
    <w:rsid w:val="00AC2234"/>
    <w:rsid w:val="00AC35CA"/>
    <w:rsid w:val="00AC3CDA"/>
    <w:rsid w:val="00AC3FF3"/>
    <w:rsid w:val="00AC4BC1"/>
    <w:rsid w:val="00AC5715"/>
    <w:rsid w:val="00AC5DF0"/>
    <w:rsid w:val="00AC6D32"/>
    <w:rsid w:val="00AD04BD"/>
    <w:rsid w:val="00AD0765"/>
    <w:rsid w:val="00AD0F00"/>
    <w:rsid w:val="00AD0F93"/>
    <w:rsid w:val="00AD1469"/>
    <w:rsid w:val="00AD1AB4"/>
    <w:rsid w:val="00AD35D4"/>
    <w:rsid w:val="00AD55A8"/>
    <w:rsid w:val="00AD5CA4"/>
    <w:rsid w:val="00AD6A91"/>
    <w:rsid w:val="00AD7214"/>
    <w:rsid w:val="00AD7567"/>
    <w:rsid w:val="00AE04DB"/>
    <w:rsid w:val="00AE1066"/>
    <w:rsid w:val="00AE14DD"/>
    <w:rsid w:val="00AE2FA5"/>
    <w:rsid w:val="00AE3A4F"/>
    <w:rsid w:val="00AE4518"/>
    <w:rsid w:val="00AE4D36"/>
    <w:rsid w:val="00AE5D7F"/>
    <w:rsid w:val="00AE79F0"/>
    <w:rsid w:val="00AE7E1A"/>
    <w:rsid w:val="00AF07B0"/>
    <w:rsid w:val="00AF109C"/>
    <w:rsid w:val="00AF1752"/>
    <w:rsid w:val="00AF2989"/>
    <w:rsid w:val="00AF2CB9"/>
    <w:rsid w:val="00AF341F"/>
    <w:rsid w:val="00AF3E1E"/>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5FE"/>
    <w:rsid w:val="00B01A80"/>
    <w:rsid w:val="00B01E53"/>
    <w:rsid w:val="00B046AF"/>
    <w:rsid w:val="00B06036"/>
    <w:rsid w:val="00B06D6A"/>
    <w:rsid w:val="00B070DC"/>
    <w:rsid w:val="00B07C27"/>
    <w:rsid w:val="00B07FB2"/>
    <w:rsid w:val="00B10017"/>
    <w:rsid w:val="00B1004A"/>
    <w:rsid w:val="00B101CE"/>
    <w:rsid w:val="00B10DE1"/>
    <w:rsid w:val="00B10FF8"/>
    <w:rsid w:val="00B110F8"/>
    <w:rsid w:val="00B11AA6"/>
    <w:rsid w:val="00B11E02"/>
    <w:rsid w:val="00B126F1"/>
    <w:rsid w:val="00B12A9F"/>
    <w:rsid w:val="00B12F0D"/>
    <w:rsid w:val="00B13A85"/>
    <w:rsid w:val="00B13BC7"/>
    <w:rsid w:val="00B13CD4"/>
    <w:rsid w:val="00B13EA9"/>
    <w:rsid w:val="00B14CE4"/>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07C9"/>
    <w:rsid w:val="00B418AD"/>
    <w:rsid w:val="00B41A21"/>
    <w:rsid w:val="00B42DCA"/>
    <w:rsid w:val="00B42F1A"/>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21D7"/>
    <w:rsid w:val="00B63AF2"/>
    <w:rsid w:val="00B65747"/>
    <w:rsid w:val="00B65C3F"/>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E3"/>
    <w:rsid w:val="00B87C29"/>
    <w:rsid w:val="00B906F5"/>
    <w:rsid w:val="00B90780"/>
    <w:rsid w:val="00B90968"/>
    <w:rsid w:val="00B91BC2"/>
    <w:rsid w:val="00B9240D"/>
    <w:rsid w:val="00B932B3"/>
    <w:rsid w:val="00B936DB"/>
    <w:rsid w:val="00B945E3"/>
    <w:rsid w:val="00B94960"/>
    <w:rsid w:val="00B952D6"/>
    <w:rsid w:val="00B96962"/>
    <w:rsid w:val="00B96F6E"/>
    <w:rsid w:val="00BA2203"/>
    <w:rsid w:val="00BA22A8"/>
    <w:rsid w:val="00BA309F"/>
    <w:rsid w:val="00BA3E48"/>
    <w:rsid w:val="00BA4905"/>
    <w:rsid w:val="00BA4BD3"/>
    <w:rsid w:val="00BA4D25"/>
    <w:rsid w:val="00BA6141"/>
    <w:rsid w:val="00BA6E49"/>
    <w:rsid w:val="00BA7140"/>
    <w:rsid w:val="00BA77B4"/>
    <w:rsid w:val="00BB0187"/>
    <w:rsid w:val="00BB0E56"/>
    <w:rsid w:val="00BB1EB3"/>
    <w:rsid w:val="00BB2188"/>
    <w:rsid w:val="00BB236B"/>
    <w:rsid w:val="00BB2678"/>
    <w:rsid w:val="00BB3077"/>
    <w:rsid w:val="00BB313F"/>
    <w:rsid w:val="00BB33A8"/>
    <w:rsid w:val="00BB347D"/>
    <w:rsid w:val="00BB3927"/>
    <w:rsid w:val="00BB3D8C"/>
    <w:rsid w:val="00BB48CF"/>
    <w:rsid w:val="00BB4B39"/>
    <w:rsid w:val="00BB53AF"/>
    <w:rsid w:val="00BB5825"/>
    <w:rsid w:val="00BB5C26"/>
    <w:rsid w:val="00BB67C7"/>
    <w:rsid w:val="00BB6A40"/>
    <w:rsid w:val="00BB7D4B"/>
    <w:rsid w:val="00BC013A"/>
    <w:rsid w:val="00BC1265"/>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682"/>
    <w:rsid w:val="00BF1F57"/>
    <w:rsid w:val="00BF20FD"/>
    <w:rsid w:val="00BF2239"/>
    <w:rsid w:val="00BF22C6"/>
    <w:rsid w:val="00BF3165"/>
    <w:rsid w:val="00BF336C"/>
    <w:rsid w:val="00BF34C2"/>
    <w:rsid w:val="00BF3804"/>
    <w:rsid w:val="00BF3B4E"/>
    <w:rsid w:val="00BF4086"/>
    <w:rsid w:val="00BF426C"/>
    <w:rsid w:val="00BF4594"/>
    <w:rsid w:val="00BF58D0"/>
    <w:rsid w:val="00BF6027"/>
    <w:rsid w:val="00BF6702"/>
    <w:rsid w:val="00BF7952"/>
    <w:rsid w:val="00BF7D6A"/>
    <w:rsid w:val="00C0021D"/>
    <w:rsid w:val="00C00300"/>
    <w:rsid w:val="00C0045D"/>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4CCE"/>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545"/>
    <w:rsid w:val="00C31774"/>
    <w:rsid w:val="00C3180E"/>
    <w:rsid w:val="00C31B84"/>
    <w:rsid w:val="00C32AF2"/>
    <w:rsid w:val="00C32B5F"/>
    <w:rsid w:val="00C33051"/>
    <w:rsid w:val="00C33204"/>
    <w:rsid w:val="00C338EB"/>
    <w:rsid w:val="00C34389"/>
    <w:rsid w:val="00C3465D"/>
    <w:rsid w:val="00C347D5"/>
    <w:rsid w:val="00C350D1"/>
    <w:rsid w:val="00C355E3"/>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8CB"/>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93B"/>
    <w:rsid w:val="00C82CC6"/>
    <w:rsid w:val="00C82E4B"/>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B9D"/>
    <w:rsid w:val="00C96F5F"/>
    <w:rsid w:val="00C97055"/>
    <w:rsid w:val="00CA02E8"/>
    <w:rsid w:val="00CA194C"/>
    <w:rsid w:val="00CA1DDD"/>
    <w:rsid w:val="00CA2B4F"/>
    <w:rsid w:val="00CA30C3"/>
    <w:rsid w:val="00CA5927"/>
    <w:rsid w:val="00CA635E"/>
    <w:rsid w:val="00CA6BB0"/>
    <w:rsid w:val="00CA70CE"/>
    <w:rsid w:val="00CA79EC"/>
    <w:rsid w:val="00CB002C"/>
    <w:rsid w:val="00CB1C35"/>
    <w:rsid w:val="00CB1E4B"/>
    <w:rsid w:val="00CB259F"/>
    <w:rsid w:val="00CB3236"/>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0EE9"/>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3B1"/>
    <w:rsid w:val="00CF1B70"/>
    <w:rsid w:val="00CF1DD1"/>
    <w:rsid w:val="00CF2161"/>
    <w:rsid w:val="00CF2307"/>
    <w:rsid w:val="00CF26AE"/>
    <w:rsid w:val="00CF2D54"/>
    <w:rsid w:val="00CF311F"/>
    <w:rsid w:val="00CF5047"/>
    <w:rsid w:val="00CF5575"/>
    <w:rsid w:val="00CF62F0"/>
    <w:rsid w:val="00D01344"/>
    <w:rsid w:val="00D0174B"/>
    <w:rsid w:val="00D01B90"/>
    <w:rsid w:val="00D02173"/>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2898"/>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2937"/>
    <w:rsid w:val="00D33751"/>
    <w:rsid w:val="00D34061"/>
    <w:rsid w:val="00D347D8"/>
    <w:rsid w:val="00D35D4A"/>
    <w:rsid w:val="00D36124"/>
    <w:rsid w:val="00D36F6E"/>
    <w:rsid w:val="00D372B0"/>
    <w:rsid w:val="00D37343"/>
    <w:rsid w:val="00D4205E"/>
    <w:rsid w:val="00D42225"/>
    <w:rsid w:val="00D42F05"/>
    <w:rsid w:val="00D43056"/>
    <w:rsid w:val="00D44D36"/>
    <w:rsid w:val="00D465B2"/>
    <w:rsid w:val="00D47399"/>
    <w:rsid w:val="00D47BB2"/>
    <w:rsid w:val="00D47D04"/>
    <w:rsid w:val="00D5056A"/>
    <w:rsid w:val="00D510A0"/>
    <w:rsid w:val="00D519DD"/>
    <w:rsid w:val="00D527EE"/>
    <w:rsid w:val="00D529C4"/>
    <w:rsid w:val="00D52A9B"/>
    <w:rsid w:val="00D53082"/>
    <w:rsid w:val="00D53929"/>
    <w:rsid w:val="00D539D0"/>
    <w:rsid w:val="00D540DC"/>
    <w:rsid w:val="00D55616"/>
    <w:rsid w:val="00D5574C"/>
    <w:rsid w:val="00D55DAC"/>
    <w:rsid w:val="00D56E45"/>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017"/>
    <w:rsid w:val="00D836BE"/>
    <w:rsid w:val="00D83774"/>
    <w:rsid w:val="00D84A4B"/>
    <w:rsid w:val="00D86CE8"/>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3AB8"/>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0AB"/>
    <w:rsid w:val="00DE2813"/>
    <w:rsid w:val="00DE29AF"/>
    <w:rsid w:val="00DE2D17"/>
    <w:rsid w:val="00DE353C"/>
    <w:rsid w:val="00DE401C"/>
    <w:rsid w:val="00DE6551"/>
    <w:rsid w:val="00DE6E2F"/>
    <w:rsid w:val="00DE6F47"/>
    <w:rsid w:val="00DE7D13"/>
    <w:rsid w:val="00DF1EAE"/>
    <w:rsid w:val="00DF2BD1"/>
    <w:rsid w:val="00DF2CE3"/>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3182"/>
    <w:rsid w:val="00E13369"/>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2BB"/>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67D14"/>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4CD"/>
    <w:rsid w:val="00E8477E"/>
    <w:rsid w:val="00E847A7"/>
    <w:rsid w:val="00E84A08"/>
    <w:rsid w:val="00E84FE5"/>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51B"/>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5EEF"/>
    <w:rsid w:val="00EB6212"/>
    <w:rsid w:val="00EB66E3"/>
    <w:rsid w:val="00EB6BB5"/>
    <w:rsid w:val="00EB6E30"/>
    <w:rsid w:val="00EB7618"/>
    <w:rsid w:val="00EB7B51"/>
    <w:rsid w:val="00EB7F93"/>
    <w:rsid w:val="00EC086C"/>
    <w:rsid w:val="00EC1720"/>
    <w:rsid w:val="00EC2DB7"/>
    <w:rsid w:val="00EC337D"/>
    <w:rsid w:val="00EC42D0"/>
    <w:rsid w:val="00EC5395"/>
    <w:rsid w:val="00EC5C87"/>
    <w:rsid w:val="00EC638F"/>
    <w:rsid w:val="00EC7927"/>
    <w:rsid w:val="00ED095E"/>
    <w:rsid w:val="00ED1A0B"/>
    <w:rsid w:val="00ED27DD"/>
    <w:rsid w:val="00ED2874"/>
    <w:rsid w:val="00ED2B7A"/>
    <w:rsid w:val="00ED5162"/>
    <w:rsid w:val="00ED5669"/>
    <w:rsid w:val="00ED592C"/>
    <w:rsid w:val="00ED697C"/>
    <w:rsid w:val="00ED7147"/>
    <w:rsid w:val="00ED740D"/>
    <w:rsid w:val="00EE06CA"/>
    <w:rsid w:val="00EE2819"/>
    <w:rsid w:val="00EE2AE3"/>
    <w:rsid w:val="00EE3C1C"/>
    <w:rsid w:val="00EE43AD"/>
    <w:rsid w:val="00EE4874"/>
    <w:rsid w:val="00EE48D6"/>
    <w:rsid w:val="00EE4A6E"/>
    <w:rsid w:val="00EE4BAB"/>
    <w:rsid w:val="00EE76D2"/>
    <w:rsid w:val="00EE7922"/>
    <w:rsid w:val="00EE79A6"/>
    <w:rsid w:val="00EF11DF"/>
    <w:rsid w:val="00EF130D"/>
    <w:rsid w:val="00EF2081"/>
    <w:rsid w:val="00EF30E0"/>
    <w:rsid w:val="00EF3A6C"/>
    <w:rsid w:val="00EF3D05"/>
    <w:rsid w:val="00EF42CF"/>
    <w:rsid w:val="00EF520B"/>
    <w:rsid w:val="00EF5403"/>
    <w:rsid w:val="00EF567D"/>
    <w:rsid w:val="00EF5A3D"/>
    <w:rsid w:val="00EF5F11"/>
    <w:rsid w:val="00EF6111"/>
    <w:rsid w:val="00F005A0"/>
    <w:rsid w:val="00F00927"/>
    <w:rsid w:val="00F01835"/>
    <w:rsid w:val="00F01DE9"/>
    <w:rsid w:val="00F0229D"/>
    <w:rsid w:val="00F02B1B"/>
    <w:rsid w:val="00F032BB"/>
    <w:rsid w:val="00F032C8"/>
    <w:rsid w:val="00F03567"/>
    <w:rsid w:val="00F03DD3"/>
    <w:rsid w:val="00F044C6"/>
    <w:rsid w:val="00F04BBE"/>
    <w:rsid w:val="00F06616"/>
    <w:rsid w:val="00F07485"/>
    <w:rsid w:val="00F10991"/>
    <w:rsid w:val="00F10BC6"/>
    <w:rsid w:val="00F11352"/>
    <w:rsid w:val="00F11AD0"/>
    <w:rsid w:val="00F12313"/>
    <w:rsid w:val="00F13D34"/>
    <w:rsid w:val="00F14602"/>
    <w:rsid w:val="00F1498D"/>
    <w:rsid w:val="00F14DDF"/>
    <w:rsid w:val="00F152AD"/>
    <w:rsid w:val="00F1584F"/>
    <w:rsid w:val="00F15BA3"/>
    <w:rsid w:val="00F15BB3"/>
    <w:rsid w:val="00F165B7"/>
    <w:rsid w:val="00F16E86"/>
    <w:rsid w:val="00F17A8E"/>
    <w:rsid w:val="00F20C9C"/>
    <w:rsid w:val="00F21548"/>
    <w:rsid w:val="00F21827"/>
    <w:rsid w:val="00F21A00"/>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5FEF"/>
    <w:rsid w:val="00F36130"/>
    <w:rsid w:val="00F3632F"/>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40EF"/>
    <w:rsid w:val="00F456D2"/>
    <w:rsid w:val="00F45B08"/>
    <w:rsid w:val="00F46431"/>
    <w:rsid w:val="00F469AD"/>
    <w:rsid w:val="00F46B0E"/>
    <w:rsid w:val="00F4715C"/>
    <w:rsid w:val="00F47C9F"/>
    <w:rsid w:val="00F50CE8"/>
    <w:rsid w:val="00F51361"/>
    <w:rsid w:val="00F52330"/>
    <w:rsid w:val="00F540C3"/>
    <w:rsid w:val="00F54603"/>
    <w:rsid w:val="00F54772"/>
    <w:rsid w:val="00F54869"/>
    <w:rsid w:val="00F548F1"/>
    <w:rsid w:val="00F556B2"/>
    <w:rsid w:val="00F565E8"/>
    <w:rsid w:val="00F56CB4"/>
    <w:rsid w:val="00F572FD"/>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4D21"/>
    <w:rsid w:val="00F75101"/>
    <w:rsid w:val="00F7564C"/>
    <w:rsid w:val="00F758DD"/>
    <w:rsid w:val="00F76220"/>
    <w:rsid w:val="00F769BE"/>
    <w:rsid w:val="00F7735C"/>
    <w:rsid w:val="00F77BD5"/>
    <w:rsid w:val="00F810B5"/>
    <w:rsid w:val="00F81B4B"/>
    <w:rsid w:val="00F82E6B"/>
    <w:rsid w:val="00F83662"/>
    <w:rsid w:val="00F837A9"/>
    <w:rsid w:val="00F838C0"/>
    <w:rsid w:val="00F838C4"/>
    <w:rsid w:val="00F83933"/>
    <w:rsid w:val="00F85F83"/>
    <w:rsid w:val="00F86ADD"/>
    <w:rsid w:val="00F86DAD"/>
    <w:rsid w:val="00F8739A"/>
    <w:rsid w:val="00F8784C"/>
    <w:rsid w:val="00F9031D"/>
    <w:rsid w:val="00F912FD"/>
    <w:rsid w:val="00F91D43"/>
    <w:rsid w:val="00F9321E"/>
    <w:rsid w:val="00F9367F"/>
    <w:rsid w:val="00F95411"/>
    <w:rsid w:val="00F95BF3"/>
    <w:rsid w:val="00F96339"/>
    <w:rsid w:val="00F9640A"/>
    <w:rsid w:val="00F969BB"/>
    <w:rsid w:val="00F96E02"/>
    <w:rsid w:val="00F97859"/>
    <w:rsid w:val="00F97973"/>
    <w:rsid w:val="00F97B71"/>
    <w:rsid w:val="00FA03A5"/>
    <w:rsid w:val="00FA06A3"/>
    <w:rsid w:val="00FA1DB3"/>
    <w:rsid w:val="00FA2CFC"/>
    <w:rsid w:val="00FA2DDA"/>
    <w:rsid w:val="00FA34CA"/>
    <w:rsid w:val="00FA36D0"/>
    <w:rsid w:val="00FA3E3E"/>
    <w:rsid w:val="00FA4A55"/>
    <w:rsid w:val="00FA4D4F"/>
    <w:rsid w:val="00FA54E8"/>
    <w:rsid w:val="00FA5FE8"/>
    <w:rsid w:val="00FA668B"/>
    <w:rsid w:val="00FA67CF"/>
    <w:rsid w:val="00FB2D17"/>
    <w:rsid w:val="00FB2F69"/>
    <w:rsid w:val="00FB368B"/>
    <w:rsid w:val="00FB3A3A"/>
    <w:rsid w:val="00FB4217"/>
    <w:rsid w:val="00FB4379"/>
    <w:rsid w:val="00FB45FF"/>
    <w:rsid w:val="00FB4815"/>
    <w:rsid w:val="00FB573F"/>
    <w:rsid w:val="00FB5D97"/>
    <w:rsid w:val="00FB61EA"/>
    <w:rsid w:val="00FB6C7A"/>
    <w:rsid w:val="00FB732E"/>
    <w:rsid w:val="00FB79F7"/>
    <w:rsid w:val="00FC03D0"/>
    <w:rsid w:val="00FC09E7"/>
    <w:rsid w:val="00FC1CA5"/>
    <w:rsid w:val="00FC1D8E"/>
    <w:rsid w:val="00FC2733"/>
    <w:rsid w:val="00FC2979"/>
    <w:rsid w:val="00FC35C3"/>
    <w:rsid w:val="00FC4C3B"/>
    <w:rsid w:val="00FC6990"/>
    <w:rsid w:val="00FC6D6C"/>
    <w:rsid w:val="00FD1C3C"/>
    <w:rsid w:val="00FD24F6"/>
    <w:rsid w:val="00FD2DB1"/>
    <w:rsid w:val="00FD38A8"/>
    <w:rsid w:val="00FD4AAC"/>
    <w:rsid w:val="00FD5E05"/>
    <w:rsid w:val="00FD61E4"/>
    <w:rsid w:val="00FD6954"/>
    <w:rsid w:val="00FD6AC8"/>
    <w:rsid w:val="00FD776E"/>
    <w:rsid w:val="00FD7C04"/>
    <w:rsid w:val="00FD7FD3"/>
    <w:rsid w:val="00FE056A"/>
    <w:rsid w:val="00FE0A6C"/>
    <w:rsid w:val="00FE0A8E"/>
    <w:rsid w:val="00FE1727"/>
    <w:rsid w:val="00FE1741"/>
    <w:rsid w:val="00FE3442"/>
    <w:rsid w:val="00FE3638"/>
    <w:rsid w:val="00FE3A67"/>
    <w:rsid w:val="00FE3D69"/>
    <w:rsid w:val="00FE3EA1"/>
    <w:rsid w:val="00FE4818"/>
    <w:rsid w:val="00FE4CA4"/>
    <w:rsid w:val="00FE5398"/>
    <w:rsid w:val="00FE5AE4"/>
    <w:rsid w:val="00FE5D80"/>
    <w:rsid w:val="00FE637F"/>
    <w:rsid w:val="00FE64EE"/>
    <w:rsid w:val="00FE73F7"/>
    <w:rsid w:val="00FE745E"/>
    <w:rsid w:val="00FE7865"/>
    <w:rsid w:val="00FF0BB0"/>
    <w:rsid w:val="00FF0EF3"/>
    <w:rsid w:val="00FF1342"/>
    <w:rsid w:val="00FF1513"/>
    <w:rsid w:val="00FF1577"/>
    <w:rsid w:val="00FF19E4"/>
    <w:rsid w:val="00FF2145"/>
    <w:rsid w:val="00FF3018"/>
    <w:rsid w:val="00FF3334"/>
    <w:rsid w:val="00FF3C60"/>
    <w:rsid w:val="00FF59BE"/>
    <w:rsid w:val="00FF5C4F"/>
    <w:rsid w:val="00FF6ADB"/>
    <w:rsid w:val="00FF6AEC"/>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docId w15:val="{CC8D4921-A7A1-4BC3-B4B9-2DA404E9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19">
      <w:bodyDiv w:val="1"/>
      <w:marLeft w:val="0"/>
      <w:marRight w:val="0"/>
      <w:marTop w:val="0"/>
      <w:marBottom w:val="0"/>
      <w:divBdr>
        <w:top w:val="none" w:sz="0" w:space="0" w:color="auto"/>
        <w:left w:val="none" w:sz="0" w:space="0" w:color="auto"/>
        <w:bottom w:val="none" w:sz="0" w:space="0" w:color="auto"/>
        <w:right w:val="none" w:sz="0" w:space="0" w:color="auto"/>
      </w:divBdr>
    </w:div>
    <w:div w:id="190075474">
      <w:bodyDiv w:val="1"/>
      <w:marLeft w:val="0"/>
      <w:marRight w:val="0"/>
      <w:marTop w:val="0"/>
      <w:marBottom w:val="0"/>
      <w:divBdr>
        <w:top w:val="none" w:sz="0" w:space="0" w:color="auto"/>
        <w:left w:val="none" w:sz="0" w:space="0" w:color="auto"/>
        <w:bottom w:val="none" w:sz="0" w:space="0" w:color="auto"/>
        <w:right w:val="none" w:sz="0" w:space="0" w:color="auto"/>
      </w:divBdr>
    </w:div>
    <w:div w:id="202987757">
      <w:bodyDiv w:val="1"/>
      <w:marLeft w:val="0"/>
      <w:marRight w:val="0"/>
      <w:marTop w:val="0"/>
      <w:marBottom w:val="0"/>
      <w:divBdr>
        <w:top w:val="none" w:sz="0" w:space="0" w:color="auto"/>
        <w:left w:val="none" w:sz="0" w:space="0" w:color="auto"/>
        <w:bottom w:val="none" w:sz="0" w:space="0" w:color="auto"/>
        <w:right w:val="none" w:sz="0" w:space="0" w:color="auto"/>
      </w:divBdr>
    </w:div>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987321821">
      <w:bodyDiv w:val="1"/>
      <w:marLeft w:val="0"/>
      <w:marRight w:val="0"/>
      <w:marTop w:val="0"/>
      <w:marBottom w:val="0"/>
      <w:divBdr>
        <w:top w:val="none" w:sz="0" w:space="0" w:color="auto"/>
        <w:left w:val="none" w:sz="0" w:space="0" w:color="auto"/>
        <w:bottom w:val="none" w:sz="0" w:space="0" w:color="auto"/>
        <w:right w:val="none" w:sz="0" w:space="0" w:color="auto"/>
      </w:divBdr>
    </w:div>
    <w:div w:id="99526074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607035251">
      <w:bodyDiv w:val="1"/>
      <w:marLeft w:val="0"/>
      <w:marRight w:val="0"/>
      <w:marTop w:val="0"/>
      <w:marBottom w:val="0"/>
      <w:divBdr>
        <w:top w:val="none" w:sz="0" w:space="0" w:color="auto"/>
        <w:left w:val="none" w:sz="0" w:space="0" w:color="auto"/>
        <w:bottom w:val="none" w:sz="0" w:space="0" w:color="auto"/>
        <w:right w:val="none" w:sz="0" w:space="0" w:color="auto"/>
      </w:divBdr>
    </w:div>
    <w:div w:id="1792437336">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30</Pages>
  <Words>3374</Words>
  <Characters>19238</Characters>
  <Application>Microsoft Office Word</Application>
  <DocSecurity>0</DocSecurity>
  <Lines>160</Lines>
  <Paragraphs>45</Paragraphs>
  <ScaleCrop>false</ScaleCrop>
  <Company/>
  <LinksUpToDate>false</LinksUpToDate>
  <CharactersWithSpaces>22567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biz-chenhaibin</cp:lastModifiedBy>
  <cp:revision>663</cp:revision>
  <cp:lastPrinted>2007-07-19T00:46:00Z</cp:lastPrinted>
  <dcterms:created xsi:type="dcterms:W3CDTF">2013-08-19T07:43:00Z</dcterms:created>
  <dcterms:modified xsi:type="dcterms:W3CDTF">2019-08-23T06:46:00Z</dcterms:modified>
</cp:coreProperties>
</file>