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xmlns:xsi="http://www.w3.org/2001/XMLSchema-instance">
  <w:body>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spacing w:before="29" w:line="288" w:lineRule="auto"/>
        <w:jc w:val="center"/>
        <w:rPr>
          <w:b/>
          <w:sz w:val="36"/>
          <w:szCs w:val="36"/>
        </w:rPr>
      </w:pPr>
      <w:r w:rsidRPr="005C672D">
        <w:rPr>
          <w:b/>
          <w:sz w:val="36"/>
          <w:szCs w:val="36"/>
        </w:rPr>
        <w:t>交银施罗德稳健配置混合型证券投资基金</w:t>
      </w:r>
    </w:p>
    <w:p w:rsidP="00AC6DDA" w:rsidR="001548F9" w:rsidRDefault="001548F9" w:rsidRPr="005C672D">
      <w:pPr>
        <w:spacing w:before="29" w:line="288" w:lineRule="auto"/>
        <w:jc w:val="center"/>
        <w:rPr>
          <w:b/>
          <w:sz w:val="36"/>
          <w:szCs w:val="36"/>
        </w:rPr>
      </w:pPr>
      <w:r w:rsidRPr="005C672D">
        <w:rPr>
          <w:b/>
          <w:sz w:val="36"/>
          <w:szCs w:val="36"/>
        </w:rPr>
        <w:t>2019年半年度报告</w:t>
      </w:r>
      <w:r w:rsidR="00772876" w:rsidRPr="005C672D">
        <w:rPr>
          <w:b/>
          <w:sz w:val="36"/>
          <w:szCs w:val="36"/>
        </w:rPr>
        <w:t>摘要</w:t>
      </w:r>
    </w:p>
    <w:p w:rsidP="00AC6DDA" w:rsidR="001548F9" w:rsidRDefault="002522C0" w:rsidRPr="005C672D">
      <w:pPr>
        <w:spacing w:before="29" w:line="288" w:lineRule="auto"/>
        <w:jc w:val="center"/>
        <w:rPr>
          <w:b/>
          <w:sz w:val="24"/>
        </w:rPr>
      </w:pPr>
      <w:r w:rsidRPr="005C672D">
        <w:rPr>
          <w:b/>
          <w:sz w:val="36"/>
          <w:szCs w:val="36"/>
        </w:rPr>
        <w:t>2019年6月30日</w:t>
      </w: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rPr>
          <w:b/>
          <w:color w:val="000000"/>
          <w:sz w:val="24"/>
        </w:rPr>
      </w:pPr>
    </w:p>
    <w:p w:rsidP="00AC6DDA" w:rsidR="001548F9" w:rsidRDefault="001548F9" w:rsidRPr="005C672D">
      <w:pPr>
        <w:spacing w:before="29" w:line="288" w:lineRule="auto"/>
        <w:ind w:firstLine="2168" w:firstLineChars="900"/>
        <w:rPr>
          <w:b/>
          <w:color w:val="000000"/>
          <w:sz w:val="24"/>
        </w:rPr>
      </w:pPr>
      <w:r w:rsidRPr="005C672D">
        <w:rPr>
          <w:b/>
          <w:color w:val="000000"/>
          <w:sz w:val="24"/>
        </w:rPr>
        <w:t>基金管理人：</w:t>
      </w:r>
      <w:r w:rsidRPr="005C672D">
        <w:rPr>
          <w:b/>
          <w:color w:val="000000"/>
          <w:sz w:val="24"/>
        </w:rPr>
        <w:t>交银施罗德基金管理有限公司</w:t>
      </w:r>
    </w:p>
    <w:p w:rsidP="00AC6DDA" w:rsidR="001548F9" w:rsidRDefault="001548F9" w:rsidRPr="005C672D">
      <w:pPr>
        <w:spacing w:before="29" w:line="288" w:lineRule="auto"/>
        <w:ind w:firstLine="2168" w:firstLineChars="900"/>
        <w:rPr>
          <w:b/>
          <w:color w:val="000000"/>
          <w:sz w:val="24"/>
        </w:rPr>
      </w:pPr>
      <w:r w:rsidRPr="005C672D">
        <w:rPr>
          <w:b/>
          <w:color w:val="000000"/>
          <w:sz w:val="24"/>
        </w:rPr>
        <w:t>基金托管人：</w:t>
      </w:r>
      <w:r w:rsidRPr="005C672D">
        <w:rPr>
          <w:b/>
          <w:color w:val="000000"/>
          <w:sz w:val="24"/>
        </w:rPr>
        <w:t>中国建设银行股份有限公司</w:t>
      </w:r>
    </w:p>
    <w:p w:rsidP="00AC6DDA" w:rsidR="001548F9" w:rsidRDefault="001548F9" w:rsidRPr="005C672D">
      <w:pPr>
        <w:spacing w:before="29" w:line="288" w:lineRule="auto"/>
        <w:ind w:firstLine="2168" w:firstLineChars="900"/>
        <w:rPr>
          <w:b/>
          <w:color w:val="000000"/>
          <w:sz w:val="24"/>
        </w:rPr>
      </w:pPr>
      <w:r w:rsidRPr="005C672D">
        <w:rPr>
          <w:b/>
          <w:color w:val="000000"/>
          <w:sz w:val="24"/>
        </w:rPr>
        <w:t>报告送出日期：</w:t>
      </w:r>
      <w:r w:rsidRPr="005C672D">
        <w:rPr>
          <w:b/>
          <w:color w:val="000000"/>
          <w:sz w:val="24"/>
        </w:rPr>
        <w:t>二〇一九年八月二十九日</w:t>
      </w:r>
    </w:p>
    <w:p w:rsidP="00AC6DDA" w:rsidR="001548F9" w:rsidRDefault="001548F9" w:rsidRPr="005C672D">
      <w:pPr>
        <w:spacing w:before="29" w:line="288" w:lineRule="auto"/>
        <w:ind w:firstLine="2168" w:firstLineChars="900"/>
        <w:rPr>
          <w:b/>
          <w:color w:val="000000"/>
          <w:sz w:val="24"/>
        </w:rPr>
        <w:sectPr w:rsidR="001548F9" w:rsidRPr="005C672D" w:rsidSect="00F95E70">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titlePg/>
          <w:docGrid w:linePitch="286"/>
        </w:sect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P="00AC6DDA" w:rsidR="001548F9" w:rsidRDefault="001548F9" w:rsidRPr="005C672D">
      <w:pPr>
        <w:pStyle w:val="20"/>
        <w:spacing w:after="0" w:before="29"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P="00AC6DDA" w:rsidR="00867117" w:rsidRDefault="00867117" w:rsidRPr="005C672D">
      <w:pPr>
        <w:spacing w:before="29" w:line="288" w:lineRule="auto"/>
        <w:ind w:firstLine="480" w:firstLineChars="200"/>
        <w:rPr>
          <w:color w:val="000000"/>
          <w:sz w:val="24"/>
        </w:rPr>
      </w:pPr>
      <w:r w:rsidRPr="005C672D">
        <w:rPr>
          <w:color w:val="000000"/>
          <w:sz w:val="24"/>
        </w:rPr>
        <w:t>基金管理人的董事会、董事保证本报告所载资</w:t>
      </w:r>
      <w:bookmarkStart w:id="3" w:name="_GoBack"/>
      <w:bookmarkEnd w:id="3"/>
      <w:r w:rsidRPr="005C672D">
        <w:rPr>
          <w:color w:val="000000"/>
          <w:sz w:val="24"/>
        </w:rPr>
        <w:t>料不存在虚假记载、误导性陈述或重大遗漏，并对其内容的真实性、准确性和完整性承担个别及连带的法律责任。本半年度报告已经三分之二以上独立董事签字同意，并由董事长签发。</w:t>
      </w:r>
    </w:p>
    <w:p w:rsidP="00AC6DDA" w:rsidR="00867117" w:rsidRDefault="00867117" w:rsidRPr="005C672D">
      <w:pPr>
        <w:spacing w:before="29" w:line="288" w:lineRule="auto"/>
        <w:ind w:firstLine="480" w:firstLineChars="200"/>
        <w:rPr>
          <w:color w:val="000000"/>
          <w:sz w:val="24"/>
        </w:rPr>
      </w:pPr>
      <w:r w:rsidRPr="005C672D">
        <w:rPr>
          <w:color w:val="000000"/>
          <w:sz w:val="24"/>
        </w:rPr>
        <w:t>基金托管人</w:t>
      </w:r>
      <w:r w:rsidRPr="005C672D">
        <w:rPr>
          <w:sz w:val="24"/>
        </w:rPr>
        <w:t>中国建设银行股份有限公司</w:t>
      </w:r>
      <w:r w:rsidRPr="005C672D">
        <w:rPr>
          <w:color w:val="000000"/>
          <w:sz w:val="24"/>
        </w:rPr>
        <w:t>根据本基金合同规定，于</w:t>
      </w:r>
      <w:r w:rsidRPr="005C672D">
        <w:rPr>
          <w:color w:val="000000"/>
          <w:sz w:val="24"/>
        </w:rPr>
        <w:t>2019年8月28日</w:t>
      </w:r>
      <w:r w:rsidRPr="005C672D">
        <w:rPr>
          <w:color w:val="000000"/>
          <w:sz w:val="24"/>
        </w:rPr>
        <w:t>复核了本报告中的财务指标、净值表现、利润分配情况、财务会计报告、投资组合报告等内容，保证复核内容不存在虚假记载、误导性陈述或者重大遗漏。</w:t>
      </w:r>
    </w:p>
    <w:p w:rsidP="00AC6DDA" w:rsidR="00867117" w:rsidRDefault="00867117" w:rsidRPr="005C672D">
      <w:pPr>
        <w:spacing w:before="29" w:line="288" w:lineRule="auto"/>
        <w:ind w:firstLine="480" w:firstLineChars="200"/>
        <w:rPr>
          <w:color w:val="000000"/>
          <w:sz w:val="24"/>
        </w:rPr>
      </w:pPr>
      <w:r w:rsidRPr="005C672D">
        <w:rPr>
          <w:color w:val="000000"/>
          <w:sz w:val="24"/>
        </w:rPr>
        <w:t>基金管理人承诺以诚实信用、勤勉尽责的原则管理和运用基金资产，但不保证基金一定盈利。</w:t>
      </w:r>
    </w:p>
    <w:p w:rsidP="00AC6DDA" w:rsidR="00867117" w:rsidRDefault="00867117" w:rsidRPr="005C672D">
      <w:pPr>
        <w:spacing w:before="29" w:line="288" w:lineRule="auto"/>
        <w:ind w:firstLine="480" w:firstLineChars="200"/>
        <w:rPr>
          <w:color w:val="000000"/>
          <w:sz w:val="24"/>
        </w:rPr>
      </w:pPr>
      <w:r w:rsidRPr="005C672D">
        <w:rPr>
          <w:color w:val="000000"/>
          <w:sz w:val="24"/>
        </w:rPr>
        <w:t>基金的过往业绩并不代表其未来表现。投资有风险，投资者在作出投资决策前应仔细阅读本基金的招募说明书及其更新。</w:t>
      </w:r>
    </w:p>
    <w:p w:rsidP="00AC6DDA" w:rsidR="004201C4" w:rsidRDefault="004201C4" w:rsidRPr="005C672D">
      <w:pPr>
        <w:spacing w:before="29" w:line="288" w:lineRule="auto"/>
        <w:ind w:firstLine="480" w:firstLineChars="200"/>
        <w:rPr>
          <w:color w:val="000000"/>
          <w:sz w:val="24"/>
        </w:rPr>
      </w:pPr>
      <w:r w:rsidRPr="005C672D">
        <w:rPr>
          <w:color w:val="000000"/>
          <w:sz w:val="24"/>
        </w:rPr>
        <w:t>本半年度报告摘要摘自半年度报告正文，投资者欲了解详细内容，应阅读半年度报告正文。</w:t>
      </w:r>
    </w:p>
    <w:p w:rsidP="00AC6DDA" w:rsidR="00867117" w:rsidRDefault="00867117" w:rsidRPr="005C672D">
      <w:pPr>
        <w:spacing w:before="29" w:line="288" w:lineRule="auto"/>
        <w:ind w:firstLine="480" w:firstLineChars="200"/>
        <w:rPr>
          <w:color w:val="000000"/>
          <w:sz w:val="24"/>
        </w:rPr>
      </w:pPr>
      <w:r w:rsidRPr="005C672D">
        <w:rPr>
          <w:color w:val="000000"/>
          <w:sz w:val="24"/>
        </w:rPr>
        <w:t>本报告中财务资料未经审计。</w:t>
      </w:r>
    </w:p>
    <w:p w:rsidP="00AC6DDA" w:rsidR="00D261D5" w:rsidRDefault="00D261D5" w:rsidRPr="005C672D">
      <w:pPr>
        <w:spacing w:before="29" w:line="288" w:lineRule="auto"/>
        <w:ind w:firstLine="480" w:firstLineChars="200"/>
        <w:rPr>
          <w:kern w:val="0"/>
          <w:sz w:val="24"/>
        </w:rPr>
      </w:pPr>
      <w:r w:rsidRPr="005C672D">
        <w:rPr>
          <w:kern w:val="0"/>
          <w:sz w:val="24"/>
        </w:rPr>
        <w:t>本报告期自</w:t>
      </w:r>
      <w:r w:rsidRPr="005C672D">
        <w:rPr>
          <w:kern w:val="0"/>
          <w:sz w:val="24"/>
        </w:rPr>
        <w:t>2019年1月1日</w:t>
      </w:r>
      <w:r w:rsidRPr="005C672D">
        <w:rPr>
          <w:kern w:val="0"/>
          <w:sz w:val="24"/>
        </w:rPr>
        <w:t>起至</w:t>
      </w:r>
      <w:r w:rsidRPr="005C672D">
        <w:rPr>
          <w:kern w:val="0"/>
          <w:sz w:val="24"/>
        </w:rPr>
        <w:t/>
      </w:r>
      <w:r w:rsidR="004201C4" w:rsidRPr="005C672D">
        <w:rPr>
          <w:kern w:val="0"/>
          <w:sz w:val="24"/>
        </w:rPr>
        <w:t/>
      </w:r>
      <w:r w:rsidR="000516C8" w:rsidRPr="005C672D">
        <w:rPr>
          <w:kern w:val="0"/>
          <w:sz w:val="24"/>
        </w:rPr>
        <w:t/>
      </w:r>
      <w:r w:rsidR="000B63EC" w:rsidRPr="005C672D">
        <w:rPr>
          <w:kern w:val="0"/>
          <w:sz w:val="24"/>
        </w:rPr>
        <w:t/>
      </w:r>
      <w:r w:rsidR="000516C8" w:rsidRPr="005C672D">
        <w:rPr>
          <w:kern w:val="0"/>
          <w:sz w:val="24"/>
        </w:rPr>
        <w:t/>
      </w:r>
      <w:r w:rsidRPr="005C672D">
        <w:rPr>
          <w:kern w:val="0"/>
          <w:sz w:val="24"/>
        </w:rPr>
        <w:t>6月30日</w:t>
      </w:r>
      <w:r w:rsidRPr="005C672D">
        <w:rPr>
          <w:kern w:val="0"/>
          <w:sz w:val="24"/>
        </w:rPr>
        <w:t>止。</w:t>
      </w:r>
    </w:p>
    <w:p w:rsidP="00AC6DDA" w:rsidR="00A80289" w:rsidRDefault="00A80289" w:rsidRPr="005C672D">
      <w:pPr>
        <w:spacing w:before="29" w:line="288" w:lineRule="auto"/>
        <w:ind w:firstLine="480" w:firstLineChars="200"/>
        <w:rPr>
          <w:color w:val="000000"/>
          <w:sz w:val="24"/>
        </w:rPr>
      </w:pPr>
    </w:p>
    <w:p w:rsidP="00AC6DDA" w:rsidR="00A80289" w:rsidRDefault="001548F9" w:rsidRPr="005C672D">
      <w:pPr>
        <w:spacing w:before="29" w:line="288" w:lineRule="auto"/>
        <w:ind w:firstLine="480" w:firstLineChars="200"/>
        <w:rPr>
          <w:b/>
          <w:color w:val="000000"/>
          <w:kern w:val="0"/>
          <w:sz w:val="24"/>
        </w:rPr>
      </w:pPr>
      <w:r w:rsidRPr="005C672D">
        <w:rPr>
          <w:sz w:val="24"/>
        </w:rPr>
        <w:br w:type="page"/>
      </w:r>
    </w:p>
    <w:p w:rsidP="00EC259C" w:rsidR="001548F9" w:rsidRDefault="001548F9" w:rsidRPr="005C672D">
      <w:pPr>
        <w:pStyle w:val="1"/>
        <w:keepNext/>
        <w:keepLines/>
        <w:widowControl w:val="0"/>
        <w:spacing w:afterLines="100" w:beforeLines="100" w:line="288" w:lineRule="auto"/>
        <w:jc w:val="center"/>
        <w:rPr>
          <w:szCs w:val="24"/>
          <w:lang w:val="en-US"/>
        </w:rPr>
      </w:pPr>
      <w:bookmarkStart w:id="4" w:name="_Toc331410068"/>
      <w:bookmarkStart w:id="5" w:name="_Toc225498244"/>
      <w:r w:rsidRPr="005C672D">
        <w:rPr>
          <w:b/>
          <w:bCs/>
          <w:szCs w:val="24"/>
          <w:lang w:val="en-US"/>
        </w:rPr>
        <w:lastRenderedPageBreak/>
        <w:t xml:space="preserve">2  </w:t>
      </w:r>
      <w:r w:rsidRPr="005C672D">
        <w:rPr>
          <w:b/>
          <w:bCs/>
          <w:szCs w:val="24"/>
          <w:lang w:val="en-US"/>
        </w:rPr>
        <w:t>基金简介</w:t>
      </w:r>
      <w:bookmarkEnd w:id="4"/>
      <w:bookmarkEnd w:id="5"/>
    </w:p>
    <w:p w:rsidP="00AC6DDA" w:rsidR="001548F9" w:rsidRDefault="001548F9" w:rsidRPr="005C672D">
      <w:pPr>
        <w:pStyle w:val="20"/>
        <w:spacing w:after="0" w:before="29" w:line="288" w:lineRule="auto"/>
        <w:rPr>
          <w:rFonts w:ascii="Times New Roman" w:hAnsi="Times New Roman"/>
          <w:color w:val="000000"/>
          <w:szCs w:val="24"/>
        </w:rPr>
      </w:pPr>
      <w:bookmarkStart w:id="6"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6"/>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07"/>
        <w:gridCol w:w="2695"/>
        <w:gridCol w:w="58"/>
        <w:gridCol w:w="2638"/>
      </w:tblGrid>
      <w:tr w:rsidR="001548F9" w:rsidRPr="005C672D" w:rsidTr="005914A2">
        <w:tc>
          <w:tcPr>
            <w:tcW w:type="dxa" w:w="3607"/>
            <w:vAlign w:val="center"/>
          </w:tcPr>
          <w:p w:rsidP="00AC6DDA" w:rsidR="001548F9" w:rsidRDefault="001548F9" w:rsidRPr="005C672D">
            <w:pPr>
              <w:spacing w:before="29" w:line="288" w:lineRule="auto"/>
              <w:rPr>
                <w:color w:val="000000"/>
                <w:kern w:val="0"/>
                <w:sz w:val="24"/>
              </w:rPr>
            </w:pPr>
            <w:r w:rsidRPr="005C672D">
              <w:rPr>
                <w:sz w:val="24"/>
              </w:rPr>
              <w:t>基金简称</w:t>
            </w:r>
          </w:p>
        </w:tc>
        <w:tc>
          <w:tcPr>
            <w:tcW w:type="dxa" w:w="5391"/>
            <w:gridSpan w:val="3"/>
            <w:vAlign w:val="center"/>
          </w:tcPr>
          <w:p w:rsidP="00AC6DDA" w:rsidR="001548F9" w:rsidRDefault="001548F9" w:rsidRPr="005C672D">
            <w:pPr>
              <w:spacing w:before="29" w:line="288" w:lineRule="auto"/>
              <w:jc w:val="center"/>
              <w:rPr>
                <w:sz w:val="24"/>
              </w:rPr>
            </w:pPr>
            <w:r w:rsidRPr="005C672D">
              <w:rPr>
                <w:sz w:val="24"/>
              </w:rPr>
              <w:t>交银稳健配置混合</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基金主代码</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519690</w:t>
            </w:r>
          </w:p>
        </w:tc>
      </w:tr>
      <w:tr w:rsidR="005914A2" w:rsidRPr="005C672D" w:rsidTr="005914A2">
        <w:tc>
          <w:tcPr>
            <w:tcW w:type="dxa" w:w="3607"/>
            <w:vAlign w:val="center"/>
          </w:tcPr>
          <w:p w:rsidP="00AC6DDA" w:rsidR="005914A2" w:rsidRDefault="005914A2" w:rsidRPr="005C672D">
            <w:pPr>
              <w:spacing w:before="29" w:line="288" w:lineRule="auto"/>
              <w:rPr>
                <w:sz w:val="24"/>
              </w:rPr>
            </w:pPr>
            <w:r w:rsidRPr="005C672D">
              <w:rPr>
                <w:color w:val="000000"/>
                <w:kern w:val="0"/>
                <w:sz w:val="24"/>
              </w:rPr>
              <w:t>交易代码</w:t>
            </w:r>
          </w:p>
        </w:tc>
        <w:tc>
          <w:tcPr>
            <w:tcW w:type="dxa" w:w="2695"/>
            <w:vAlign w:val="center"/>
          </w:tcPr>
          <w:p w:rsidP="00AC6DDA" w:rsidR="005914A2" w:rsidRDefault="005914A2" w:rsidRPr="005C672D">
            <w:pPr>
              <w:spacing w:before="29" w:line="288" w:lineRule="auto"/>
              <w:jc w:val="center"/>
              <w:rPr>
                <w:sz w:val="24"/>
              </w:rPr>
            </w:pPr>
            <w:r w:rsidRPr="005C672D">
              <w:rPr>
                <w:sz w:val="24"/>
              </w:rPr>
              <w:t xml:space="preserve"> 519690(</w:t>
            </w:r>
            <w:r w:rsidRPr="005C672D">
              <w:rPr>
                <w:sz w:val="24"/>
              </w:rPr>
              <w:t>前端</w:t>
            </w:r>
            <w:r w:rsidRPr="005C672D">
              <w:rPr>
                <w:sz w:val="24"/>
              </w:rPr>
              <w:t>)</w:t>
            </w:r>
          </w:p>
        </w:tc>
        <w:tc>
          <w:tcPr>
            <w:tcW w:type="dxa" w:w="2696"/>
            <w:gridSpan w:val="2"/>
            <w:vAlign w:val="center"/>
          </w:tcPr>
          <w:p w:rsidP="00AC6DDA" w:rsidR="005914A2" w:rsidRDefault="005914A2" w:rsidRPr="005C672D">
            <w:pPr>
              <w:spacing w:before="29" w:line="288" w:lineRule="auto"/>
              <w:jc w:val="center"/>
              <w:rPr>
                <w:sz w:val="24"/>
              </w:rPr>
            </w:pPr>
            <w:r w:rsidRPr="005C672D">
              <w:rPr>
                <w:sz w:val="24"/>
              </w:rPr>
              <w:t xml:space="preserve"> 519691(</w:t>
            </w:r>
            <w:r w:rsidRPr="005C672D">
              <w:rPr>
                <w:sz w:val="24"/>
              </w:rPr>
              <w:t>后端</w:t>
            </w:r>
            <w:r w:rsidRPr="005C672D">
              <w:rPr>
                <w:sz w:val="24"/>
              </w:rPr>
              <w:t>)</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基金运作方式</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契约型开放式</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基金合同生效日</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2006年6月14日</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基金管理人</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交银施罗德基金管理有限公司</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基金托管人</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中国建设银行股份有限公司</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报告期末基金份额总额</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2,279,996,418.69</w:t>
            </w:r>
            <w:r w:rsidRPr="005C672D">
              <w:rPr>
                <w:sz w:val="24"/>
              </w:rPr>
              <w:t>份</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基金合同存续期</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不定期</w:t>
            </w:r>
          </w:p>
        </w:tc>
      </w:tr>
    </w:tbl>
    <w:p w:rsidP="00AC6DDA" w:rsidR="003137AD" w:rsidRDefault="003137AD"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jc w:val="left"/>
        <w:rPr>
          <w:rFonts w:ascii="Times New Roman" w:hAnsi="Times New Roman"/>
          <w:color w:val="000000"/>
          <w:szCs w:val="24"/>
        </w:rPr>
      </w:pPr>
      <w:bookmarkStart w:id="7"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7"/>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127"/>
        <w:gridCol w:w="3435"/>
        <w:gridCol w:w="3436"/>
      </w:tblGrid>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投资目标</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投资策略</w:t>
            </w:r>
          </w:p>
        </w:tc>
        <w:tc>
          <w:tcPr>
            <w:tcW w:type="dxa" w:w="6873"/>
            <w:gridSpan w:val="2"/>
            <w:vAlign w:val="center"/>
          </w:tcPr>
          <w:p w:rsidP="00AC6DDA" w:rsidR="001548F9" w:rsidRDefault="001548F9" w:rsidRPr="005C672D">
            <w:pPr>
              <w:spacing w:before="29" w:line="288" w:lineRule="auto"/>
              <w:rPr>
                <w:sz w:val="24"/>
              </w:rPr>
            </w:pPr>
            <w:r w:rsidRPr="005C672D">
              <w:rPr>
                <w:sz w:val="24"/>
              </w:rPr>
              <w:t>把握宏观经济和投资市场的变化趋势，根据经济周期理论动态调整投资组合比例，自上而下配置资产，自下而上精选证券，有效分散风险。</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业绩比较基准</w:t>
            </w:r>
          </w:p>
        </w:tc>
        <w:tc>
          <w:tcPr>
            <w:tcW w:type="dxa" w:w="6873"/>
            <w:gridSpan w:val="2"/>
            <w:vAlign w:val="center"/>
          </w:tcPr>
          <w:p w:rsidP="00AC6DDA" w:rsidR="001548F9" w:rsidRDefault="001548F9" w:rsidRPr="005C672D">
            <w:pPr>
              <w:spacing w:before="29" w:line="288" w:lineRule="auto"/>
              <w:rPr>
                <w:sz w:val="24"/>
              </w:rPr>
            </w:pPr>
            <w:r w:rsidRPr="005C672D">
              <w:rPr>
                <w:sz w:val="24"/>
              </w:rPr>
              <w:t>65%×MSCI中国A股指数+35%×中证综合债券指数</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风险收益特征</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本基金是一只混合型基金，属于证券投资基金产品中的中等风险品种，本基金的风险与预期收益处于股票型基金和债券型基金之间。</w:t>
            </w:r>
          </w:p>
        </w:tc>
      </w:tr>
    </w:tbl>
    <w:p w:rsidP="00AC6DDA" w:rsidR="003137AD" w:rsidRDefault="003137AD"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jc w:val="left"/>
        <w:rPr>
          <w:rFonts w:ascii="Times New Roman" w:hAnsi="Times New Roman"/>
          <w:kern w:val="0"/>
          <w:szCs w:val="24"/>
        </w:rPr>
      </w:pPr>
      <w:bookmarkStart w:id="8" w:name="_Toc331410071"/>
      <w:bookmarkStart w:id="9"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8"/>
      <w:bookmarkEnd w:id="9"/>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296"/>
        <w:gridCol w:w="1410"/>
        <w:gridCol w:w="3146"/>
        <w:gridCol w:w="3146"/>
      </w:tblGrid>
      <w:tr w:rsidR="001548F9" w:rsidRPr="005C672D" w:rsidTr="00BA0FB8">
        <w:tc>
          <w:tcPr>
            <w:tcW w:type="dxa" w:w="2631"/>
            <w:gridSpan w:val="2"/>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type="dxa" w:w="3060"/>
            <w:vAlign w:val="center"/>
          </w:tcPr>
          <w:p w:rsidP="00AC6DDA" w:rsidR="001548F9" w:rsidRDefault="001548F9" w:rsidRPr="005C672D">
            <w:pPr>
              <w:spacing w:before="29" w:line="288" w:lineRule="auto"/>
              <w:jc w:val="center"/>
              <w:rPr>
                <w:color w:val="000000"/>
                <w:sz w:val="24"/>
              </w:rPr>
            </w:pPr>
            <w:r w:rsidRPr="005C672D">
              <w:rPr>
                <w:color w:val="000000"/>
                <w:sz w:val="24"/>
              </w:rPr>
              <w:t>基金管理人</w:t>
            </w:r>
          </w:p>
        </w:tc>
        <w:tc>
          <w:tcPr>
            <w:tcW w:type="dxa" w:w="3060"/>
            <w:vAlign w:val="center"/>
          </w:tcPr>
          <w:p w:rsidP="00AC6DDA" w:rsidR="001548F9" w:rsidRDefault="001548F9" w:rsidRPr="005C672D">
            <w:pPr>
              <w:spacing w:before="29" w:line="288" w:lineRule="auto"/>
              <w:jc w:val="center"/>
              <w:rPr>
                <w:color w:val="000000"/>
                <w:sz w:val="24"/>
              </w:rPr>
            </w:pPr>
            <w:r w:rsidRPr="005C672D">
              <w:rPr>
                <w:color w:val="000000"/>
                <w:sz w:val="24"/>
              </w:rPr>
              <w:t>基金托管人</w:t>
            </w:r>
          </w:p>
        </w:tc>
      </w:tr>
      <w:tr w:rsidR="001548F9" w:rsidRPr="005C672D" w:rsidTr="00BA0FB8">
        <w:tc>
          <w:tcPr>
            <w:tcW w:type="dxa" w:w="2631"/>
            <w:gridSpan w:val="2"/>
            <w:vAlign w:val="center"/>
          </w:tcPr>
          <w:p w:rsidP="00AC6DDA" w:rsidR="001548F9" w:rsidRDefault="001548F9" w:rsidRPr="005C672D">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中国建设银行股份有限公司</w:t>
            </w:r>
          </w:p>
        </w:tc>
      </w:tr>
      <w:tr w:rsidR="001548F9" w:rsidRPr="005C672D" w:rsidTr="00BA0FB8">
        <w:tc>
          <w:tcPr>
            <w:tcW w:type="dxa" w:w="1260"/>
            <w:vMerge w:val="restart"/>
            <w:vAlign w:val="center"/>
          </w:tcPr>
          <w:p w:rsidP="00AC6DDA" w:rsidR="001548F9" w:rsidRDefault="001548F9" w:rsidRPr="005C672D">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type="dxa" w:w="1371"/>
            <w:vAlign w:val="center"/>
          </w:tcPr>
          <w:p w:rsidP="00AC6DDA" w:rsidR="001548F9" w:rsidRDefault="001548F9" w:rsidRPr="005C672D">
            <w:pPr>
              <w:spacing w:before="29" w:line="288" w:lineRule="auto"/>
              <w:jc w:val="center"/>
              <w:rPr>
                <w:color w:val="000000"/>
                <w:sz w:val="24"/>
              </w:rPr>
            </w:pPr>
            <w:r w:rsidRPr="005C672D">
              <w:rPr>
                <w:color w:val="000000"/>
                <w:sz w:val="24"/>
              </w:rPr>
              <w:t>姓名</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田青</w:t>
            </w:r>
          </w:p>
        </w:tc>
      </w:tr>
      <w:tr w:rsidR="001548F9" w:rsidRPr="005C672D" w:rsidTr="00BA0FB8">
        <w:tc>
          <w:tcPr>
            <w:tcW w:type="dxa" w:w="1260"/>
            <w:vMerge/>
            <w:vAlign w:val="center"/>
          </w:tcPr>
          <w:p w:rsidP="00AC6DDA" w:rsidR="001548F9" w:rsidRDefault="001548F9" w:rsidRPr="005C672D">
            <w:pPr>
              <w:widowControl/>
              <w:spacing w:before="29" w:line="288" w:lineRule="auto"/>
              <w:jc w:val="left"/>
              <w:rPr>
                <w:color w:val="000000"/>
                <w:kern w:val="0"/>
                <w:sz w:val="24"/>
              </w:rPr>
            </w:pPr>
          </w:p>
        </w:tc>
        <w:tc>
          <w:tcPr>
            <w:tcW w:type="dxa" w:w="1371"/>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（021）61055050</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type="dxa" w:w="1260"/>
            <w:vMerge/>
            <w:vAlign w:val="center"/>
          </w:tcPr>
          <w:p w:rsidP="00AC6DDA" w:rsidR="001548F9" w:rsidRDefault="001548F9" w:rsidRPr="005C672D">
            <w:pPr>
              <w:widowControl/>
              <w:spacing w:before="29" w:line="288" w:lineRule="auto"/>
              <w:jc w:val="left"/>
              <w:rPr>
                <w:color w:val="000000"/>
                <w:kern w:val="0"/>
                <w:sz w:val="24"/>
              </w:rPr>
            </w:pPr>
          </w:p>
        </w:tc>
        <w:tc>
          <w:tcPr>
            <w:tcW w:type="dxa" w:w="1371"/>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tianqing1.zh@ccb.com</w:t>
            </w:r>
          </w:p>
        </w:tc>
      </w:tr>
      <w:tr w:rsidR="001548F9" w:rsidRPr="005C672D" w:rsidTr="00BA0FB8">
        <w:tc>
          <w:tcPr>
            <w:tcW w:type="dxa" w:w="2631"/>
            <w:gridSpan w:val="2"/>
            <w:vAlign w:val="center"/>
          </w:tcPr>
          <w:p w:rsidP="00AC6DDA" w:rsidR="001548F9" w:rsidRDefault="001548F9" w:rsidRPr="005C672D">
            <w:pPr>
              <w:spacing w:before="29" w:line="288" w:lineRule="auto"/>
              <w:rPr>
                <w:color w:val="000000"/>
                <w:sz w:val="24"/>
              </w:rPr>
            </w:pPr>
            <w:r w:rsidRPr="005C672D">
              <w:rPr>
                <w:color w:val="000000"/>
                <w:sz w:val="24"/>
              </w:rPr>
              <w:t>客户服务电话</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400-700-5000，021-61055000</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type="dxa" w:w="2631"/>
            <w:gridSpan w:val="2"/>
            <w:vAlign w:val="center"/>
          </w:tcPr>
          <w:p w:rsidP="00AC6DDA" w:rsidR="001548F9" w:rsidRDefault="001548F9" w:rsidRPr="005C672D">
            <w:pPr>
              <w:spacing w:before="29" w:line="288" w:lineRule="auto"/>
              <w:rPr>
                <w:color w:val="000000"/>
                <w:sz w:val="24"/>
              </w:rPr>
            </w:pPr>
            <w:r w:rsidRPr="005C672D">
              <w:rPr>
                <w:color w:val="000000"/>
                <w:sz w:val="24"/>
              </w:rPr>
              <w:t>传真</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（021）61055054</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010-66275853</w:t>
            </w:r>
          </w:p>
        </w:tc>
      </w:tr>
    </w:tbl>
    <w:p w:rsidP="00AC6DDA" w:rsidR="001548F9" w:rsidRDefault="001548F9" w:rsidRPr="005C672D">
      <w:pPr>
        <w:tabs>
          <w:tab w:pos="1740" w:val="left"/>
        </w:tabs>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10" w:name="_Toc331410072"/>
      <w:bookmarkStart w:id="11"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10"/>
      <w:bookmarkEnd w:id="11"/>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819"/>
        <w:gridCol w:w="4179"/>
      </w:tblGrid>
      <w:tr w:rsidR="001548F9" w:rsidRPr="005C672D" w:rsidTr="00BA0FB8">
        <w:tc>
          <w:tcPr>
            <w:tcW w:type="dxa" w:w="482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type="dxa" w:w="418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www.fund001.com</w:t>
            </w:r>
          </w:p>
        </w:tc>
      </w:tr>
      <w:tr w:rsidR="001548F9" w:rsidRPr="005C672D" w:rsidTr="00BA0FB8">
        <w:tc>
          <w:tcPr>
            <w:tcW w:type="dxa" w:w="482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type="dxa" w:w="418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基金管理人的办公场所</w:t>
            </w:r>
          </w:p>
        </w:tc>
      </w:tr>
    </w:tbl>
    <w:p w:rsidP="00AC6DDA" w:rsidR="003137AD" w:rsidRDefault="003137AD" w:rsidRPr="005C672D">
      <w:pPr>
        <w:tabs>
          <w:tab w:pos="426" w:val="left"/>
        </w:tabs>
        <w:spacing w:before="29" w:line="288" w:lineRule="auto"/>
        <w:jc w:val="left"/>
        <w:rPr>
          <w:kern w:val="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2" w:name="_Toc225498250"/>
      <w:bookmarkStart w:id="13" w:name="_Toc331410074"/>
      <w:bookmarkStart w:id="14" w:name="_Toc194312019"/>
      <w:bookmarkStart w:id="15" w:name="_Toc193947512"/>
      <w:r w:rsidRPr="005C672D">
        <w:rPr>
          <w:b/>
          <w:bCs/>
          <w:szCs w:val="24"/>
          <w:lang w:val="en-US"/>
        </w:rPr>
        <w:t xml:space="preserve">3  </w:t>
      </w:r>
      <w:r w:rsidRPr="005C672D">
        <w:rPr>
          <w:b/>
          <w:bCs/>
          <w:szCs w:val="24"/>
          <w:lang w:val="en-US"/>
        </w:rPr>
        <w:t>主要财务指标和基金净值表现</w:t>
      </w:r>
      <w:bookmarkEnd w:id="12"/>
      <w:bookmarkEnd w:id="13"/>
    </w:p>
    <w:p w:rsidP="00AC6DDA" w:rsidR="001548F9" w:rsidRDefault="001548F9" w:rsidRPr="005C672D">
      <w:pPr>
        <w:pStyle w:val="20"/>
        <w:spacing w:after="0" w:before="29" w:line="288" w:lineRule="auto"/>
        <w:rPr>
          <w:rFonts w:ascii="Times New Roman" w:hAnsi="Times New Roman"/>
          <w:kern w:val="0"/>
          <w:szCs w:val="24"/>
        </w:rPr>
      </w:pPr>
      <w:bookmarkStart w:id="16"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6"/>
    </w:p>
    <w:p w:rsidP="00AC6DDA" w:rsidR="001548F9" w:rsidRDefault="000F32E3"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
      </w:r>
      <w:r w:rsidR="001548F9" w:rsidRPr="005C672D">
        <w:rPr>
          <w:color w:val="000000"/>
          <w:kern w:val="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4385"/>
        <w:gridCol w:w="4613"/>
      </w:tblGrid>
      <w:tr w:rsidR="001548F9" w:rsidRPr="005C672D" w:rsidTr="00BA0FB8">
        <w:trPr>
          <w:trHeight w:val="487"/>
        </w:trPr>
        <w:tc>
          <w:tcPr>
            <w:tcW w:type="dxa" w:w="4509"/>
            <w:vAlign w:val="center"/>
          </w:tcPr>
          <w:p w:rsidP="00AC6DDA" w:rsidR="001548F9" w:rsidRDefault="001548F9" w:rsidRPr="005C672D">
            <w:pPr>
              <w:spacing w:before="29" w:line="288" w:lineRule="auto"/>
              <w:rPr>
                <w:b/>
                <w:sz w:val="24"/>
              </w:rPr>
            </w:pPr>
            <w:r w:rsidRPr="005C672D">
              <w:rPr>
                <w:b/>
                <w:sz w:val="24"/>
              </w:rPr>
              <w:t xml:space="preserve">3.1.1 </w:t>
            </w:r>
            <w:r w:rsidRPr="005C672D">
              <w:rPr>
                <w:b/>
                <w:sz w:val="24"/>
              </w:rPr>
              <w:t>期间数据和指标</w:t>
            </w:r>
            <w:r w:rsidRPr="005C672D">
              <w:rPr>
                <w:b/>
                <w:color w:val="000000"/>
                <w:sz w:val="24"/>
              </w:rPr>
              <w:t/>
            </w:r>
            <w:r w:rsidR="002C1704" w:rsidRPr="005C672D">
              <w:rPr>
                <w:b/>
                <w:color w:val="000000"/>
                <w:sz w:val="24"/>
              </w:rPr>
              <w:t/>
            </w:r>
          </w:p>
        </w:tc>
        <w:tc>
          <w:tcPr>
            <w:tcW w:type="dxa" w:w="4744"/>
            <w:vAlign w:val="center"/>
          </w:tcPr>
          <w:p w:rsidP="00AC6DDA" w:rsidR="001548F9" w:rsidRDefault="001548F9" w:rsidRPr="005C672D">
            <w:pPr>
              <w:spacing w:before="29" w:line="288" w:lineRule="auto"/>
              <w:jc w:val="center"/>
              <w:rPr>
                <w:b/>
                <w:sz w:val="24"/>
              </w:rPr>
            </w:pPr>
            <w:r w:rsidRPr="005C672D">
              <w:rPr>
                <w:b/>
                <w:sz w:val="24"/>
              </w:rPr>
              <w:t>报告期（</w:t>
            </w:r>
            <w:r w:rsidRPr="005C672D">
              <w:rPr>
                <w:b/>
                <w:sz w:val="24"/>
              </w:rPr>
              <w:t/>
            </w:r>
            <w:r w:rsidR="00A43357" w:rsidRPr="005C672D">
              <w:rPr>
                <w:b/>
                <w:sz w:val="24"/>
              </w:rPr>
              <w:t>2019年1月1日</w:t>
            </w:r>
            <w:r w:rsidR="00A43357" w:rsidRPr="005C672D">
              <w:rPr>
                <w:b/>
                <w:sz w:val="24"/>
              </w:rPr>
              <w:t>至</w:t>
            </w:r>
            <w:r w:rsidRPr="005C672D">
              <w:rPr>
                <w:b/>
                <w:sz w:val="24"/>
              </w:rPr>
              <w:t>2019年6月30日</w:t>
            </w:r>
            <w:r w:rsidRPr="005C672D">
              <w:rPr>
                <w:b/>
                <w:sz w:val="24"/>
              </w:rPr>
              <w:t>）</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本期已实现收益</w:t>
            </w:r>
          </w:p>
        </w:tc>
        <w:tc>
          <w:tcPr>
            <w:tcW w:type="dxa" w:w="4744"/>
            <w:vAlign w:val="center"/>
          </w:tcPr>
          <w:p w:rsidP="00AC6DDA" w:rsidR="001548F9" w:rsidRDefault="001548F9" w:rsidRPr="005C672D">
            <w:pPr>
              <w:spacing w:before="29" w:line="288" w:lineRule="auto"/>
              <w:jc w:val="right"/>
              <w:rPr>
                <w:sz w:val="24"/>
              </w:rPr>
            </w:pPr>
            <w:r w:rsidRPr="005C672D">
              <w:rPr>
                <w:sz w:val="24"/>
              </w:rPr>
              <w:t>135,671,481.60</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本期利润</w:t>
            </w:r>
          </w:p>
        </w:tc>
        <w:tc>
          <w:tcPr>
            <w:tcW w:type="dxa" w:w="4744"/>
            <w:vAlign w:val="center"/>
          </w:tcPr>
          <w:p w:rsidP="00AC6DDA" w:rsidR="001548F9" w:rsidRDefault="001548F9" w:rsidRPr="005C672D">
            <w:pPr>
              <w:spacing w:before="29" w:line="288" w:lineRule="auto"/>
              <w:jc w:val="right"/>
              <w:rPr>
                <w:sz w:val="24"/>
              </w:rPr>
            </w:pPr>
            <w:r w:rsidRPr="005C672D">
              <w:rPr>
                <w:sz w:val="24"/>
              </w:rPr>
              <w:t>517,089,236.20</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加权平均基金份额本期利润</w:t>
            </w:r>
          </w:p>
        </w:tc>
        <w:tc>
          <w:tcPr>
            <w:tcW w:type="dxa" w:w="4744"/>
            <w:vAlign w:val="center"/>
          </w:tcPr>
          <w:p w:rsidP="00AC6DDA" w:rsidR="001548F9" w:rsidRDefault="001548F9" w:rsidRPr="005C672D">
            <w:pPr>
              <w:spacing w:before="29" w:line="288" w:lineRule="auto"/>
              <w:jc w:val="right"/>
              <w:rPr>
                <w:sz w:val="24"/>
              </w:rPr>
            </w:pPr>
            <w:r w:rsidRPr="005C672D">
              <w:rPr>
                <w:sz w:val="24"/>
              </w:rPr>
              <w:t>0.2005</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本期基金份额净值增长率</w:t>
            </w:r>
          </w:p>
        </w:tc>
        <w:tc>
          <w:tcPr>
            <w:tcW w:type="dxa" w:w="4744"/>
            <w:vAlign w:val="center"/>
          </w:tcPr>
          <w:p w:rsidP="00AC6DDA" w:rsidR="001548F9" w:rsidRDefault="001548F9" w:rsidRPr="005C672D">
            <w:pPr>
              <w:spacing w:before="29" w:line="288" w:lineRule="auto"/>
              <w:jc w:val="right"/>
              <w:rPr>
                <w:sz w:val="24"/>
              </w:rPr>
            </w:pPr>
            <w:r w:rsidRPr="005C672D">
              <w:rPr>
                <w:sz w:val="24"/>
              </w:rPr>
              <w:t>16.87%</w:t>
            </w:r>
          </w:p>
        </w:tc>
      </w:tr>
      <w:tr w:rsidR="001548F9" w:rsidRPr="005C672D" w:rsidTr="00BA0FB8">
        <w:tc>
          <w:tcPr>
            <w:tcW w:type="dxa" w:w="4509"/>
            <w:vAlign w:val="center"/>
          </w:tcPr>
          <w:p w:rsidP="00AC6DDA" w:rsidR="001548F9" w:rsidRDefault="001548F9" w:rsidRPr="005C672D">
            <w:pPr>
              <w:spacing w:before="29" w:line="288" w:lineRule="auto"/>
              <w:rPr>
                <w:b/>
                <w:sz w:val="24"/>
              </w:rPr>
            </w:pPr>
            <w:r w:rsidRPr="005C672D">
              <w:rPr>
                <w:b/>
                <w:sz w:val="24"/>
              </w:rPr>
              <w:t xml:space="preserve">3.1.2 </w:t>
            </w:r>
            <w:r w:rsidRPr="005C672D">
              <w:rPr>
                <w:b/>
                <w:sz w:val="24"/>
              </w:rPr>
              <w:t>期末数据和指标</w:t>
            </w:r>
          </w:p>
        </w:tc>
        <w:tc>
          <w:tcPr>
            <w:tcW w:type="dxa" w:w="4744"/>
            <w:vAlign w:val="center"/>
          </w:tcPr>
          <w:p w:rsidP="00AC6DDA" w:rsidR="001548F9" w:rsidRDefault="001548F9" w:rsidRPr="005C672D">
            <w:pPr>
              <w:spacing w:before="29" w:line="288" w:lineRule="auto"/>
              <w:jc w:val="center"/>
              <w:rPr>
                <w:b/>
                <w:sz w:val="24"/>
              </w:rPr>
            </w:pPr>
            <w:r w:rsidRPr="005C672D">
              <w:rPr>
                <w:b/>
                <w:sz w:val="24"/>
              </w:rPr>
              <w:t>报告期末</w:t>
            </w:r>
            <w:r w:rsidRPr="005C672D">
              <w:rPr>
                <w:b/>
                <w:sz w:val="24"/>
              </w:rPr>
              <w:t>(2019年6月30日)</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期末可供分配基金份额利润</w:t>
            </w:r>
          </w:p>
        </w:tc>
        <w:tc>
          <w:tcPr>
            <w:tcW w:type="dxa" w:w="4744"/>
            <w:vAlign w:val="center"/>
          </w:tcPr>
          <w:p w:rsidP="00AC6DDA" w:rsidR="001548F9" w:rsidRDefault="001548F9" w:rsidRPr="005C672D">
            <w:pPr>
              <w:spacing w:before="29" w:line="288" w:lineRule="auto"/>
              <w:jc w:val="right"/>
              <w:rPr>
                <w:sz w:val="24"/>
              </w:rPr>
            </w:pPr>
            <w:r w:rsidRPr="005C672D">
              <w:rPr>
                <w:sz w:val="24"/>
              </w:rPr>
              <w:t>0.3054</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期末基金资产净值</w:t>
            </w:r>
          </w:p>
        </w:tc>
        <w:tc>
          <w:tcPr>
            <w:tcW w:type="dxa" w:w="4744"/>
            <w:vAlign w:val="center"/>
          </w:tcPr>
          <w:p w:rsidP="00AC6DDA" w:rsidR="001548F9" w:rsidRDefault="001548F9" w:rsidRPr="005C672D">
            <w:pPr>
              <w:spacing w:before="29" w:line="288" w:lineRule="auto"/>
              <w:jc w:val="right"/>
              <w:rPr>
                <w:sz w:val="24"/>
              </w:rPr>
            </w:pPr>
            <w:r w:rsidRPr="005C672D">
              <w:rPr>
                <w:sz w:val="24"/>
              </w:rPr>
              <w:t>2,976,361,872.90</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期末基金份额净值</w:t>
            </w:r>
          </w:p>
        </w:tc>
        <w:tc>
          <w:tcPr>
            <w:tcW w:type="dxa" w:w="4744"/>
            <w:vAlign w:val="center"/>
          </w:tcPr>
          <w:p w:rsidP="00AC6DDA" w:rsidR="001548F9" w:rsidRDefault="001548F9" w:rsidRPr="005C672D">
            <w:pPr>
              <w:spacing w:before="29" w:line="288" w:lineRule="auto"/>
              <w:jc w:val="right"/>
              <w:rPr>
                <w:sz w:val="24"/>
              </w:rPr>
            </w:pPr>
            <w:r w:rsidRPr="005C672D">
              <w:rPr>
                <w:sz w:val="24"/>
              </w:rPr>
              <w:t>1.3054</w:t>
            </w:r>
          </w:p>
        </w:tc>
      </w:tr>
    </w:tbl>
    <w:bookmarkEnd w:id="14"/>
    <w:bookmarkEnd w:id="15"/>
    <w:p>
      <w:pPr>
        <w:tabs>
          <w:tab w:pos="426" w:val="left"/>
        </w:tabs>
        <w:spacing w:before="29" w:line="288" w:lineRule="auto"/>
        <w:jc w:val="left"/>
        <w:rPr>
          <w:kern w:val="0"/>
          <w:sz w:val="24"/>
        </w:rPr>
      </w:pPr>
      <w:r>
        <w:rPr>
          <w:kern w:val="0"/>
          <w:sz w:val="24"/>
        </w:rPr>
        <w:t xml:space="preserve">注：1、本基金业绩指标不包括持有人认购或交易基金的各项费用，计入费用后实际收益水平要低于所列数字。 </w:t>
      </w:r>
    </w:p>
    <w:p w:rsidP="00AC6DDA" w:rsidR="001548F9" w:rsidRDefault="001548F9" w:rsidRPr="005C672D">
      <w:pPr>
        <w:tabs>
          <w:tab w:pos="426" w:val="left"/>
        </w:tabs>
        <w:spacing w:before="29" w:line="288" w:lineRule="auto"/>
        <w:jc w:val="left"/>
        <w:rPr>
          <w:kern w:val="0"/>
          <w:sz w:val="24"/>
        </w:rPr>
      </w:pPr>
      <w:r w:rsidRPr="005C672D">
        <w:rPr>
          <w:kern w:val="0"/>
          <w:sz w:val="24"/>
        </w:rPr>
        <w:t>2、本期已实现收益指基金本期利息收入、投资收益、其他收入（不含公允价值变动收益）扣除相关费用后的余额，本期利润为本期已实现收益加上本期公允价值变动收益。</w:t>
      </w:r>
    </w:p>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17" w:name="_Toc331410076"/>
      <w:bookmarkStart w:id="18"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7"/>
      <w:bookmarkEnd w:id="18"/>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1497"/>
        <w:gridCol w:w="1251"/>
        <w:gridCol w:w="1250"/>
        <w:gridCol w:w="1250"/>
        <w:gridCol w:w="1250"/>
        <w:gridCol w:w="1250"/>
        <w:gridCol w:w="1250"/>
      </w:tblGrid>
      <w:tr w:rsidR="001548F9" w:rsidRPr="005C672D" w:rsidTr="00073BE3">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阶段</w:t>
            </w:r>
            <w:r w:rsidR="002C1704" w:rsidRPr="005C672D">
              <w:rPr>
                <w:color w:val="000000"/>
                <w:sz w:val="24"/>
              </w:rPr>
              <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份额净值增长率</w:t>
            </w:r>
            <w:r w:rsidRPr="005C672D">
              <w:rPr>
                <w:rFonts w:ascii="宋体" w:cs="宋体" w:hAnsi="宋体" w:hint="eastAsia"/>
                <w:color w:val="000000"/>
                <w:sz w:val="24"/>
              </w:rPr>
              <w:t>①</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份额净值增长率标准差</w:t>
            </w:r>
            <w:r w:rsidRPr="005C672D">
              <w:rPr>
                <w:rFonts w:ascii="宋体" w:cs="宋体" w:hAnsi="宋体" w:hint="eastAsia"/>
                <w:color w:val="000000"/>
                <w:sz w:val="24"/>
              </w:rPr>
              <w:t>②</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业绩比较基准收益率</w:t>
            </w:r>
            <w:r w:rsidRPr="005C672D">
              <w:rPr>
                <w:rFonts w:ascii="宋体" w:cs="宋体" w:hAnsi="宋体" w:hint="eastAsia"/>
                <w:color w:val="000000"/>
                <w:sz w:val="24"/>
              </w:rPr>
              <w:t>③</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业绩比较基准收益率标准差</w:t>
            </w:r>
            <w:r w:rsidRPr="005C672D">
              <w:rPr>
                <w:rFonts w:ascii="宋体" w:cs="宋体" w:hAnsi="宋体" w:hint="eastAsia"/>
                <w:color w:val="000000"/>
                <w:sz w:val="24"/>
              </w:rPr>
              <w:t>④</w:t>
            </w:r>
          </w:p>
        </w:tc>
        <w:tc>
          <w:tcPr>
            <w:tcW w:type="dxa" w:w="1350"/>
            <w:vAlign w:val="center"/>
          </w:tcPr>
          <w:p w:rsidP="00AC6DDA" w:rsidR="001548F9" w:rsidRDefault="001548F9" w:rsidRPr="005C672D">
            <w:pPr>
              <w:spacing w:before="29" w:line="288" w:lineRule="auto"/>
              <w:jc w:val="center"/>
              <w:rPr>
                <w:color w:val="000000"/>
                <w:sz w:val="24"/>
              </w:rPr>
            </w:pPr>
            <w:r w:rsidRPr="005C672D">
              <w:rPr>
                <w:rFonts w:ascii="宋体" w:cs="宋体" w:hAnsi="宋体" w:hint="eastAsia"/>
                <w:color w:val="000000"/>
                <w:sz w:val="24"/>
              </w:rPr>
              <w:t>①</w:t>
            </w:r>
            <w:r w:rsidRPr="005C672D">
              <w:rPr>
                <w:color w:val="000000"/>
                <w:sz w:val="24"/>
              </w:rPr>
              <w:t>－</w:t>
            </w:r>
            <w:r w:rsidRPr="005C672D">
              <w:rPr>
                <w:rFonts w:ascii="宋体" w:cs="宋体" w:hAnsi="宋体" w:hint="eastAsia"/>
                <w:color w:val="000000"/>
                <w:sz w:val="24"/>
              </w:rPr>
              <w:t>③</w:t>
            </w:r>
          </w:p>
        </w:tc>
        <w:tc>
          <w:tcPr>
            <w:tcW w:type="dxa" w:w="1350"/>
            <w:vAlign w:val="center"/>
          </w:tcPr>
          <w:p w:rsidP="00AC6DDA" w:rsidR="001548F9" w:rsidRDefault="001548F9" w:rsidRPr="005C672D">
            <w:pPr>
              <w:spacing w:before="29" w:line="288" w:lineRule="auto"/>
              <w:jc w:val="center"/>
              <w:rPr>
                <w:color w:val="000000"/>
                <w:sz w:val="24"/>
              </w:rPr>
            </w:pPr>
            <w:r w:rsidRPr="005C672D">
              <w:rPr>
                <w:rFonts w:ascii="宋体" w:cs="宋体" w:hAnsi="宋体" w:hint="eastAsia"/>
                <w:color w:val="000000"/>
                <w:sz w:val="24"/>
              </w:rPr>
              <w:t>②</w:t>
            </w:r>
            <w:r w:rsidRPr="005C672D">
              <w:rPr>
                <w:color w:val="000000"/>
                <w:sz w:val="24"/>
              </w:rPr>
              <w:t>－</w:t>
            </w:r>
            <w:r w:rsidRPr="005C672D">
              <w:rPr>
                <w:rFonts w:ascii="宋体" w:cs="宋体" w:hAnsi="宋体" w:hint="eastAsia"/>
                <w:color w:val="000000"/>
                <w:sz w:val="24"/>
              </w:rPr>
              <w:t>④</w:t>
            </w:r>
          </w:p>
        </w:tc>
      </w:tr>
      <w:tr>
        <w:tc>
          <w:tcPr>
            <w:vAlign w:val="center"/>
          </w:tcPr>
          <w:p>
            <w:pPr>
              <w:jc w:val="left"/>
            </w:pPr>
            <w:r>
              <w:rPr>
                <w:color w:val="000000"/>
                <w:sz w:val="24"/>
              </w:rPr>
              <w:t>过去一个月</w:t>
            </w:r>
          </w:p>
        </w:tc>
        <w:tc>
          <w:tcPr>
            <w:vAlign w:val="center"/>
          </w:tcPr>
          <w:p>
            <w:pPr>
              <w:jc w:val="center"/>
            </w:pPr>
            <w:r>
              <w:rPr>
                <w:color w:val="000000"/>
                <w:sz w:val="24"/>
              </w:rPr>
              <w:t>3.37%</w:t>
            </w:r>
          </w:p>
        </w:tc>
        <w:tc>
          <w:tcPr>
            <w:vAlign w:val="center"/>
          </w:tcPr>
          <w:p>
            <w:pPr>
              <w:jc w:val="center"/>
            </w:pPr>
            <w:r>
              <w:rPr>
                <w:color w:val="000000"/>
                <w:sz w:val="24"/>
              </w:rPr>
              <w:t>0.99%</w:t>
            </w:r>
          </w:p>
        </w:tc>
        <w:tc>
          <w:tcPr>
            <w:vAlign w:val="center"/>
          </w:tcPr>
          <w:p>
            <w:pPr>
              <w:jc w:val="center"/>
            </w:pPr>
            <w:r>
              <w:rPr>
                <w:color w:val="000000"/>
                <w:sz w:val="24"/>
              </w:rPr>
              <w:t>3.18%</w:t>
            </w:r>
          </w:p>
        </w:tc>
        <w:tc>
          <w:tcPr>
            <w:vAlign w:val="center"/>
          </w:tcPr>
          <w:p>
            <w:pPr>
              <w:jc w:val="center"/>
            </w:pPr>
            <w:r>
              <w:rPr>
                <w:color w:val="000000"/>
                <w:sz w:val="24"/>
              </w:rPr>
              <w:t>0.78%</w:t>
            </w:r>
          </w:p>
        </w:tc>
        <w:tc>
          <w:tcPr>
            <w:vAlign w:val="center"/>
          </w:tcPr>
          <w:p>
            <w:pPr>
              <w:jc w:val="center"/>
            </w:pPr>
            <w:r>
              <w:rPr>
                <w:color w:val="000000"/>
                <w:sz w:val="24"/>
              </w:rPr>
              <w:t>0.19%</w:t>
            </w:r>
          </w:p>
        </w:tc>
        <w:tc>
          <w:tcPr>
            <w:vAlign w:val="center"/>
          </w:tcPr>
          <w:p>
            <w:pPr>
              <w:jc w:val="center"/>
            </w:pPr>
            <w:r>
              <w:rPr>
                <w:color w:val="000000"/>
                <w:sz w:val="24"/>
              </w:rPr>
              <w:t>0.21%</w:t>
            </w:r>
          </w:p>
        </w:tc>
      </w:tr>
      <w:tr>
        <w:tc>
          <w:tcPr>
            <w:vAlign w:val="center"/>
          </w:tcPr>
          <w:p>
            <w:pPr>
              <w:jc w:val="left"/>
            </w:pPr>
            <w:r>
              <w:rPr>
                <w:color w:val="000000"/>
                <w:sz w:val="24"/>
              </w:rPr>
              <w:t>过去三个月</w:t>
            </w:r>
          </w:p>
        </w:tc>
        <w:tc>
          <w:tcPr>
            <w:vAlign w:val="center"/>
          </w:tcPr>
          <w:p>
            <w:pPr>
              <w:jc w:val="center"/>
            </w:pPr>
            <w:r>
              <w:rPr>
                <w:color w:val="000000"/>
                <w:sz w:val="24"/>
              </w:rPr>
              <w:t>-4.25%</w:t>
            </w:r>
          </w:p>
        </w:tc>
        <w:tc>
          <w:tcPr>
            <w:vAlign w:val="center"/>
          </w:tcPr>
          <w:p>
            <w:pPr>
              <w:jc w:val="center"/>
            </w:pPr>
            <w:r>
              <w:rPr>
                <w:color w:val="000000"/>
                <w:sz w:val="24"/>
              </w:rPr>
              <w:t>1.31%</w:t>
            </w:r>
          </w:p>
        </w:tc>
        <w:tc>
          <w:tcPr>
            <w:vAlign w:val="center"/>
          </w:tcPr>
          <w:p>
            <w:pPr>
              <w:jc w:val="center"/>
            </w:pPr>
            <w:r>
              <w:rPr>
                <w:color w:val="000000"/>
                <w:sz w:val="24"/>
              </w:rPr>
              <w:t>-1.13%</w:t>
            </w:r>
          </w:p>
        </w:tc>
        <w:tc>
          <w:tcPr>
            <w:vAlign w:val="center"/>
          </w:tcPr>
          <w:p>
            <w:pPr>
              <w:jc w:val="center"/>
            </w:pPr>
            <w:r>
              <w:rPr>
                <w:color w:val="000000"/>
                <w:sz w:val="24"/>
              </w:rPr>
              <w:t>1.01%</w:t>
            </w:r>
          </w:p>
        </w:tc>
        <w:tc>
          <w:tcPr>
            <w:vAlign w:val="center"/>
          </w:tcPr>
          <w:p>
            <w:pPr>
              <w:jc w:val="center"/>
            </w:pPr>
            <w:r>
              <w:rPr>
                <w:color w:val="000000"/>
                <w:sz w:val="24"/>
              </w:rPr>
              <w:t>-3.12%</w:t>
            </w:r>
          </w:p>
        </w:tc>
        <w:tc>
          <w:tcPr>
            <w:vAlign w:val="center"/>
          </w:tcPr>
          <w:p>
            <w:pPr>
              <w:jc w:val="center"/>
            </w:pPr>
            <w:r>
              <w:rPr>
                <w:color w:val="000000"/>
                <w:sz w:val="24"/>
              </w:rPr>
              <w:t>0.30%</w:t>
            </w:r>
          </w:p>
        </w:tc>
      </w:tr>
      <w:tr>
        <w:tc>
          <w:tcPr>
            <w:vAlign w:val="center"/>
          </w:tcPr>
          <w:p>
            <w:pPr>
              <w:jc w:val="left"/>
            </w:pPr>
            <w:r>
              <w:rPr>
                <w:color w:val="000000"/>
                <w:sz w:val="24"/>
              </w:rPr>
              <w:t>过去六个月</w:t>
            </w:r>
          </w:p>
        </w:tc>
        <w:tc>
          <w:tcPr>
            <w:vAlign w:val="center"/>
          </w:tcPr>
          <w:p>
            <w:pPr>
              <w:jc w:val="center"/>
            </w:pPr>
            <w:r>
              <w:rPr>
                <w:color w:val="000000"/>
                <w:sz w:val="24"/>
              </w:rPr>
              <w:t>16.87%</w:t>
            </w:r>
          </w:p>
        </w:tc>
        <w:tc>
          <w:tcPr>
            <w:vAlign w:val="center"/>
          </w:tcPr>
          <w:p>
            <w:pPr>
              <w:jc w:val="center"/>
            </w:pPr>
            <w:r>
              <w:rPr>
                <w:color w:val="000000"/>
                <w:sz w:val="24"/>
              </w:rPr>
              <w:t>1.25%</w:t>
            </w:r>
          </w:p>
        </w:tc>
        <w:tc>
          <w:tcPr>
            <w:vAlign w:val="center"/>
          </w:tcPr>
          <w:p>
            <w:pPr>
              <w:jc w:val="center"/>
            </w:pPr>
            <w:r>
              <w:rPr>
                <w:color w:val="000000"/>
                <w:sz w:val="24"/>
              </w:rPr>
              <w:t>18.10%</w:t>
            </w:r>
          </w:p>
        </w:tc>
        <w:tc>
          <w:tcPr>
            <w:vAlign w:val="center"/>
          </w:tcPr>
          <w:p>
            <w:pPr>
              <w:jc w:val="center"/>
            </w:pPr>
            <w:r>
              <w:rPr>
                <w:color w:val="000000"/>
                <w:sz w:val="24"/>
              </w:rPr>
              <w:t>1.01%</w:t>
            </w:r>
          </w:p>
        </w:tc>
        <w:tc>
          <w:tcPr>
            <w:vAlign w:val="center"/>
          </w:tcPr>
          <w:p>
            <w:pPr>
              <w:jc w:val="center"/>
            </w:pPr>
            <w:r>
              <w:rPr>
                <w:color w:val="000000"/>
                <w:sz w:val="24"/>
              </w:rPr>
              <w:t>-1.23%</w:t>
            </w:r>
          </w:p>
        </w:tc>
        <w:tc>
          <w:tcPr>
            <w:vAlign w:val="center"/>
          </w:tcPr>
          <w:p>
            <w:pPr>
              <w:jc w:val="center"/>
            </w:pPr>
            <w:r>
              <w:rPr>
                <w:color w:val="000000"/>
                <w:sz w:val="24"/>
              </w:rPr>
              <w:t>0.24%</w:t>
            </w:r>
          </w:p>
        </w:tc>
      </w:tr>
      <w:tr>
        <w:tc>
          <w:tcPr>
            <w:vAlign w:val="center"/>
          </w:tcPr>
          <w:p>
            <w:pPr>
              <w:jc w:val="left"/>
            </w:pPr>
            <w:r>
              <w:rPr>
                <w:color w:val="000000"/>
                <w:sz w:val="24"/>
              </w:rPr>
              <w:t>过去一年</w:t>
            </w:r>
          </w:p>
        </w:tc>
        <w:tc>
          <w:tcPr>
            <w:vAlign w:val="center"/>
          </w:tcPr>
          <w:p>
            <w:pPr>
              <w:jc w:val="center"/>
            </w:pPr>
            <w:r>
              <w:rPr>
                <w:color w:val="000000"/>
                <w:sz w:val="24"/>
              </w:rPr>
              <w:t>-3.70%</w:t>
            </w:r>
          </w:p>
        </w:tc>
        <w:tc>
          <w:tcPr>
            <w:vAlign w:val="center"/>
          </w:tcPr>
          <w:p>
            <w:pPr>
              <w:jc w:val="center"/>
            </w:pPr>
            <w:r>
              <w:rPr>
                <w:color w:val="000000"/>
                <w:sz w:val="24"/>
              </w:rPr>
              <w:t>1.31%</w:t>
            </w:r>
          </w:p>
        </w:tc>
        <w:tc>
          <w:tcPr>
            <w:vAlign w:val="center"/>
          </w:tcPr>
          <w:p>
            <w:pPr>
              <w:jc w:val="center"/>
            </w:pPr>
            <w:r>
              <w:rPr>
                <w:color w:val="000000"/>
                <w:sz w:val="24"/>
              </w:rPr>
              <w:t>7.49%</w:t>
            </w:r>
          </w:p>
        </w:tc>
        <w:tc>
          <w:tcPr>
            <w:vAlign w:val="center"/>
          </w:tcPr>
          <w:p>
            <w:pPr>
              <w:jc w:val="center"/>
            </w:pPr>
            <w:r>
              <w:rPr>
                <w:color w:val="000000"/>
                <w:sz w:val="24"/>
              </w:rPr>
              <w:t>1.00%</w:t>
            </w:r>
          </w:p>
        </w:tc>
        <w:tc>
          <w:tcPr>
            <w:vAlign w:val="center"/>
          </w:tcPr>
          <w:p>
            <w:pPr>
              <w:jc w:val="center"/>
            </w:pPr>
            <w:r>
              <w:rPr>
                <w:color w:val="000000"/>
                <w:sz w:val="24"/>
              </w:rPr>
              <w:t>-11.19%</w:t>
            </w:r>
          </w:p>
        </w:tc>
        <w:tc>
          <w:tcPr>
            <w:vAlign w:val="center"/>
          </w:tcPr>
          <w:p>
            <w:pPr>
              <w:jc w:val="center"/>
            </w:pPr>
            <w:r>
              <w:rPr>
                <w:color w:val="000000"/>
                <w:sz w:val="24"/>
              </w:rPr>
              <w:t>0.31%</w:t>
            </w:r>
          </w:p>
        </w:tc>
      </w:tr>
      <w:tr>
        <w:tc>
          <w:tcPr>
            <w:vAlign w:val="center"/>
          </w:tcPr>
          <w:p>
            <w:pPr>
              <w:jc w:val="left"/>
            </w:pPr>
            <w:r>
              <w:rPr>
                <w:color w:val="000000"/>
                <w:sz w:val="24"/>
              </w:rPr>
              <w:t>过去三年</w:t>
            </w:r>
          </w:p>
        </w:tc>
        <w:tc>
          <w:tcPr>
            <w:vAlign w:val="center"/>
          </w:tcPr>
          <w:p>
            <w:pPr>
              <w:jc w:val="center"/>
            </w:pPr>
            <w:r>
              <w:rPr>
                <w:color w:val="000000"/>
                <w:sz w:val="24"/>
              </w:rPr>
              <w:t>33.99%</w:t>
            </w:r>
          </w:p>
        </w:tc>
        <w:tc>
          <w:tcPr>
            <w:vAlign w:val="center"/>
          </w:tcPr>
          <w:p>
            <w:pPr>
              <w:jc w:val="center"/>
            </w:pPr>
            <w:r>
              <w:rPr>
                <w:color w:val="000000"/>
                <w:sz w:val="24"/>
              </w:rPr>
              <w:t>1.11%</w:t>
            </w:r>
          </w:p>
        </w:tc>
        <w:tc>
          <w:tcPr>
            <w:vAlign w:val="center"/>
          </w:tcPr>
          <w:p>
            <w:pPr>
              <w:jc w:val="center"/>
            </w:pPr>
            <w:r>
              <w:rPr>
                <w:color w:val="000000"/>
                <w:sz w:val="24"/>
              </w:rPr>
              <w:t>5.88%</w:t>
            </w:r>
          </w:p>
        </w:tc>
        <w:tc>
          <w:tcPr>
            <w:vAlign w:val="center"/>
          </w:tcPr>
          <w:p>
            <w:pPr>
              <w:jc w:val="center"/>
            </w:pPr>
            <w:r>
              <w:rPr>
                <w:color w:val="000000"/>
                <w:sz w:val="24"/>
              </w:rPr>
              <w:t>0.73%</w:t>
            </w:r>
          </w:p>
        </w:tc>
        <w:tc>
          <w:tcPr>
            <w:vAlign w:val="center"/>
          </w:tcPr>
          <w:p>
            <w:pPr>
              <w:jc w:val="center"/>
            </w:pPr>
            <w:r>
              <w:rPr>
                <w:color w:val="000000"/>
                <w:sz w:val="24"/>
              </w:rPr>
              <w:t>28.11%</w:t>
            </w:r>
          </w:p>
        </w:tc>
        <w:tc>
          <w:tcPr>
            <w:vAlign w:val="center"/>
          </w:tcPr>
          <w:p>
            <w:pPr>
              <w:jc w:val="center"/>
            </w:pPr>
            <w:r>
              <w:rPr>
                <w:color w:val="000000"/>
                <w:sz w:val="24"/>
              </w:rPr>
              <w:t>0.38%</w:t>
            </w:r>
          </w:p>
        </w:tc>
      </w:tr>
      <w:tr>
        <w:tc>
          <w:tcPr>
            <w:vAlign w:val="center"/>
          </w:tcPr>
          <w:p>
            <w:pPr>
              <w:jc w:val="left"/>
            </w:pPr>
            <w:r>
              <w:rPr>
                <w:color w:val="000000"/>
                <w:sz w:val="24"/>
              </w:rPr>
              <w:t>自基金合同生效至今</w:t>
            </w:r>
          </w:p>
        </w:tc>
        <w:tc>
          <w:tcPr>
            <w:vAlign w:val="center"/>
          </w:tcPr>
          <w:p>
            <w:pPr>
              <w:jc w:val="center"/>
            </w:pPr>
            <w:r>
              <w:rPr>
                <w:color w:val="000000"/>
                <w:sz w:val="24"/>
              </w:rPr>
              <w:t>465.84%</w:t>
            </w:r>
          </w:p>
        </w:tc>
        <w:tc>
          <w:tcPr>
            <w:vAlign w:val="center"/>
          </w:tcPr>
          <w:p>
            <w:pPr>
              <w:jc w:val="center"/>
            </w:pPr>
            <w:r>
              <w:rPr>
                <w:color w:val="000000"/>
                <w:sz w:val="24"/>
              </w:rPr>
              <w:t>1.57%</w:t>
            </w:r>
          </w:p>
        </w:tc>
        <w:tc>
          <w:tcPr>
            <w:vAlign w:val="center"/>
          </w:tcPr>
          <w:p>
            <w:pPr>
              <w:jc w:val="center"/>
            </w:pPr>
            <w:r>
              <w:rPr>
                <w:color w:val="000000"/>
                <w:sz w:val="24"/>
              </w:rPr>
              <w:t>147.58%</w:t>
            </w:r>
          </w:p>
        </w:tc>
        <w:tc>
          <w:tcPr>
            <w:vAlign w:val="center"/>
          </w:tcPr>
          <w:p>
            <w:pPr>
              <w:jc w:val="center"/>
            </w:pPr>
            <w:r>
              <w:rPr>
                <w:color w:val="000000"/>
                <w:sz w:val="24"/>
              </w:rPr>
              <w:t>1.15%</w:t>
            </w:r>
          </w:p>
        </w:tc>
        <w:tc>
          <w:tcPr>
            <w:vAlign w:val="center"/>
          </w:tcPr>
          <w:p>
            <w:pPr>
              <w:jc w:val="center"/>
            </w:pPr>
            <w:r>
              <w:rPr>
                <w:color w:val="000000"/>
                <w:sz w:val="24"/>
              </w:rPr>
              <w:t>318.26%</w:t>
            </w:r>
          </w:p>
        </w:tc>
        <w:tc>
          <w:tcPr>
            <w:vAlign w:val="center"/>
          </w:tcPr>
          <w:p>
            <w:pPr>
              <w:jc w:val="center"/>
            </w:pPr>
            <w:r>
              <w:rPr>
                <w:color w:val="000000"/>
                <w:sz w:val="24"/>
              </w:rPr>
              <w:t>0.42%</w:t>
            </w:r>
          </w:p>
        </w:tc>
      </w:tr>
    </w:tbl>
    <w:p>
      <w:pPr>
        <w:tabs>
          <w:tab w:pos="426" w:val="left"/>
        </w:tabs>
        <w:spacing w:before="29" w:line="288" w:lineRule="auto"/>
        <w:jc w:val="left"/>
        <w:rPr>
          <w:kern w:val="0"/>
          <w:sz w:val="24"/>
        </w:rPr>
      </w:pPr>
      <w:r>
        <w:rPr>
          <w:kern w:val="0"/>
          <w:sz w:val="24"/>
        </w:rPr>
        <w:t>注：1、本基金业绩比较基准自2013年7月1日起，由“65%×MSCI中国A股指数+35%×新华巴克莱资本中国全债指数”变更为“65%×MSCI中国A股指数+35%×中信标普全债指数”，3.2.2同。详情见本基金管理人于2013年6月26日发布的《交银施罗德基金管理有限公司关于变更交银施罗德稳健配置混合型证券投资基金业绩比较基准并修改基金合同相关内容的公告》。</w:t>
      </w:r>
    </w:p>
    <w:p>
      <w:pPr>
        <w:tabs>
          <w:tab w:pos="426" w:val="left"/>
        </w:tabs>
        <w:spacing w:before="29" w:line="288" w:lineRule="auto"/>
        <w:jc w:val="left"/>
        <w:rPr>
          <w:kern w:val="0"/>
          <w:sz w:val="24"/>
        </w:rPr>
      </w:pPr>
      <w:r>
        <w:rPr>
          <w:kern w:val="0"/>
          <w:sz w:val="24"/>
        </w:rPr>
        <w:t>2、本基金业绩比较基准自2015年10月1日起，由“65%×MSCI中国A股指数+35%×中信标普全债指数”变更为“65%×MSCI中国A股指数+35%×中证综合债券指数”，3.2.2同。详情见本基金管理人于2015年9月28日发布的《交银施罗德基金管理有限公司关于旗下部分基金业绩比较基准变更并修改基金合同相关内容的公告》。</w:t>
      </w:r>
    </w:p>
    <w:p w:rsidP="00AC6DDA" w:rsidR="001548F9" w:rsidRDefault="001548F9" w:rsidRPr="005C672D">
      <w:pPr>
        <w:tabs>
          <w:tab w:pos="426" w:val="left"/>
        </w:tabs>
        <w:spacing w:before="29" w:line="288" w:lineRule="auto"/>
        <w:jc w:val="left"/>
        <w:rPr>
          <w:kern w:val="0"/>
          <w:sz w:val="24"/>
        </w:rPr>
      </w:pPr>
      <w:r w:rsidRPr="005C672D">
        <w:rPr>
          <w:kern w:val="0"/>
          <w:sz w:val="24"/>
        </w:rPr>
        <w:t>3、本基金的业绩比较基准每日进行再平衡过程。</w:t>
      </w:r>
    </w:p>
    <w:p w:rsidP="00AC6DDA" w:rsidR="001548F9" w:rsidRDefault="001548F9" w:rsidRPr="005C672D">
      <w:pPr>
        <w:pStyle w:val="21"/>
        <w:adjustRightInd w:val="0"/>
        <w:snapToGrid w:val="0"/>
        <w:spacing w:before="29" w:line="288" w:lineRule="auto"/>
        <w:ind w:firstLine="0" w:firstLineChars="0"/>
        <w:rPr>
          <w:rFonts w:ascii="Times New Roman" w:hAnsi="Times New Roman"/>
          <w:color w:val="auto"/>
        </w:rPr>
      </w:pPr>
    </w:p>
    <w:p w:rsidP="00AC6DDA" w:rsidR="001548F9" w:rsidRDefault="001548F9" w:rsidRPr="005C672D">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P="00AC6DDA" w:rsidR="001548F9" w:rsidRDefault="001548F9" w:rsidRPr="005C672D">
      <w:pPr>
        <w:spacing w:before="29" w:line="288" w:lineRule="auto"/>
        <w:ind w:firstLine="420"/>
        <w:jc w:val="center"/>
        <w:rPr>
          <w:kern w:val="0"/>
          <w:sz w:val="24"/>
        </w:rPr>
      </w:pPr>
      <w:r w:rsidRPr="005C672D">
        <w:rPr>
          <w:kern w:val="0"/>
          <w:sz w:val="24"/>
        </w:rPr>
        <w:t>交银施罗德稳健配置混合型证券投资基金</w:t>
      </w:r>
    </w:p>
    <w:p w:rsidP="00AC6DDA" w:rsidR="001548F9" w:rsidRDefault="00CE3047" w:rsidRPr="005C672D">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P="00AC6DDA" w:rsidR="001548F9" w:rsidRDefault="00777C63" w:rsidRPr="005C672D">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2006年6月14日</w:t>
      </w:r>
      <w:r w:rsidR="001548F9" w:rsidRPr="005C672D">
        <w:rPr>
          <w:rFonts w:ascii="Times New Roman" w:hAnsi="Times New Roman"/>
          <w:sz w:val="24"/>
          <w:szCs w:val="24"/>
        </w:rPr>
        <w:t>至</w:t>
      </w:r>
      <w:r w:rsidRPr="005C672D">
        <w:rPr>
          <w:rFonts w:ascii="Times New Roman" w:hAnsi="Times New Roman"/>
          <w:sz w:val="24"/>
          <w:szCs w:val="24"/>
        </w:rPr>
        <w:t>2019年6月30日</w:t>
      </w:r>
      <w:r w:rsidRPr="005C672D">
        <w:rPr>
          <w:rFonts w:ascii="Times New Roman" w:hAnsi="Times New Roman"/>
          <w:sz w:val="24"/>
          <w:szCs w:val="24"/>
        </w:rPr>
        <w:t>）</w:t>
      </w:r>
    </w:p>
    <w:p w:rsidP="00AC6DDA" w:rsidR="001548F9" w:rsidRDefault="00D07362" w:rsidRPr="005C672D">
      <w:pPr>
        <w:spacing w:before="29" w:line="288" w:lineRule="auto"/>
        <w:jc w:val="center"/>
        <w:rPr>
          <w:color w:val="000000"/>
          <w:sz w:val="24"/>
        </w:rPr>
      </w:pPr>
      <w:r w:rsidRPr="005C672D">
        <w:rPr>
          <w:noProof/>
          <w:color w:val="000000"/>
          <w:sz w:val="24"/>
        </w:rPr>
        <w:lastRenderedPageBreak/>
        <w:drawing>
          <wp:inline distB="0" distL="0" distR="0" distT="0">
            <wp:extent cx="5759450" cy="3372734"/>
            <wp:effectExtent b="0" l="0" r="0" t="0"/>
            <wp:docPr descr="C:\Users\bonnieliu\Desktop\走势图柱状图\走势图1.jpg"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bonnieliu\Desktop\走势图柱状图\走势图1.jpg" id="0" name="Picture 1"/>
                    <pic:cNvPicPr>
                      <a:picLocks noChangeArrowheads="1" noChangeAspect="1"/>
                    </pic:cNvPicPr>
                  </pic:nvPicPr>
                  <pic:blipFill>
                    <a:blip r:embed="rId14">
                      <a:extLst>
                        <a:ext uri="{28A0092B-C50C-407E-A947-70E740481C1C}">
                          <a14:useLocalDpi xmlns:a14="http://schemas.microsoft.com/office/drawing/2010/main" xmlns:mc="http://schemas.openxmlformats.org/markup-compatibility/2006" xmlns:w14="http://schemas.microsoft.com/office/word/2010/wordml" xmlns:w15="http://schemas.microsoft.com/office/word/2012/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5759450" cy="3372734"/>
                    </a:xfrm>
                    <a:prstGeom prst="rect">
                      <a:avLst/>
                    </a:prstGeom>
                    <a:noFill/>
                    <a:ln>
                      <a:noFill/>
                    </a:ln>
                  </pic:spPr>
                </pic:pic>
              </a:graphicData>
            </a:graphic>
          </wp:inline>
        </w:drawing>
      </w:r>
    </w:p>
    <w:p w:rsidP="00AC6DDA" w:rsidR="001548F9" w:rsidRDefault="001548F9" w:rsidRPr="005C672D">
      <w:pPr>
        <w:tabs>
          <w:tab w:pos="426" w:val="left"/>
        </w:tabs>
        <w:spacing w:before="29" w:line="288" w:lineRule="auto"/>
        <w:jc w:val="left"/>
        <w:rPr>
          <w:kern w:val="0"/>
          <w:sz w:val="24"/>
        </w:rPr>
      </w:pPr>
      <w:r w:rsidRPr="005C672D">
        <w:rPr>
          <w:kern w:val="0"/>
          <w:sz w:val="24"/>
        </w:rPr>
        <w:t>注：本基金建仓期为自基金合同生效日起的6个月。截至建仓期结束，本基金各项资产配置比例符合基金合同及招募说明书有关投资比例的约定。</w:t>
      </w:r>
    </w:p>
    <w:p w:rsidP="00AC6DDA" w:rsidR="001548F9" w:rsidRDefault="001548F9" w:rsidRPr="005C672D">
      <w:pPr>
        <w:spacing w:before="29" w:line="288" w:lineRule="auto"/>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9" w:name="_Toc331410078"/>
      <w:bookmarkStart w:id="20" w:name="_Toc225498254"/>
      <w:r w:rsidRPr="005C672D">
        <w:rPr>
          <w:b/>
          <w:bCs/>
          <w:szCs w:val="24"/>
          <w:lang w:val="en-US"/>
        </w:rPr>
        <w:t xml:space="preserve">4  </w:t>
      </w:r>
      <w:r w:rsidRPr="005C672D">
        <w:rPr>
          <w:b/>
          <w:bCs/>
          <w:szCs w:val="24"/>
          <w:lang w:val="en-US"/>
        </w:rPr>
        <w:t>管理人报告</w:t>
      </w:r>
      <w:bookmarkEnd w:id="19"/>
      <w:bookmarkEnd w:id="20"/>
    </w:p>
    <w:p w:rsidP="00AC6DDA" w:rsidR="001548F9" w:rsidRDefault="001548F9" w:rsidRPr="005C672D">
      <w:pPr>
        <w:pStyle w:val="20"/>
        <w:spacing w:after="0" w:before="29" w:line="288" w:lineRule="auto"/>
        <w:rPr>
          <w:rFonts w:ascii="Times New Roman" w:hAnsi="Times New Roman"/>
          <w:kern w:val="0"/>
          <w:szCs w:val="24"/>
        </w:rPr>
      </w:pPr>
      <w:bookmarkStart w:id="21"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1"/>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pPr>
        <w:spacing w:before="29" w:line="288" w:lineRule="auto"/>
        <w:ind w:firstLine="480" w:firstLineChars="200"/>
        <w:rPr>
          <w:color w:val="000000"/>
          <w:sz w:val="24"/>
        </w:rPr>
      </w:pPr>
      <w:r>
        <w:rPr>
          <w:color w:val="000000"/>
          <w:sz w:val="24"/>
        </w:rPr>
        <w:t>交银施罗德基金管理有限公司是经中国证监会证监基金字[2005]128号文批准，由交通银行股份有限公司、施罗德投资管理有限公司、中国国际海运集装箱（集团）股份有限公司共同发起设立。公司成立于2005年8月4日，注册地在中国上海，注册资本金为2亿元人民币。其中，交通银行股份有限公司持有65%的股份，施罗德投资管理有限公司持有30%的股份，中国国际海运集装箱（集团）股份有限公司持有5%的股份。公司并下设交银施罗德资产管理（香港）有限公司和交银施罗德资产管理有限公司。</w:t>
      </w:r>
    </w:p>
    <w:p w:rsidP="00AC6DDA" w:rsidR="001548F9" w:rsidRDefault="001548F9" w:rsidRPr="005C672D">
      <w:pPr>
        <w:spacing w:before="29" w:line="288" w:lineRule="auto"/>
        <w:ind w:firstLine="480" w:firstLineChars="200"/>
        <w:rPr>
          <w:color w:val="000000"/>
          <w:sz w:val="24"/>
        </w:rPr>
      </w:pPr>
      <w:r w:rsidRPr="005C672D">
        <w:rPr>
          <w:color w:val="000000"/>
          <w:sz w:val="24"/>
        </w:rPr>
        <w:t>截至报告期末，公司管理了包括货币型、债券型、普通混合型和股票型在内的80只基金，其中股票型涵盖普通指数型、交易型开放式（ETF）、QDII等不同类型基金。</w:t>
      </w:r>
    </w:p>
    <w:p w:rsidP="00AC6DDA" w:rsidR="001548F9" w:rsidRDefault="001548F9" w:rsidRPr="005C672D">
      <w:pPr>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033"/>
        <w:gridCol w:w="1416"/>
        <w:gridCol w:w="1126"/>
        <w:gridCol w:w="1192"/>
        <w:gridCol w:w="1169"/>
        <w:gridCol w:w="3062"/>
      </w:tblGrid>
      <w:tr w:rsidR="001548F9" w:rsidRPr="005C672D" w:rsidTr="00BA0FB8">
        <w:tc>
          <w:tcPr>
            <w:tcW w:type="dxa" w:w="109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lastRenderedPageBreak/>
              <w:t>姓名</w:t>
            </w:r>
          </w:p>
        </w:tc>
        <w:tc>
          <w:tcPr>
            <w:tcW w:type="dxa" w:w="150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职务</w:t>
            </w:r>
          </w:p>
        </w:tc>
        <w:tc>
          <w:tcPr>
            <w:tcW w:type="dxa" w:w="2450"/>
            <w:gridSpan w:val="2"/>
            <w:vAlign w:val="center"/>
          </w:tcPr>
          <w:p w:rsidP="00AC6DDA" w:rsidR="001728F8" w:rsidRDefault="001548F9" w:rsidRPr="005C672D">
            <w:pPr>
              <w:spacing w:before="29" w:line="288" w:lineRule="auto"/>
              <w:jc w:val="center"/>
              <w:rPr>
                <w:color w:val="000000"/>
                <w:sz w:val="24"/>
              </w:rPr>
            </w:pPr>
            <w:r w:rsidRPr="005C672D">
              <w:rPr>
                <w:color w:val="000000"/>
                <w:sz w:val="24"/>
              </w:rPr>
              <w:t>任本基金的基金经理</w:t>
            </w:r>
          </w:p>
          <w:p w:rsidP="00AC6DDA" w:rsidR="001548F9" w:rsidRDefault="001548F9" w:rsidRPr="005C672D">
            <w:pPr>
              <w:spacing w:before="29" w:line="288" w:lineRule="auto"/>
              <w:jc w:val="center"/>
              <w:rPr>
                <w:color w:val="000000"/>
                <w:sz w:val="24"/>
              </w:rPr>
            </w:pPr>
            <w:r w:rsidRPr="005C672D">
              <w:rPr>
                <w:color w:val="000000"/>
                <w:sz w:val="24"/>
              </w:rPr>
              <w:t>（助理）期限</w:t>
            </w:r>
          </w:p>
        </w:tc>
        <w:tc>
          <w:tcPr>
            <w:tcW w:type="dxa" w:w="1236"/>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证券从业年限</w:t>
            </w:r>
          </w:p>
        </w:tc>
        <w:tc>
          <w:tcPr>
            <w:tcW w:type="dxa" w:w="3264"/>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说明</w:t>
            </w:r>
          </w:p>
        </w:tc>
      </w:tr>
      <w:tr w:rsidR="001548F9" w:rsidRPr="005C672D" w:rsidTr="00BA0FB8">
        <w:tc>
          <w:tcPr>
            <w:tcW w:type="dxa" w:w="1090"/>
            <w:vMerge/>
            <w:vAlign w:val="center"/>
          </w:tcPr>
          <w:p w:rsidP="00AC6DDA" w:rsidR="001548F9" w:rsidRDefault="001548F9" w:rsidRPr="005C672D">
            <w:pPr>
              <w:widowControl/>
              <w:spacing w:before="29" w:line="288" w:lineRule="auto"/>
              <w:jc w:val="left"/>
              <w:rPr>
                <w:color w:val="000000"/>
                <w:sz w:val="24"/>
              </w:rPr>
            </w:pPr>
          </w:p>
        </w:tc>
        <w:tc>
          <w:tcPr>
            <w:tcW w:type="dxa" w:w="1500"/>
            <w:vMerge/>
            <w:vAlign w:val="center"/>
          </w:tcPr>
          <w:p w:rsidP="00AC6DDA" w:rsidR="001548F9" w:rsidRDefault="001548F9" w:rsidRPr="005C672D">
            <w:pPr>
              <w:widowControl/>
              <w:spacing w:before="29" w:line="288" w:lineRule="auto"/>
              <w:jc w:val="left"/>
              <w:rPr>
                <w:color w:val="000000"/>
                <w:sz w:val="24"/>
              </w:rPr>
            </w:pPr>
          </w:p>
        </w:tc>
        <w:tc>
          <w:tcPr>
            <w:tcW w:type="dxa" w:w="1190"/>
            <w:vAlign w:val="center"/>
          </w:tcPr>
          <w:p w:rsidP="00AC6DDA" w:rsidR="001548F9" w:rsidRDefault="001548F9" w:rsidRPr="005C672D">
            <w:pPr>
              <w:spacing w:before="29" w:line="288" w:lineRule="auto"/>
              <w:jc w:val="center"/>
              <w:rPr>
                <w:color w:val="000000"/>
                <w:sz w:val="24"/>
              </w:rPr>
            </w:pPr>
            <w:r w:rsidRPr="005C672D">
              <w:rPr>
                <w:color w:val="000000"/>
                <w:sz w:val="24"/>
              </w:rPr>
              <w:t>任职日期</w:t>
            </w:r>
          </w:p>
        </w:tc>
        <w:tc>
          <w:tcPr>
            <w:tcW w:type="dxa" w:w="1260"/>
            <w:vAlign w:val="center"/>
          </w:tcPr>
          <w:p w:rsidP="00AC6DDA" w:rsidR="001548F9" w:rsidRDefault="001548F9" w:rsidRPr="005C672D">
            <w:pPr>
              <w:spacing w:before="29" w:line="288" w:lineRule="auto"/>
              <w:jc w:val="center"/>
              <w:rPr>
                <w:color w:val="000000"/>
                <w:sz w:val="24"/>
              </w:rPr>
            </w:pPr>
            <w:r w:rsidRPr="005C672D">
              <w:rPr>
                <w:color w:val="000000"/>
                <w:sz w:val="24"/>
              </w:rPr>
              <w:t>离任日期</w:t>
            </w:r>
          </w:p>
        </w:tc>
        <w:tc>
          <w:tcPr>
            <w:tcW w:type="dxa" w:w="1236"/>
            <w:vMerge/>
            <w:vAlign w:val="center"/>
          </w:tcPr>
          <w:p w:rsidP="00AC6DDA" w:rsidR="001548F9" w:rsidRDefault="001548F9" w:rsidRPr="005C672D">
            <w:pPr>
              <w:widowControl/>
              <w:spacing w:before="29" w:line="288" w:lineRule="auto"/>
              <w:jc w:val="left"/>
              <w:rPr>
                <w:color w:val="000000"/>
                <w:sz w:val="24"/>
              </w:rPr>
            </w:pPr>
          </w:p>
        </w:tc>
        <w:tc>
          <w:tcPr>
            <w:tcW w:type="dxa" w:w="3264"/>
            <w:vMerge/>
            <w:vAlign w:val="center"/>
          </w:tcPr>
          <w:p w:rsidP="00AC6DDA" w:rsidR="001548F9" w:rsidRDefault="001548F9" w:rsidRPr="005C672D">
            <w:pPr>
              <w:widowControl/>
              <w:spacing w:before="29" w:line="288" w:lineRule="auto"/>
              <w:jc w:val="left"/>
              <w:rPr>
                <w:color w:val="000000"/>
                <w:sz w:val="24"/>
              </w:rPr>
            </w:pPr>
          </w:p>
        </w:tc>
      </w:tr>
      <w:tr>
        <w:tc>
          <w:tcPr>
            <w:vAlign w:val="center"/>
          </w:tcPr>
          <w:p>
            <w:pPr>
              <w:jc w:val="center"/>
            </w:pPr>
            <w:r>
              <w:rPr>
                <w:color w:val="000000"/>
                <w:sz w:val="24"/>
              </w:rPr>
              <w:t>陈孜铎</w:t>
            </w:r>
          </w:p>
        </w:tc>
        <w:tc>
          <w:tcPr>
            <w:vAlign w:val="center"/>
          </w:tcPr>
          <w:p>
            <w:pPr>
              <w:jc w:val="center"/>
            </w:pPr>
            <w:r>
              <w:rPr>
                <w:color w:val="000000"/>
                <w:sz w:val="24"/>
              </w:rPr>
              <w:t>交银稳健配置混合的基金经理，公司研究部助理总经理</w:t>
            </w:r>
          </w:p>
        </w:tc>
        <w:tc>
          <w:tcPr>
            <w:vAlign w:val="center"/>
          </w:tcPr>
          <w:p>
            <w:pPr>
              <w:jc w:val="center"/>
            </w:pPr>
            <w:r>
              <w:rPr>
                <w:color w:val="000000"/>
                <w:sz w:val="24"/>
              </w:rPr>
              <w:t>2018-07-04</w:t>
            </w:r>
          </w:p>
        </w:tc>
        <w:tc>
          <w:tcPr>
            <w:vAlign w:val="center"/>
          </w:tcPr>
          <w:p>
            <w:pPr>
              <w:jc w:val="center"/>
            </w:pPr>
            <w:r>
              <w:rPr>
                <w:color w:val="000000"/>
                <w:sz w:val="24"/>
              </w:rPr>
              <w:t>-</w:t>
            </w:r>
          </w:p>
        </w:tc>
        <w:tc>
          <w:tcPr>
            <w:vAlign w:val="center"/>
          </w:tcPr>
          <w:p>
            <w:pPr>
              <w:jc w:val="center"/>
            </w:pPr>
            <w:r>
              <w:rPr>
                <w:color w:val="000000"/>
                <w:sz w:val="24"/>
              </w:rPr>
              <w:t>11年</w:t>
            </w:r>
          </w:p>
        </w:tc>
        <w:tc>
          <w:tcPr>
            <w:vAlign w:val="center"/>
          </w:tcPr>
          <w:p>
            <w:pPr>
              <w:jc w:val="both"/>
            </w:pPr>
            <w:r>
              <w:rPr>
                <w:color w:val="000000"/>
                <w:sz w:val="24"/>
              </w:rPr>
              <w:t>陈孜铎先生，清华大学材料科学与工程硕士。2008年加入交银施罗德基金管理有限公司，历任行业分析师、高级研究员。2014年10月22日至2019年1月28日担任交银施罗德蓝筹混合型证券投资基金的基金经理。</w:t>
            </w:r>
          </w:p>
        </w:tc>
      </w:tr>
    </w:tbl>
    <w:p>
      <w:pPr>
        <w:tabs>
          <w:tab w:pos="426" w:val="left"/>
        </w:tabs>
        <w:spacing w:before="29" w:line="288" w:lineRule="auto"/>
        <w:jc w:val="left"/>
        <w:rPr>
          <w:kern w:val="0"/>
          <w:sz w:val="24"/>
        </w:rPr>
      </w:pPr>
      <w:r>
        <w:rPr>
          <w:kern w:val="0"/>
          <w:sz w:val="24"/>
        </w:rPr>
        <w:t>注：1、本表所列基金经理（助理）任职日期和离职日期均以基金合同生效日或公司作出决定并公告（如适用）之日为准。</w:t>
      </w:r>
    </w:p>
    <w:p>
      <w:pPr>
        <w:tabs>
          <w:tab w:pos="426" w:val="left"/>
        </w:tabs>
        <w:spacing w:before="29" w:line="288" w:lineRule="auto"/>
        <w:jc w:val="left"/>
        <w:rPr>
          <w:kern w:val="0"/>
          <w:sz w:val="24"/>
        </w:rPr>
      </w:pPr>
      <w:r>
        <w:rPr>
          <w:kern w:val="0"/>
          <w:sz w:val="24"/>
        </w:rPr>
        <w:t>2、本表所列基金经理（助理）证券从业年限中的“证券从业”的含义遵从中国证券业协会《证券业从业人员资格管理办法》的相关规定。</w:t>
      </w:r>
    </w:p>
    <w:p w:rsidP="00AC6DDA" w:rsidR="001548F9" w:rsidRDefault="001548F9" w:rsidRPr="005C672D">
      <w:pPr>
        <w:tabs>
          <w:tab w:pos="426" w:val="left"/>
        </w:tabs>
        <w:spacing w:before="29" w:line="288" w:lineRule="auto"/>
        <w:jc w:val="left"/>
        <w:rPr>
          <w:kern w:val="0"/>
          <w:sz w:val="24"/>
        </w:rPr>
      </w:pPr>
      <w:r w:rsidRPr="005C672D">
        <w:rPr>
          <w:kern w:val="0"/>
          <w:sz w:val="24"/>
        </w:rPr>
        <w:t>3、基金经理（或基金经理小组）期后变动（如有）敬请关注基金管理人发布的相关公告。</w:t>
      </w:r>
    </w:p>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22" w:name="_Toc331410080"/>
      <w:bookmarkStart w:id="23"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2"/>
      <w:bookmarkEnd w:id="23"/>
    </w:p>
    <w:p w:rsidP="00AC6DDA" w:rsidR="001548F9" w:rsidRDefault="001548F9" w:rsidRPr="005C672D">
      <w:pPr>
        <w:spacing w:before="29" w:line="288" w:lineRule="auto"/>
        <w:ind w:firstLine="480" w:firstLineChars="200"/>
        <w:rPr>
          <w:color w:val="000000"/>
          <w:sz w:val="24"/>
        </w:rPr>
      </w:pPr>
      <w:r w:rsidRPr="005C672D">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24" w:name="_Toc331410081"/>
      <w:bookmarkStart w:id="25"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4"/>
      <w:bookmarkEnd w:id="25"/>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AC6DDA" w:rsidR="001548F9" w:rsidRDefault="001548F9" w:rsidRPr="005C672D">
      <w:pPr>
        <w:spacing w:before="29" w:line="288" w:lineRule="auto"/>
        <w:ind w:firstLine="480" w:firstLineChars="200"/>
        <w:rPr>
          <w:color w:val="000000"/>
          <w:sz w:val="24"/>
        </w:rPr>
      </w:pPr>
      <w:r w:rsidRPr="005C672D">
        <w:rPr>
          <w:color w:val="000000"/>
          <w:sz w:val="24"/>
        </w:rPr>
        <w:t>报告期内本公司严格执行公平交易制度，公平对待旗下各投资组合，未发现任何违反公平交易的行为。</w:t>
      </w:r>
    </w:p>
    <w:p w:rsidP="00AC6DDA" w:rsidR="001548F9" w:rsidRDefault="001548F9" w:rsidRPr="005C672D">
      <w:pPr>
        <w:spacing w:before="29" w:line="288" w:lineRule="auto"/>
        <w:jc w:val="left"/>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5%的情况有1次，是投资组合因投资策略需要而发生同日反向交易，未发现不公平交易和利益输送的情况。本基金与本公司管理的其他投资组合在不同时间窗下（如日内、3日内、5日内）同向交易的交易价差未发现异常。</w:t>
      </w:r>
    </w:p>
    <w:p w:rsidP="00AC6DDA" w:rsidR="001548F9" w:rsidRDefault="001548F9" w:rsidRPr="005C672D">
      <w:pPr>
        <w:spacing w:before="29" w:line="288" w:lineRule="auto"/>
        <w:ind w:firstLine="480" w:firstLineChars="200"/>
        <w:rPr>
          <w:color w:val="000000"/>
          <w:kern w:val="0"/>
          <w:sz w:val="24"/>
        </w:rPr>
      </w:pPr>
    </w:p>
    <w:p w:rsidP="00AC6DDA" w:rsidR="00C02A8F" w:rsidRDefault="001548F9" w:rsidRPr="005C672D">
      <w:pPr>
        <w:pStyle w:val="20"/>
        <w:spacing w:after="0" w:before="29" w:line="288" w:lineRule="auto"/>
        <w:rPr>
          <w:rFonts w:ascii="Times New Roman" w:hAnsi="Times New Roman"/>
          <w:kern w:val="0"/>
          <w:szCs w:val="24"/>
        </w:rPr>
      </w:pPr>
      <w:bookmarkStart w:id="26" w:name="_Toc331410082"/>
      <w:bookmarkStart w:id="27"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6"/>
      <w:bookmarkEnd w:id="27"/>
    </w:p>
    <w:p w:rsidP="00AC6DDA" w:rsidR="00C02A8F" w:rsidRDefault="00C02A8F" w:rsidRPr="005C672D">
      <w:pPr>
        <w:spacing w:before="29" w:line="288" w:lineRule="auto"/>
        <w:rPr>
          <w:b/>
          <w:sz w:val="24"/>
        </w:rPr>
      </w:pPr>
      <w:r w:rsidRPr="005C672D">
        <w:rPr>
          <w:b/>
          <w:sz w:val="24"/>
        </w:rPr>
        <w:t>4.4.1</w:t>
      </w:r>
      <w:r w:rsidRPr="005C672D">
        <w:rPr>
          <w:b/>
          <w:sz w:val="24"/>
        </w:rPr>
        <w:t>报告期内基金投资策略和运作分析</w:t>
      </w:r>
    </w:p>
    <w:p>
      <w:pPr>
        <w:spacing w:before="29" w:line="288" w:lineRule="auto"/>
        <w:ind w:firstLine="480" w:firstLineChars="200"/>
        <w:rPr>
          <w:color w:val="000000"/>
          <w:sz w:val="24"/>
        </w:rPr>
      </w:pPr>
      <w:r>
        <w:rPr>
          <w:color w:val="000000"/>
          <w:sz w:val="24"/>
        </w:rPr>
        <w:t>2019年上半年A股市场整体上涨，对2018年的跌幅有所修复。受贸易摩擦预期以及国内整体流动性边际改善影响，整体A股市场在经历2018年大幅下跌之后，整个一季度估值快速修复，同时风险偏好快速提升。在一季度大幅单边上涨后，市场在二季度进入调整期。市场调整最主要的因素有两点：一是一季度流动性状况和经济表现好于预期之后，市场对整体经济流动性宽松的预期有所下降；二是中美贸易摩擦形势再次趋于紧张，国内高技术企业发展受到美国政府的制裁威胁。</w:t>
      </w:r>
    </w:p>
    <w:p w:rsidP="00AC6DDA" w:rsidR="00C02A8F" w:rsidRDefault="00C02A8F" w:rsidRPr="005C672D">
      <w:pPr>
        <w:spacing w:before="29" w:line="288" w:lineRule="auto"/>
        <w:ind w:firstLine="480" w:firstLineChars="200"/>
        <w:rPr>
          <w:color w:val="000000"/>
          <w:sz w:val="24"/>
        </w:rPr>
      </w:pPr>
      <w:r w:rsidRPr="005C672D">
        <w:rPr>
          <w:color w:val="000000"/>
          <w:sz w:val="24"/>
        </w:rPr>
        <w:t>在上述市场环境当中，本基金继续维持稳健均衡配置，取得一定幅度正收益。</w:t>
      </w:r>
    </w:p>
    <w:p w:rsidP="00AC6DDA" w:rsidR="001548F9" w:rsidRDefault="001548F9" w:rsidRPr="005C672D">
      <w:pPr>
        <w:spacing w:before="29" w:line="288" w:lineRule="auto"/>
        <w:ind w:firstLine="480" w:firstLineChars="200"/>
        <w:rPr>
          <w:kern w:val="0"/>
          <w:sz w:val="24"/>
        </w:rPr>
      </w:pPr>
    </w:p>
    <w:p w:rsidP="00AC6DDA" w:rsidR="001548F9" w:rsidRDefault="001548F9" w:rsidRPr="005C672D">
      <w:pPr>
        <w:spacing w:before="29" w:line="288" w:lineRule="auto"/>
        <w:rPr>
          <w:b/>
          <w:sz w:val="24"/>
        </w:rPr>
      </w:pPr>
      <w:r w:rsidRPr="005C672D">
        <w:rPr>
          <w:b/>
          <w:sz w:val="24"/>
        </w:rPr>
        <w:t xml:space="preserve">4.4.2 </w:t>
      </w:r>
      <w:r w:rsidRPr="005C672D">
        <w:rPr>
          <w:b/>
          <w:sz w:val="24"/>
        </w:rPr>
        <w:t>报告期内基金的业绩表现</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本基金（各类）份额净值及业绩表现请见“3.1主要会计数据和财务指标” 及“3.2.1基金份额净值增长率及其与同期业绩比较基准收益率的比较”部分披露。</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28" w:name="_Toc331410083"/>
      <w:bookmarkStart w:id="29"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8"/>
      <w:bookmarkEnd w:id="29"/>
    </w:p>
    <w:p w:rsidP="00AC6DDA" w:rsidR="001548F9" w:rsidRDefault="001548F9" w:rsidRPr="005C672D">
      <w:pPr>
        <w:spacing w:before="29" w:line="288" w:lineRule="auto"/>
        <w:ind w:firstLine="480" w:firstLineChars="200"/>
        <w:rPr>
          <w:color w:val="000000"/>
          <w:sz w:val="24"/>
        </w:rPr>
      </w:pPr>
      <w:r w:rsidRPr="005C672D">
        <w:rPr>
          <w:color w:val="000000"/>
          <w:sz w:val="24"/>
        </w:rPr>
        <w:t>展望2019年下半年，贸易摩擦形势的波动预计将更加常态化，中美最终达成协议是市场预期的最终结果，但即使此次达成协议之后，在更长的时间尺度内两国加剧的竞争形势依然会对市场有持续的影响。此外，在今明两年经济见底之后，中国经济体发展由解决周期性问题向解决结构性问题过渡的进程也更为迫切。在当前市场环境下，本基金将更为关注传统行业中在周期波动中竞争优势凸显价值被低估、行业地位突出的公司，在转型过程中更关注长期前景的中微观路径日渐明晰的公司，积极寻找投资机会，力求持续稳健均衡地创造绝对回报。</w:t>
      </w:r>
    </w:p>
    <w:p w:rsidP="00AC6DDA" w:rsidR="001548F9" w:rsidRDefault="001548F9" w:rsidRPr="005C672D">
      <w:pPr>
        <w:autoSpaceDE w:val="0"/>
        <w:autoSpaceDN w:val="0"/>
        <w:adjustRightInd w:val="0"/>
        <w:spacing w:before="29" w:line="288" w:lineRule="auto"/>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30" w:name="_Toc331410085"/>
      <w:bookmarkStart w:id="31" w:name="_Toc247959457"/>
      <w:bookmarkStart w:id="32"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30"/>
      <w:bookmarkEnd w:id="31"/>
      <w:bookmarkEnd w:id="32"/>
    </w:p>
    <w:p>
      <w:pPr>
        <w:spacing w:before="29" w:line="288" w:lineRule="auto"/>
        <w:ind w:firstLine="480" w:firstLineChars="20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pPr>
        <w:spacing w:before="29" w:line="288" w:lineRule="auto"/>
        <w:ind w:firstLine="480" w:firstLineChars="20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P="00AC6DDA" w:rsidR="001548F9" w:rsidRDefault="001548F9" w:rsidRPr="005C672D">
      <w:pPr>
        <w:spacing w:before="29" w:line="288" w:lineRule="auto"/>
        <w:ind w:firstLine="480" w:firstLineChars="20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P="00AC6DDA" w:rsidR="001548F9" w:rsidRDefault="001548F9" w:rsidRPr="005C672D">
      <w:pPr>
        <w:autoSpaceDE w:val="0"/>
        <w:autoSpaceDN w:val="0"/>
        <w:adjustRightInd w:val="0"/>
        <w:spacing w:before="29" w:line="288" w:lineRule="auto"/>
        <w:ind w:firstLine="482"/>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33" w:name="_Toc331410086"/>
      <w:bookmarkStart w:id="34" w:name="_Toc247959458"/>
      <w:bookmarkStart w:id="35" w:name="_Toc225570084"/>
      <w:r w:rsidRPr="005C672D">
        <w:rPr>
          <w:rFonts w:ascii="Times New Roman" w:hAnsi="Times New Roman"/>
          <w:kern w:val="0"/>
          <w:szCs w:val="24"/>
        </w:rPr>
        <w:lastRenderedPageBreak/>
        <w:t xml:space="preserve">4.7 </w:t>
      </w:r>
      <w:r w:rsidRPr="005C672D">
        <w:rPr>
          <w:rFonts w:ascii="Times New Roman" w:hAnsi="Times New Roman"/>
          <w:kern w:val="0"/>
          <w:szCs w:val="24"/>
        </w:rPr>
        <w:t>管理人对报告期内基金利润分配情况的说明</w:t>
      </w:r>
      <w:bookmarkEnd w:id="33"/>
      <w:bookmarkEnd w:id="34"/>
      <w:bookmarkEnd w:id="35"/>
    </w:p>
    <w:p w:rsidP="00AC6DDA" w:rsidR="001548F9" w:rsidRDefault="001548F9" w:rsidRPr="005C672D">
      <w:pPr>
        <w:spacing w:before="29" w:line="288" w:lineRule="auto"/>
        <w:ind w:firstLine="480" w:firstLineChars="200"/>
        <w:rPr>
          <w:color w:val="000000"/>
          <w:sz w:val="24"/>
        </w:rPr>
      </w:pPr>
      <w:r w:rsidRPr="005C672D">
        <w:rPr>
          <w:color w:val="000000"/>
          <w:sz w:val="24"/>
        </w:rPr>
        <w:t/>
      </w:r>
      <w:r w:rsidR="00AC005A" w:rsidRPr="005C672D">
        <w:rPr>
          <w:color w:val="000000"/>
          <w:sz w:val="24"/>
        </w:rPr>
        <w:t/>
      </w:r>
      <w:r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Pr="005C672D">
        <w:rPr>
          <w:color w:val="000000"/>
          <w:sz w:val="24"/>
        </w:rPr>
        <w:t>本基金本报告期内未进行利润分配。</w:t>
      </w:r>
    </w:p>
    <w:p w:rsidP="00AC6DDA" w:rsidR="009D64CD" w:rsidRDefault="009D64CD" w:rsidRPr="005C672D">
      <w:pPr>
        <w:spacing w:before="29" w:line="288" w:lineRule="auto"/>
        <w:ind w:firstLine="480" w:firstLineChars="200"/>
        <w:rPr>
          <w:color w:val="000000"/>
          <w:sz w:val="24"/>
        </w:rPr>
      </w:pPr>
    </w:p>
    <w:p w:rsidP="009D64CD" w:rsidR="009D64CD" w:rsidRDefault="006A2B03"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t/>
      </w:r>
      <w:r w:rsidR="009D64CD" w:rsidRPr="005C672D">
        <w:rPr>
          <w:rFonts w:ascii="Times New Roman" w:hAnsi="Times New Roman"/>
          <w:kern w:val="0"/>
          <w:szCs w:val="24"/>
        </w:rPr>
        <w:t xml:space="preserve">4.8 </w:t>
      </w:r>
      <w:r w:rsidR="009D64CD" w:rsidRPr="005C672D">
        <w:rPr>
          <w:rFonts w:ascii="Times New Roman" w:hAnsi="Times New Roman"/>
          <w:kern w:val="0"/>
          <w:szCs w:val="24"/>
        </w:rPr>
        <w:t>报告期内管理人对本基金持有人数或基金资产净值预警情形的说明</w:t>
      </w:r>
    </w:p>
    <w:p w:rsidP="009D64CD" w:rsidR="009D64CD" w:rsidRDefault="009D64CD" w:rsidRPr="005C672D">
      <w:pPr>
        <w:spacing w:before="29" w:line="288" w:lineRule="auto"/>
        <w:ind w:firstLine="480" w:firstLineChars="200"/>
        <w:rPr>
          <w:kern w:val="0"/>
          <w:sz w:val="24"/>
        </w:rPr>
      </w:pPr>
      <w:r w:rsidRPr="005C672D">
        <w:rPr>
          <w:kern w:val="0"/>
          <w:sz w:val="24"/>
        </w:rPr>
        <w:t>本基金本报告期内无需预警说明。</w:t>
      </w:r>
    </w:p>
    <w:p w:rsidP="00AC6DDA" w:rsidR="009D64CD" w:rsidRDefault="009D64CD" w:rsidRPr="005C672D">
      <w:pPr>
        <w:spacing w:before="29" w:line="288" w:lineRule="auto"/>
        <w:ind w:firstLine="480" w:firstLineChars="200"/>
        <w:rPr>
          <w:color w:val="000000"/>
          <w:sz w:val="24"/>
        </w:rPr>
      </w:pPr>
    </w:p>
    <w:p w:rsidP="00AC6DDA" w:rsidR="004266C8" w:rsidRDefault="004266C8" w:rsidRPr="005C672D">
      <w:pPr>
        <w:spacing w:before="29" w:line="288" w:lineRule="auto"/>
        <w:ind w:firstLine="480" w:firstLineChars="200"/>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36" w:name="_Toc331410088"/>
      <w:bookmarkStart w:id="37" w:name="_Toc225498263"/>
      <w:r w:rsidRPr="005C672D">
        <w:rPr>
          <w:b/>
          <w:bCs/>
          <w:szCs w:val="24"/>
          <w:lang w:val="en-US"/>
        </w:rPr>
        <w:t xml:space="preserve">5  </w:t>
      </w:r>
      <w:r w:rsidRPr="005C672D">
        <w:rPr>
          <w:b/>
          <w:bCs/>
          <w:szCs w:val="24"/>
          <w:lang w:val="en-US"/>
        </w:rPr>
        <w:t>托管人报告</w:t>
      </w:r>
      <w:bookmarkEnd w:id="36"/>
      <w:bookmarkEnd w:id="37"/>
    </w:p>
    <w:p w:rsidP="00AC6DDA" w:rsidR="001548F9" w:rsidRDefault="001548F9" w:rsidRPr="005C672D">
      <w:pPr>
        <w:pStyle w:val="20"/>
        <w:spacing w:after="0" w:before="29" w:line="288" w:lineRule="auto"/>
        <w:rPr>
          <w:rFonts w:ascii="Times New Roman" w:hAnsi="Times New Roman"/>
          <w:kern w:val="0"/>
          <w:szCs w:val="24"/>
        </w:rPr>
      </w:pPr>
      <w:bookmarkStart w:id="38" w:name="_Toc331410089"/>
      <w:bookmarkStart w:id="39"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8"/>
      <w:bookmarkEnd w:id="39"/>
    </w:p>
    <w:p w:rsidP="00AC6DDA" w:rsidR="001548F9" w:rsidRDefault="001548F9" w:rsidRPr="005C672D">
      <w:pPr>
        <w:spacing w:before="29" w:line="288" w:lineRule="auto"/>
        <w:ind w:firstLine="480" w:firstLineChars="200"/>
        <w:rPr>
          <w:color w:val="000000"/>
          <w:sz w:val="24"/>
        </w:rPr>
      </w:pPr>
      <w:r w:rsidRPr="005C672D">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40" w:name="_Toc225498265"/>
      <w:bookmarkStart w:id="41"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40"/>
      <w:r w:rsidRPr="005C672D">
        <w:rPr>
          <w:rFonts w:ascii="Times New Roman" w:hAnsi="Times New Roman"/>
          <w:kern w:val="0"/>
          <w:szCs w:val="24"/>
        </w:rPr>
        <w:t>说明</w:t>
      </w:r>
      <w:bookmarkEnd w:id="41"/>
    </w:p>
    <w:p>
      <w:pPr>
        <w:spacing w:before="29" w:line="288" w:lineRule="auto"/>
        <w:ind w:firstLine="480" w:firstLineChars="20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P="00AC6DDA" w:rsidR="001548F9" w:rsidRDefault="001548F9" w:rsidRPr="005C672D">
      <w:pPr>
        <w:spacing w:before="29" w:line="288" w:lineRule="auto"/>
        <w:ind w:firstLine="480" w:firstLineChars="200"/>
        <w:rPr>
          <w:color w:val="000000"/>
          <w:sz w:val="24"/>
        </w:rPr>
      </w:pPr>
      <w:r w:rsidRPr="005C672D">
        <w:rPr>
          <w:color w:val="000000"/>
          <w:sz w:val="24"/>
        </w:rPr>
        <w:t>报告期内，本基金未实施利润分配。</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42" w:name="_Toc331410091"/>
      <w:bookmarkStart w:id="43"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2"/>
      <w:bookmarkEnd w:id="43"/>
    </w:p>
    <w:p w:rsidP="00AC6DDA" w:rsidR="001548F9" w:rsidRDefault="001548F9" w:rsidRPr="005C672D">
      <w:pPr>
        <w:spacing w:before="29" w:line="288" w:lineRule="auto"/>
        <w:ind w:firstLine="480" w:firstLineChars="200"/>
        <w:rPr>
          <w:color w:val="000000"/>
          <w:sz w:val="24"/>
        </w:rPr>
      </w:pPr>
      <w:r w:rsidRPr="005C672D">
        <w:rPr>
          <w:color w:val="000000"/>
          <w:sz w:val="24"/>
        </w:rPr>
        <w:t>本托管人复核审查了本报告中的财务指标、净值表现、利润分配情况、财务会计报告、投资组合报告等内容，保证复核内容不存在虚假记载、误导性陈述或者重大遗漏。</w:t>
      </w:r>
    </w:p>
    <w:p w:rsidP="00AC6DDA" w:rsidR="001127DC" w:rsidRDefault="001127DC" w:rsidRPr="005C672D">
      <w:pPr>
        <w:spacing w:before="29" w:line="288" w:lineRule="auto"/>
        <w:ind w:firstLine="480" w:firstLineChars="200"/>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44" w:name="_Toc331410096"/>
      <w:r w:rsidRPr="005C672D">
        <w:rPr>
          <w:b/>
          <w:bCs/>
          <w:szCs w:val="24"/>
          <w:lang w:val="en-US"/>
        </w:rPr>
        <w:t>6</w:t>
      </w:r>
      <w:bookmarkEnd w:id="44"/>
      <w:r w:rsidRPr="005C672D">
        <w:rPr>
          <w:b/>
          <w:bCs/>
          <w:szCs w:val="24"/>
          <w:lang w:val="en-US"/>
        </w:rPr>
        <w:t>半年度财务会计报告（未经审计）</w:t>
      </w:r>
    </w:p>
    <w:p w:rsidP="00AC6DDA" w:rsidR="006C5149" w:rsidRDefault="006C5149" w:rsidRPr="005C672D">
      <w:pPr>
        <w:pStyle w:val="20"/>
        <w:spacing w:after="0" w:before="29" w:line="288" w:lineRule="auto"/>
        <w:rPr>
          <w:rFonts w:ascii="Times New Roman" w:hAnsi="Times New Roman"/>
          <w:kern w:val="0"/>
          <w:szCs w:val="24"/>
        </w:rPr>
      </w:pPr>
      <w:bookmarkStart w:id="45" w:name="_Toc225498268"/>
      <w:bookmarkStart w:id="46"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5"/>
      <w:bookmarkEnd w:id="46"/>
    </w:p>
    <w:p w:rsidP="00AC6DDA" w:rsidR="006C5149" w:rsidRDefault="006C5149" w:rsidRPr="005C672D">
      <w:pPr>
        <w:spacing w:before="29" w:line="288" w:lineRule="auto"/>
        <w:rPr>
          <w:color w:val="000000"/>
          <w:sz w:val="24"/>
        </w:rPr>
      </w:pPr>
      <w:r w:rsidRPr="005C672D">
        <w:rPr>
          <w:color w:val="000000"/>
          <w:sz w:val="24"/>
        </w:rPr>
        <w:t>会计主体：</w:t>
      </w:r>
      <w:r w:rsidRPr="005C672D">
        <w:rPr>
          <w:color w:val="000000"/>
          <w:sz w:val="24"/>
        </w:rPr>
        <w:t>交银施罗德稳健配置混合型证券投资基金</w:t>
      </w:r>
    </w:p>
    <w:p w:rsidP="00AC6DDA" w:rsidR="006C5149" w:rsidRDefault="006C5149" w:rsidRPr="005C672D">
      <w:pPr>
        <w:spacing w:before="29" w:line="288" w:lineRule="auto"/>
        <w:rPr>
          <w:color w:val="000000"/>
          <w:sz w:val="24"/>
        </w:rPr>
      </w:pPr>
      <w:r w:rsidRPr="005C672D">
        <w:rPr>
          <w:color w:val="000000"/>
          <w:sz w:val="24"/>
        </w:rPr>
        <w:t>报告截止日：</w:t>
      </w:r>
      <w:r w:rsidRPr="005C672D">
        <w:rPr>
          <w:color w:val="000000"/>
          <w:sz w:val="24"/>
        </w:rPr>
        <w:t>2019年6月30日</w:t>
      </w:r>
    </w:p>
    <w:p w:rsidP="00AC6DDA" w:rsidR="006C5149" w:rsidRDefault="006C514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880"/>
        <w:gridCol w:w="1080"/>
        <w:gridCol w:w="2520"/>
        <w:gridCol w:w="2520"/>
      </w:tblGrid>
      <w:tr w:rsidR="006C5149" w:rsidRPr="005C672D" w:rsidTr="00BA0FB8">
        <w:tc>
          <w:tcPr>
            <w:tcW w:type="dxa" w:w="28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type="dxa" w:w="10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kern w:val="2"/>
              </w:rPr>
              <w:t>2019年6月30日</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2018年12月31日</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资产：</w:t>
            </w:r>
          </w:p>
        </w:tc>
        <w:tc>
          <w:tcPr>
            <w:tcW w:type="dxa" w:w="1080"/>
            <w:vAlign w:val="center"/>
          </w:tcPr>
          <w:p w:rsidP="00AC6DDA" w:rsidR="006C5149" w:rsidRDefault="0006098B" w:rsidRPr="003A6CAB">
            <w:pPr>
              <w:widowControl/>
              <w:autoSpaceDE w:val="0"/>
              <w:autoSpaceDN w:val="0"/>
              <w:spacing w:before="29" w:line="288" w:lineRule="auto"/>
              <w:ind w:right="-15"/>
              <w:jc w:val="center"/>
              <w:textAlignment w:val="bottom"/>
              <w:rPr>
                <w:color w:val="000000"/>
                <w:sz w:val="24"/>
              </w:rPr>
            </w:pPr>
            <w:r w:rsidRPr="003A6CAB">
              <w:rPr>
                <w:rFonts w:eastAsiaTheme="minorEastAsia"/>
                <w:color w:themeColor="text1" w:val="000000"/>
                <w:szCs w:val="21"/>
              </w:rPr>
              <w:t/>
            </w:r>
          </w:p>
        </w:tc>
        <w:tc>
          <w:tcPr>
            <w:tcW w:type="dxa" w:w="2520"/>
            <w:vAlign w:val="center"/>
          </w:tcPr>
          <w:p w:rsidP="00AC6DDA" w:rsidR="006C5149" w:rsidRDefault="006C5149" w:rsidRPr="005C672D">
            <w:pPr>
              <w:spacing w:before="29" w:line="288" w:lineRule="auto"/>
              <w:jc w:val="right"/>
              <w:rPr>
                <w:color w:val="000000"/>
                <w:sz w:val="24"/>
              </w:rPr>
            </w:pPr>
          </w:p>
        </w:tc>
        <w:tc>
          <w:tcPr>
            <w:tcW w:type="dxa" w:w="2520"/>
            <w:vAlign w:val="center"/>
          </w:tcPr>
          <w:p w:rsidP="00AC6DDA" w:rsidR="006C5149" w:rsidRDefault="006C5149" w:rsidRPr="005C672D">
            <w:pPr>
              <w:spacing w:before="29" w:line="288" w:lineRule="auto"/>
              <w:jc w:val="right"/>
              <w:rPr>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银行存款</w:t>
            </w:r>
          </w:p>
        </w:tc>
        <w:tc>
          <w:tcPr>
            <w:tcW w:type="dxa" w:w="1080"/>
            <w:vAlign w:val="center"/>
          </w:tcPr>
          <w:p w:rsidP="00AC6DDA" w:rsidR="006C5149" w:rsidRDefault="0006098B" w:rsidRPr="003A6CAB">
            <w:pPr>
              <w:widowControl/>
              <w:autoSpaceDE w:val="0"/>
              <w:autoSpaceDN w:val="0"/>
              <w:spacing w:before="29" w:line="288" w:lineRule="auto"/>
              <w:ind w:right="-15"/>
              <w:jc w:val="center"/>
              <w:textAlignment w:val="bottom"/>
              <w:rPr>
                <w:color w:val="000000"/>
                <w:sz w:val="24"/>
              </w:rPr>
            </w:pPr>
            <w:r w:rsidRPr="003A6CAB">
              <w:rPr>
                <w:rFonts w:eastAsiaTheme="minorEastAsia"/>
                <w:color w:themeColor="text1" w:val="000000"/>
                <w:szCs w:val="21"/>
              </w:rPr>
              <w:t>6.4.7.1</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482,396,463.56</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398,888,275.60</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结算备付金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
            </w:r>
            <w:r w:rsidRPr="005C672D">
              <w:rPr>
                <w:color w:val="000000"/>
                <w:sz w:val="24"/>
              </w:rPr>
              <w:lastRenderedPageBreak/>
              <w:t>5,809,843.02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lastRenderedPageBreak/>
              <w:t/>
            </w:r>
            <w:r w:rsidRPr="005C672D">
              <w:rPr>
                <w:color w:val="000000"/>
                <w:sz w:val="24"/>
              </w:rPr>
              <w:lastRenderedPageBreak/>
              <w:t>5,709,640.31</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lastRenderedPageBreak/>
              <w:t>存出保证金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1,584,420.58</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1,612,843.78</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交易性金融资产</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2,491,297,758.56</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2,548,132,641.01</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其中：股票投资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2,488,038,069.64</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2,370,882,701.49</w:t>
            </w:r>
          </w:p>
        </w:tc>
      </w:tr>
      <w:tr w:rsidR="006C5149" w:rsidRPr="005C672D" w:rsidTr="00BA0FB8">
        <w:tc>
          <w:tcPr>
            <w:tcW w:type="dxa" w:w="2880"/>
            <w:vAlign w:val="center"/>
          </w:tcPr>
          <w:p w:rsidP="00AC6DDA" w:rsidR="006C5149" w:rsidRDefault="006C5149" w:rsidRPr="005C672D">
            <w:pPr>
              <w:pStyle w:val="af6"/>
              <w:spacing w:before="29" w:beforeAutospacing="0" w:line="288" w:lineRule="auto"/>
              <w:ind w:firstLine="720" w:firstLineChars="300"/>
              <w:jc w:val="both"/>
              <w:rPr>
                <w:rFonts w:ascii="Times New Roman" w:hAnsi="Times New Roman"/>
                <w:color w:val="000000"/>
              </w:rPr>
            </w:pPr>
            <w:r w:rsidRPr="005C672D">
              <w:rPr>
                <w:rFonts w:ascii="Times New Roman" w:hAnsi="Times New Roman"/>
                <w:color w:val="000000"/>
              </w:rPr>
              <w:t>基金投资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债券投资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3,259,688.92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177,249,939.52</w:t>
            </w:r>
          </w:p>
        </w:tc>
      </w:tr>
      <w:tr w:rsidR="006C5149" w:rsidRPr="005C672D" w:rsidTr="00BA0FB8">
        <w:tc>
          <w:tcPr>
            <w:tcW w:type="dxa" w:w="288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资产支持证券投资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7529D6" w:rsidR="007529D6" w:rsidRDefault="007529D6" w:rsidRPr="005C672D">
            <w:pPr>
              <w:spacing w:before="29" w:line="288" w:lineRule="auto"/>
              <w:ind w:firstLine="720" w:firstLineChars="300"/>
              <w:rPr>
                <w:color w:val="000000"/>
                <w:sz w:val="24"/>
              </w:rPr>
            </w:pPr>
            <w:r w:rsidRPr="005C672D">
              <w:rPr>
                <w:color w:val="000000"/>
                <w:sz w:val="24"/>
              </w:rPr>
              <w:t>贵金属投资</w:t>
            </w:r>
          </w:p>
        </w:tc>
        <w:tc>
          <w:tcPr>
            <w:tcW w:type="dxa" w:w="1080"/>
            <w:vAlign w:val="center"/>
          </w:tcPr>
          <w:p w:rsidP="0006098B" w:rsidR="007529D6" w:rsidRDefault="0006098B" w:rsidRPr="003A6CAB">
            <w:pPr>
              <w:spacing w:line="360" w:lineRule="auto"/>
              <w:jc w:val="center"/>
              <w:rPr>
                <w:rFonts w:eastAsiaTheme="minorEastAsia"/>
                <w:color w:val="000000"/>
                <w:szCs w:val="21"/>
              </w:rPr>
            </w:pPr>
            <w:r w:rsidRPr="003A6CAB">
              <w:rPr>
                <w:rFonts w:eastAsiaTheme="minorEastAsia"/>
                <w:color w:themeColor="text1" w:val="000000"/>
                <w:szCs w:val="21"/>
              </w:rPr>
              <w:t/>
            </w:r>
          </w:p>
        </w:tc>
        <w:tc>
          <w:tcPr>
            <w:tcW w:type="dxa" w:w="2520"/>
            <w:vAlign w:val="center"/>
          </w:tcPr>
          <w:p w:rsidP="007529D6"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7529D6"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衍生金融资产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6.4.7.3</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买入返售金融资产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6.4.7.4</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150,000,425.00</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应收证券清算款</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7,164,646.97</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应收利息</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6.4.7.5</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98,910.19</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1,208,017.18</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应收股利</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应收申购款</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420,335.89</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797,854.66</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递延所得税资产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其他资产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6.4.7.6</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
            </w:r>
            <w:r w:rsidRPr="005C672D">
              <w:rPr>
                <w:color w:val="000000"/>
                <w:sz w:val="24"/>
              </w:rPr>
              <w:lastRenderedPageBreak/>
              <w:t>-</w:t>
            </w:r>
          </w:p>
        </w:tc>
      </w:tr>
      <w:tr w:rsidR="007529D6" w:rsidRPr="005C672D" w:rsidTr="00BA0FB8">
        <w:tc>
          <w:tcPr>
            <w:tcW w:type="dxa" w:w="2880"/>
            <w:vAlign w:val="center"/>
          </w:tcPr>
          <w:p w:rsidP="00AC6DDA" w:rsidR="007529D6" w:rsidRDefault="007529D6" w:rsidRPr="005C672D">
            <w:pPr>
              <w:spacing w:before="29" w:line="288" w:lineRule="auto"/>
              <w:rPr>
                <w:b/>
                <w:color w:val="000000"/>
                <w:sz w:val="24"/>
              </w:rPr>
            </w:pPr>
            <w:r w:rsidRPr="005C672D">
              <w:rPr>
                <w:b/>
                <w:color w:val="000000"/>
                <w:sz w:val="24"/>
              </w:rPr>
              <w:lastRenderedPageBreak/>
              <w:t>资产总计</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2,988,772,378.77</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3,106,349,697.54</w:t>
            </w:r>
          </w:p>
        </w:tc>
      </w:tr>
    </w:tbl>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880"/>
        <w:gridCol w:w="1080"/>
        <w:gridCol w:w="2520"/>
        <w:gridCol w:w="2520"/>
      </w:tblGrid>
      <w:tr w:rsidR="006C5149" w:rsidRPr="005C672D" w:rsidTr="00BA0FB8">
        <w:tc>
          <w:tcPr>
            <w:tcW w:type="dxa" w:w="28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type="dxa" w:w="10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kern w:val="2"/>
              </w:rPr>
              <w:t>2019年6月30日</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上年度末</w:t>
            </w:r>
            <w:r w:rsidRPr="005C672D">
              <w:rPr>
                <w:rFonts w:ascii="Times New Roman" w:hAnsi="Times New Roman"/>
                <w:b/>
                <w:color w:val="000000"/>
              </w:rPr>
              <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2018年12月31日</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p>
        </w:tc>
        <w:tc>
          <w:tcPr>
            <w:tcW w:type="dxa" w:w="2520"/>
            <w:vAlign w:val="center"/>
          </w:tcPr>
          <w:p w:rsidP="00AC6DDA" w:rsidR="006C5149" w:rsidRDefault="006C5149" w:rsidRPr="005C672D">
            <w:pPr>
              <w:spacing w:before="29" w:line="288" w:lineRule="auto"/>
              <w:jc w:val="right"/>
              <w:rPr>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短期借款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交易性金融负债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衍生金融负债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6.4.7.3</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卖出回购金融资产款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应付证券清算款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52,600.00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5,502.08</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应付赎回款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5,408,186.48</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2,189,651.67</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应付管理人报酬</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3,591,767.14</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4,136,770.60</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应付托管费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598,627.86</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689,461.80</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应付销售服务费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应付交易费用</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2,617,844.49</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4,127,386.98</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应交税费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26.64</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4,410.25</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应付利息</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
            </w:r>
            <w:r w:rsidRPr="005C672D">
              <w:rPr>
                <w:color w:val="000000"/>
                <w:sz w:val="24"/>
              </w:rPr>
              <w:lastRenderedPageBreak/>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lastRenderedPageBreak/>
              <w:t>应付利润</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递延所得税负债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其他负债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6.4.7.8</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141,453.26</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441,076.22</w:t>
            </w:r>
          </w:p>
        </w:tc>
      </w:tr>
      <w:tr w:rsidR="006C5149" w:rsidRPr="005C672D" w:rsidTr="00BA0FB8">
        <w:tc>
          <w:tcPr>
            <w:tcW w:type="dxa" w:w="2880"/>
            <w:vAlign w:val="center"/>
          </w:tcPr>
          <w:p w:rsidP="00AC6DDA" w:rsidR="006C5149" w:rsidRDefault="006C5149" w:rsidRPr="005C672D">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12,410,505.87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11,594,259.60</w:t>
            </w:r>
          </w:p>
        </w:tc>
      </w:tr>
      <w:tr w:rsidR="006C5149" w:rsidRPr="005C672D" w:rsidTr="00BA0FB8">
        <w:tc>
          <w:tcPr>
            <w:tcW w:type="dxa" w:w="2880"/>
            <w:vAlign w:val="center"/>
          </w:tcPr>
          <w:p w:rsidP="00AC6DDA" w:rsidR="006C5149" w:rsidRDefault="006C5149" w:rsidRPr="005C672D">
            <w:pPr>
              <w:spacing w:before="29" w:line="288" w:lineRule="auto"/>
              <w:rPr>
                <w:b/>
                <w:color w:val="000000"/>
                <w:sz w:val="24"/>
              </w:rPr>
            </w:pPr>
            <w:r w:rsidRPr="005C672D">
              <w:rPr>
                <w:b/>
                <w:color w:val="000000"/>
                <w:sz w:val="24"/>
              </w:rPr>
              <w:t>所有者权益：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b/>
                <w:color w:val="000000"/>
                <w:sz w:val="24"/>
              </w:rPr>
            </w:pPr>
          </w:p>
        </w:tc>
        <w:tc>
          <w:tcPr>
            <w:tcW w:type="dxa" w:w="2520"/>
            <w:vAlign w:val="center"/>
          </w:tcPr>
          <w:p w:rsidP="00AC6DDA" w:rsidR="006C5149" w:rsidRDefault="006C5149" w:rsidRPr="005C672D">
            <w:pPr>
              <w:spacing w:before="29" w:line="288" w:lineRule="auto"/>
              <w:jc w:val="right"/>
              <w:rPr>
                <w:b/>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实收基金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6.4.7.9</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2,279,996,418.69</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2,770,662,767.95</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未分配利润</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696,365,454.21</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324,092,669.99</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所有者权益合计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2,976,361,872.90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3,094,755,437.94</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负债和所有者权益总计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2,988,772,378.77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3,106,349,697.54</w:t>
            </w:r>
          </w:p>
        </w:tc>
      </w:tr>
    </w:tbl>
    <w:p w:rsidP="00AC6DDA" w:rsidR="005D3F0A" w:rsidRDefault="00337DB7" w:rsidRPr="005C672D">
      <w:pPr>
        <w:tabs>
          <w:tab w:pos="426" w:val="left"/>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报告截止日2019年6月30日，基金份额净值1.3054元，基金份额总额2,279,996,418.69份。</w:t>
      </w:r>
    </w:p>
    <w:p w:rsidP="00AC6DDA" w:rsidR="00A92A76" w:rsidRDefault="00A92A76" w:rsidRPr="005C672D">
      <w:pPr>
        <w:tabs>
          <w:tab w:pos="426" w:val="left"/>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P="00AC6DDA" w:rsidR="006C5149" w:rsidRDefault="006C5149" w:rsidRPr="005C672D">
      <w:pPr>
        <w:spacing w:before="29" w:line="288" w:lineRule="auto"/>
        <w:rPr>
          <w:color w:val="000000"/>
          <w:kern w:val="0"/>
          <w:sz w:val="24"/>
        </w:rPr>
      </w:pPr>
    </w:p>
    <w:p w:rsidP="00AC6DDA" w:rsidR="006C5149" w:rsidRDefault="006C5149" w:rsidRPr="005C672D">
      <w:pPr>
        <w:pStyle w:val="20"/>
        <w:spacing w:after="0" w:before="29" w:line="288" w:lineRule="auto"/>
        <w:rPr>
          <w:rFonts w:ascii="Times New Roman" w:hAnsi="Times New Roman"/>
          <w:kern w:val="0"/>
          <w:szCs w:val="24"/>
        </w:rPr>
      </w:pPr>
      <w:bookmarkStart w:id="47" w:name="_Toc225498269"/>
      <w:bookmarkStart w:id="48"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7"/>
      <w:bookmarkEnd w:id="48"/>
    </w:p>
    <w:p w:rsidP="00AC6DDA" w:rsidR="006C5149" w:rsidRDefault="006C5149" w:rsidRPr="005C672D">
      <w:pPr>
        <w:spacing w:before="29" w:line="288" w:lineRule="auto"/>
        <w:rPr>
          <w:kern w:val="0"/>
          <w:sz w:val="24"/>
        </w:rPr>
      </w:pPr>
      <w:r w:rsidRPr="005C672D">
        <w:rPr>
          <w:color w:val="000000"/>
          <w:sz w:val="24"/>
        </w:rPr>
        <w:t>会计主体：</w:t>
      </w:r>
      <w:r w:rsidRPr="005C672D">
        <w:rPr>
          <w:kern w:val="0"/>
          <w:sz w:val="24"/>
        </w:rPr>
        <w:t>交银施罗德稳健配置混合型证券投资基金</w:t>
      </w:r>
    </w:p>
    <w:p w:rsidP="00AC6DDA" w:rsidR="006C5149" w:rsidRDefault="006C5149" w:rsidRPr="005C672D">
      <w:pPr>
        <w:spacing w:before="29" w:line="288" w:lineRule="auto"/>
        <w:rPr>
          <w:color w:val="000000"/>
          <w:kern w:val="0"/>
          <w:sz w:val="24"/>
        </w:rPr>
      </w:pPr>
      <w:r w:rsidRPr="005C672D">
        <w:rPr>
          <w:color w:val="000000"/>
          <w:sz w:val="24"/>
        </w:rPr>
        <w:t>本报告期：</w:t>
      </w:r>
      <w:r w:rsidRPr="005C672D">
        <w:rPr>
          <w:kern w:val="0"/>
          <w:sz w:val="24"/>
        </w:rPr>
        <w:t>2019年1月1日</w:t>
      </w:r>
      <w:r w:rsidRPr="005C672D">
        <w:rPr>
          <w:kern w:val="0"/>
          <w:sz w:val="24"/>
        </w:rPr>
        <w:t>至</w:t>
      </w:r>
      <w:r w:rsidRPr="005C672D">
        <w:rPr>
          <w:kern w:val="0"/>
          <w:sz w:val="24"/>
        </w:rPr>
        <w:t>2019年6月30日</w:t>
      </w:r>
    </w:p>
    <w:p w:rsidP="00AC6DDA" w:rsidR="006C5149" w:rsidRDefault="006C514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1"/>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420"/>
        <w:gridCol w:w="1080"/>
        <w:gridCol w:w="2250"/>
        <w:gridCol w:w="2251"/>
      </w:tblGrid>
      <w:tr w:rsidR="006C5149" w:rsidRPr="005C672D" w:rsidTr="0095029A">
        <w:tc>
          <w:tcPr>
            <w:tcW w:type="dxa" w:w="342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type="dxa" w:w="108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25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rPr>
              <w:t>2019年1月1日</w:t>
            </w:r>
            <w:r w:rsidRPr="005C672D">
              <w:rPr>
                <w:rFonts w:ascii="Times New Roman" w:hAnsi="Times New Roman"/>
                <w:b/>
              </w:rPr>
              <w:t>至</w:t>
            </w:r>
            <w:r w:rsidRPr="005C672D">
              <w:rPr>
                <w:rFonts w:ascii="Times New Roman" w:hAnsi="Times New Roman"/>
                <w:b/>
              </w:rPr>
              <w:t>2019年6月30日</w:t>
            </w:r>
          </w:p>
        </w:tc>
        <w:tc>
          <w:tcPr>
            <w:tcW w:type="dxa" w:w="2251"/>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P="00AC6DDA" w:rsidR="006C5149" w:rsidRDefault="006C5149" w:rsidRPr="005C672D">
            <w:pPr>
              <w:pStyle w:val="af6"/>
              <w:spacing w:after="0" w:afterAutospacing="0" w:before="29" w:beforeAutospacing="0" w:line="288" w:lineRule="auto"/>
              <w:jc w:val="center"/>
              <w:rPr>
                <w:rFonts w:ascii="Times New Roman" w:hAnsi="Times New Roman"/>
                <w:color w:val="000000"/>
              </w:rPr>
            </w:pPr>
            <w:r w:rsidRPr="005C672D">
              <w:rPr>
                <w:rFonts w:ascii="Times New Roman" w:hAnsi="Times New Roman"/>
                <w:b/>
                <w:color w:val="000000"/>
              </w:rPr>
              <w:t>2018年1月1日至2018年6月30日</w:t>
            </w:r>
          </w:p>
        </w:tc>
      </w:tr>
      <w:tr w:rsidR="006C5149" w:rsidRPr="005C672D" w:rsidTr="0095029A">
        <w:tc>
          <w:tcPr>
            <w:tcW w:type="dxa" w:w="3420"/>
            <w:vAlign w:val="center"/>
          </w:tcPr>
          <w:p w:rsidP="00AC6DDA" w:rsidR="006C5149" w:rsidRDefault="006C5149" w:rsidRPr="005C672D">
            <w:pPr>
              <w:spacing w:before="29" w:line="288" w:lineRule="auto"/>
              <w:rPr>
                <w:b/>
                <w:color w:val="000000"/>
                <w:sz w:val="24"/>
              </w:rPr>
            </w:pPr>
            <w:r w:rsidRPr="005C672D">
              <w:rPr>
                <w:b/>
                <w:color w:val="000000"/>
                <w:sz w:val="24"/>
              </w:rPr>
              <w:t>一、收入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b/>
                <w:color w:val="000000"/>
                <w:sz w:val="24"/>
              </w:rPr>
            </w:pPr>
            <w:r w:rsidRPr="005C672D">
              <w:rPr>
                <w:b/>
                <w:color w:val="000000"/>
                <w:sz w:val="24"/>
              </w:rPr>
              <w:t>557,431,135.88</w:t>
            </w:r>
          </w:p>
        </w:tc>
        <w:tc>
          <w:tcPr>
            <w:tcW w:type="dxa" w:w="2251"/>
            <w:vAlign w:val="center"/>
          </w:tcPr>
          <w:p w:rsidP="00AC6DDA" w:rsidR="006C5149" w:rsidRDefault="006C5149" w:rsidRPr="005C672D">
            <w:pPr>
              <w:spacing w:before="29" w:line="288" w:lineRule="auto"/>
              <w:jc w:val="right"/>
              <w:rPr>
                <w:b/>
                <w:color w:val="000000"/>
                <w:sz w:val="24"/>
              </w:rPr>
            </w:pPr>
            <w:r w:rsidRPr="005C672D">
              <w:rPr>
                <w:b/>
                <w:color w:val="000000"/>
                <w:sz w:val="24"/>
              </w:rPr>
              <w:t>-330,350,766.59</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1.</w:t>
            </w:r>
            <w:r w:rsidRPr="005C672D">
              <w:rPr>
                <w:color w:val="000000"/>
                <w:sz w:val="24"/>
              </w:rPr>
              <w:t>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4,627,566.06</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3,894,025.27</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lastRenderedPageBreak/>
              <w:t>其中：存款利息收入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6.4.7.11</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2,576,093.12</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1,093,044.53</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债券利息收入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1,428,520.91</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2,556,812.01</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资产支持证券利息收入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买入返售金融资产收入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622,952.03</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244,168.73</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其他利息收入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170,922,256.22</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321,768,586.84</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其中：股票投资收益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6.4.7.12</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142,274,287.08</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287,260,315.31</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基金投资收益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债券投资收益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6.4.7.13</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38,905.00</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599,830.00</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资产支持证券投资收益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6.4.7.14</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015CC4" w:rsidR="008F704B" w:rsidRDefault="008F704B" w:rsidRPr="005C672D">
            <w:pPr>
              <w:spacing w:before="29" w:line="288" w:lineRule="auto"/>
              <w:ind w:firstLine="720" w:firstLineChars="300"/>
              <w:rPr>
                <w:rFonts w:eastAsiaTheme="minorEastAsia"/>
                <w:color w:val="000000"/>
                <w:szCs w:val="21"/>
              </w:rPr>
            </w:pPr>
            <w:r w:rsidRPr="005C672D">
              <w:rPr>
                <w:color w:val="000000"/>
                <w:sz w:val="24"/>
              </w:rPr>
              <w:t>贵金属投资收益</w:t>
            </w:r>
          </w:p>
        </w:tc>
        <w:tc>
          <w:tcPr>
            <w:tcW w:type="dxa" w:w="1080"/>
            <w:vAlign w:val="center"/>
          </w:tcPr>
          <w:p w:rsidP="0006098B" w:rsidR="008F704B" w:rsidRDefault="0006098B" w:rsidRPr="003A6CAB">
            <w:pPr>
              <w:spacing w:before="29" w:line="288" w:lineRule="auto"/>
              <w:jc w:val="center"/>
              <w:rPr>
                <w:color w:val="000000"/>
                <w:sz w:val="24"/>
              </w:rPr>
            </w:pPr>
            <w:r w:rsidRPr="003A6CAB">
              <w:rPr>
                <w:rFonts w:eastAsiaTheme="minorEastAsia"/>
                <w:color w:themeColor="text1" w:val="000000"/>
                <w:szCs w:val="21"/>
              </w:rPr>
              <w:t/>
            </w:r>
          </w:p>
        </w:tc>
        <w:tc>
          <w:tcPr>
            <w:tcW w:type="dxa" w:w="2250"/>
            <w:vAlign w:val="center"/>
          </w:tcPr>
          <w:p w:rsidP="00015CC4"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015CC4"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ind w:firstLine="720" w:firstLineChars="300"/>
              <w:rPr>
                <w:color w:val="000000"/>
                <w:sz w:val="24"/>
              </w:rPr>
            </w:pPr>
            <w:r w:rsidRPr="005C672D">
              <w:rPr>
                <w:color w:val="000000"/>
                <w:sz w:val="24"/>
              </w:rPr>
              <w:t>衍生工具收益</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6.4.7.15</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ind w:firstLine="720" w:firstLineChars="300"/>
              <w:rPr>
                <w:color w:val="000000"/>
                <w:sz w:val="24"/>
              </w:rPr>
            </w:pPr>
            <w:r w:rsidRPr="005C672D">
              <w:rPr>
                <w:color w:val="000000"/>
                <w:sz w:val="24"/>
              </w:rPr>
              <w:t>股利收益</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6.4.7.16</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28,609,064.14</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33,908,441.53</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lastRenderedPageBreak/>
              <w:t>“-”</w:t>
            </w:r>
            <w:r w:rsidRPr="005C672D">
              <w:rPr>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lastRenderedPageBreak/>
              <w:t>6.4.7.17</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
            </w:r>
            <w:r w:rsidRPr="005C672D">
              <w:rPr>
                <w:color w:val="000000"/>
                <w:sz w:val="24"/>
              </w:rPr>
              <w:lastRenderedPageBreak/>
              <w:t>381,417,754.60</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lastRenderedPageBreak/>
              <w:t/>
            </w:r>
            <w:r w:rsidRPr="005C672D">
              <w:rPr>
                <w:color w:val="000000"/>
                <w:sz w:val="24"/>
              </w:rPr>
              <w:lastRenderedPageBreak/>
              <w:t>-657,739,200.86</w:t>
            </w:r>
          </w:p>
        </w:tc>
      </w:tr>
      <w:tr w:rsidR="008F704B" w:rsidRPr="005C672D" w:rsidTr="0095029A">
        <w:tc>
          <w:tcPr>
            <w:tcW w:type="dxa" w:w="3420"/>
            <w:vAlign w:val="center"/>
          </w:tcPr>
          <w:p w:rsidP="00AC6DDA" w:rsidR="008F704B" w:rsidRDefault="008F704B" w:rsidRPr="005C672D">
            <w:pPr>
              <w:pStyle w:val="af6"/>
              <w:spacing w:before="29" w:beforeAutospacing="0" w:line="288" w:lineRule="auto"/>
              <w:rPr>
                <w:rFonts w:ascii="Times New Roman" w:hAnsi="Times New Roman"/>
                <w:color w:val="000000"/>
              </w:rPr>
            </w:pPr>
            <w:r w:rsidRPr="005C672D">
              <w:rPr>
                <w:rFonts w:ascii="Times New Roman" w:hAnsi="Times New Roman"/>
                <w:color w:val="000000"/>
              </w:rPr>
              <w:lastRenderedPageBreak/>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6.4.7.18</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463,559.00</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1,725,822.16</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减：二、费用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40,341,899.68</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42,366,673.50</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1</w:t>
            </w:r>
            <w:r w:rsidRPr="005C672D">
              <w:rPr>
                <w:color w:val="000000"/>
                <w:sz w:val="24"/>
              </w:rPr>
              <w:t>．管理人报酬</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24,260,680.77</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33,272,188.30</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2</w:t>
            </w:r>
            <w:r w:rsidRPr="005C672D">
              <w:rPr>
                <w:color w:val="000000"/>
                <w:sz w:val="24"/>
              </w:rPr>
              <w:t>．托管费</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4,043,446.84</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5,545,364.80</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3</w:t>
            </w:r>
            <w:r w:rsidRPr="005C672D">
              <w:rPr>
                <w:color w:val="000000"/>
                <w:sz w:val="24"/>
              </w:rPr>
              <w:t>．销售服务费</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4</w:t>
            </w:r>
            <w:r w:rsidRPr="005C672D">
              <w:rPr>
                <w:color w:val="000000"/>
                <w:sz w:val="24"/>
              </w:rPr>
              <w:t>．交易费用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6.4.7.19</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11,881,500.20</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3,311,744.02</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5</w:t>
            </w:r>
            <w:r w:rsidRPr="005C672D">
              <w:rPr>
                <w:color w:val="000000"/>
                <w:sz w:val="24"/>
              </w:rPr>
              <w:t>．利息支出</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其中：卖出回购金融资产支出</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95029A" w:rsidRPr="00690ED2" w:rsidTr="0095029A">
        <w:tc>
          <w:tcPr>
            <w:tcW w:type="dxa" w:w="3420"/>
            <w:vAlign w:val="center"/>
          </w:tcPr>
          <w:p w:rsidP="00B251C4" w:rsidR="0095029A" w:rsidRDefault="0095029A" w:rsidRPr="00690ED2">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type="dxa" w:w="1080"/>
            <w:vAlign w:val="center"/>
          </w:tcPr>
          <w:p w:rsidP="00B251C4" w:rsidR="0095029A" w:rsidRDefault="0095029A" w:rsidRPr="00690ED2">
            <w:pPr>
              <w:pStyle w:val="af6"/>
              <w:jc w:val="center"/>
              <w:rPr>
                <w:rFonts w:ascii="Times New Roman" w:eastAsiaTheme="minorEastAsia" w:hAnsi="Times New Roman"/>
                <w:color w:val="000000"/>
              </w:rPr>
            </w:pPr>
            <w:r>
              <w:t/>
            </w:r>
          </w:p>
        </w:tc>
        <w:tc>
          <w:tcPr>
            <w:tcW w:type="dxa" w:w="2250"/>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2,074.14</w:t>
            </w:r>
          </w:p>
        </w:tc>
        <w:tc>
          <w:tcPr>
            <w:tcW w:type="dxa" w:w="2251"/>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643.48</w:t>
            </w:r>
          </w:p>
        </w:tc>
      </w:tr>
      <w:tr w:rsidR="0095029A" w:rsidRPr="00690ED2" w:rsidTr="0095029A">
        <w:tc>
          <w:tcPr>
            <w:tcW w:type="dxa" w:w="3420"/>
            <w:vAlign w:val="center"/>
          </w:tcPr>
          <w:p w:rsidP="00B251C4" w:rsidR="0095029A" w:rsidRDefault="0095029A" w:rsidRPr="00690ED2">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type="dxa" w:w="1080"/>
            <w:vAlign w:val="center"/>
          </w:tcPr>
          <w:p w:rsidP="00B251C4" w:rsidR="0095029A" w:rsidRDefault="0095029A" w:rsidRPr="00690ED2">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type="dxa" w:w="2250"/>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154,197.73</w:t>
            </w:r>
          </w:p>
        </w:tc>
        <w:tc>
          <w:tcPr>
            <w:tcW w:type="dxa" w:w="2251"/>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236,732.90</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517,089,236.20</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-372,717,440.09</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sz w:val="24"/>
              </w:rPr>
              <w:t>减：所得税费用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517,089,236.20</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-372,717,440.09</w:t>
            </w:r>
          </w:p>
        </w:tc>
      </w:tr>
    </w:tbl>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49" w:name="_Toc331410099"/>
      <w:bookmarkStart w:id="50"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9"/>
      <w:bookmarkEnd w:id="50"/>
    </w:p>
    <w:p w:rsidP="00AC6DDA" w:rsidR="001548F9" w:rsidRDefault="001548F9" w:rsidRPr="005C672D">
      <w:pPr>
        <w:spacing w:before="29" w:line="288" w:lineRule="auto"/>
        <w:rPr>
          <w:kern w:val="0"/>
          <w:sz w:val="24"/>
        </w:rPr>
      </w:pPr>
      <w:r w:rsidRPr="005C672D">
        <w:rPr>
          <w:color w:val="000000"/>
          <w:sz w:val="24"/>
        </w:rPr>
        <w:t>会计主体：</w:t>
      </w:r>
      <w:r w:rsidRPr="005C672D">
        <w:rPr>
          <w:kern w:val="0"/>
          <w:sz w:val="24"/>
        </w:rPr>
        <w:t>交银施罗德稳健配置混合型证券投资基金</w:t>
      </w:r>
    </w:p>
    <w:p w:rsidP="00AC6DDA" w:rsidR="001548F9" w:rsidRDefault="001548F9" w:rsidRPr="005C672D">
      <w:pPr>
        <w:spacing w:before="29" w:line="288" w:lineRule="auto"/>
        <w:rPr>
          <w:kern w:val="0"/>
          <w:sz w:val="24"/>
        </w:rPr>
      </w:pPr>
      <w:r w:rsidRPr="005C672D">
        <w:rPr>
          <w:color w:val="000000"/>
          <w:sz w:val="24"/>
        </w:rPr>
        <w:lastRenderedPageBreak/>
        <w:t>本报告期：</w:t>
      </w:r>
      <w:r w:rsidRPr="005C672D">
        <w:rPr>
          <w:kern w:val="0"/>
          <w:sz w:val="24"/>
        </w:rPr>
        <w:t>2019年1月1日</w:t>
      </w:r>
      <w:r w:rsidRPr="005C672D">
        <w:rPr>
          <w:kern w:val="0"/>
          <w:sz w:val="24"/>
        </w:rPr>
        <w:t>至</w:t>
      </w:r>
      <w:r w:rsidRPr="005C672D">
        <w:rPr>
          <w:kern w:val="0"/>
          <w:sz w:val="24"/>
        </w:rPr>
        <w:t>2019年6月30日</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552"/>
        <w:gridCol w:w="2149"/>
        <w:gridCol w:w="2149"/>
        <w:gridCol w:w="2150"/>
      </w:tblGrid>
      <w:tr w:rsidR="001548F9" w:rsidRPr="005C672D" w:rsidTr="00BA0FB8">
        <w:tc>
          <w:tcPr>
            <w:tcW w:type="dxa" w:w="2552"/>
            <w:vMerge w:val="restart"/>
            <w:vAlign w:val="center"/>
          </w:tcPr>
          <w:p w:rsidP="00AC6DDA" w:rsidR="001548F9" w:rsidRDefault="001548F9" w:rsidRPr="005C672D">
            <w:pPr>
              <w:spacing w:before="29" w:line="288" w:lineRule="auto"/>
              <w:jc w:val="center"/>
              <w:rPr>
                <w:b/>
                <w:color w:val="000000"/>
                <w:sz w:val="24"/>
              </w:rPr>
            </w:pPr>
            <w:r w:rsidRPr="005C672D">
              <w:rPr>
                <w:b/>
                <w:color w:val="000000"/>
                <w:sz w:val="24"/>
              </w:rPr>
              <w:t>项目</w:t>
            </w:r>
          </w:p>
        </w:tc>
        <w:tc>
          <w:tcPr>
            <w:tcW w:type="dxa" w:w="6448"/>
            <w:gridSpan w:val="3"/>
            <w:vAlign w:val="center"/>
          </w:tcPr>
          <w:p w:rsidP="00AC6DDA" w:rsidR="001548F9" w:rsidRDefault="001548F9" w:rsidRPr="005C672D">
            <w:pPr>
              <w:spacing w:before="29" w:line="288" w:lineRule="auto"/>
              <w:jc w:val="center"/>
              <w:rPr>
                <w:b/>
                <w:color w:val="000000"/>
                <w:sz w:val="24"/>
              </w:rPr>
            </w:pPr>
            <w:r w:rsidRPr="005C672D">
              <w:rPr>
                <w:b/>
                <w:color w:val="000000"/>
                <w:sz w:val="24"/>
              </w:rPr>
              <w:t>本期</w:t>
            </w:r>
          </w:p>
          <w:p w:rsidP="00AC6DDA" w:rsidR="001548F9" w:rsidRDefault="001548F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rPr>
              <w:t>2019年1月1日</w:t>
            </w:r>
            <w:r w:rsidRPr="005C672D">
              <w:rPr>
                <w:rFonts w:ascii="Times New Roman" w:hAnsi="Times New Roman"/>
                <w:b/>
              </w:rPr>
              <w:t>至</w:t>
            </w:r>
            <w:r w:rsidRPr="005C672D">
              <w:rPr>
                <w:rFonts w:ascii="Times New Roman" w:hAnsi="Times New Roman"/>
                <w:b/>
              </w:rPr>
              <w:t>2019年6月30日</w:t>
            </w:r>
          </w:p>
        </w:tc>
      </w:tr>
      <w:tr w:rsidR="001548F9" w:rsidRPr="005C672D" w:rsidTr="00BA0FB8">
        <w:tc>
          <w:tcPr>
            <w:tcW w:type="dxa" w:w="2552"/>
            <w:vMerge/>
            <w:vAlign w:val="center"/>
          </w:tcPr>
          <w:p w:rsidP="00AC6DDA" w:rsidR="001548F9" w:rsidRDefault="001548F9" w:rsidRPr="005C672D">
            <w:pPr>
              <w:widowControl/>
              <w:spacing w:before="29" w:line="288" w:lineRule="auto"/>
              <w:jc w:val="left"/>
              <w:rPr>
                <w:b/>
                <w:color w:val="000000"/>
                <w:sz w:val="24"/>
              </w:rPr>
            </w:pPr>
          </w:p>
        </w:tc>
        <w:tc>
          <w:tcPr>
            <w:tcW w:type="dxa" w:w="2149"/>
            <w:vAlign w:val="center"/>
          </w:tcPr>
          <w:p w:rsidP="00AC6DDA" w:rsidR="001548F9" w:rsidRDefault="001548F9" w:rsidRPr="005C672D">
            <w:pPr>
              <w:spacing w:before="29" w:line="288" w:lineRule="auto"/>
              <w:jc w:val="center"/>
              <w:rPr>
                <w:b/>
                <w:color w:val="000000"/>
                <w:sz w:val="24"/>
              </w:rPr>
            </w:pPr>
            <w:r w:rsidRPr="005C672D">
              <w:rPr>
                <w:b/>
                <w:color w:val="000000"/>
                <w:sz w:val="24"/>
              </w:rPr>
              <w:t>实收基金</w:t>
            </w:r>
          </w:p>
        </w:tc>
        <w:tc>
          <w:tcPr>
            <w:tcW w:type="dxa" w:w="2149"/>
            <w:vAlign w:val="center"/>
          </w:tcPr>
          <w:p w:rsidP="00AC6DDA" w:rsidR="001548F9" w:rsidRDefault="001548F9" w:rsidRPr="005C672D">
            <w:pPr>
              <w:spacing w:before="29" w:line="288" w:lineRule="auto"/>
              <w:jc w:val="center"/>
              <w:rPr>
                <w:b/>
                <w:color w:val="000000"/>
                <w:sz w:val="24"/>
              </w:rPr>
            </w:pPr>
            <w:r w:rsidRPr="005C672D">
              <w:rPr>
                <w:b/>
                <w:color w:val="000000"/>
                <w:sz w:val="24"/>
              </w:rPr>
              <w:t>未分配利润</w:t>
            </w:r>
          </w:p>
        </w:tc>
        <w:tc>
          <w:tcPr>
            <w:tcW w:type="dxa" w:w="2150"/>
            <w:vAlign w:val="center"/>
          </w:tcPr>
          <w:p w:rsidP="00AC6DDA" w:rsidR="001548F9" w:rsidRDefault="001548F9" w:rsidRPr="005C672D">
            <w:pPr>
              <w:spacing w:before="29" w:line="288" w:lineRule="auto"/>
              <w:jc w:val="center"/>
              <w:rPr>
                <w:color w:val="000000"/>
                <w:sz w:val="24"/>
              </w:rPr>
            </w:pPr>
            <w:r w:rsidRPr="005C672D">
              <w:rPr>
                <w:b/>
                <w:color w:val="000000"/>
                <w:sz w:val="24"/>
              </w:rPr>
              <w:t>所有者权益合计</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一、期初所有者权益（基金净值）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2,770,662,767.95</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324,092,669.99</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3,094,755,437.94</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二、本期经营活动产生的基金净值变动数（本期利润）</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517,089,236.20</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517,089,236.20</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-490,666,349.26</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-144,816,451.98</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-635,482,801.24</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109,818,616.77</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29,357,825.28</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139,176,442.05</w:t>
            </w:r>
          </w:p>
        </w:tc>
      </w:tr>
      <w:tr w:rsidR="001548F9" w:rsidRPr="005C672D" w:rsidTr="00BA0FB8">
        <w:tc>
          <w:tcPr>
            <w:tcW w:type="dxa" w:w="2552"/>
            <w:vAlign w:val="center"/>
          </w:tcPr>
          <w:p w:rsidP="00AC6DDA" w:rsidR="001548F9" w:rsidRDefault="001548F9" w:rsidRPr="005C672D">
            <w:pPr>
              <w:spacing w:before="29" w:line="288" w:lineRule="auto"/>
              <w:ind w:firstLine="720" w:firstLineChars="300"/>
              <w:rPr>
                <w:color w:val="000000"/>
                <w:sz w:val="24"/>
              </w:rPr>
            </w:pPr>
            <w:r w:rsidRPr="005C672D">
              <w:rPr>
                <w:color w:val="000000"/>
                <w:sz w:val="24"/>
              </w:rPr>
              <w:t>2.</w:t>
            </w:r>
            <w:r w:rsidRPr="005C672D">
              <w:rPr>
                <w:color w:val="000000"/>
                <w:sz w:val="24"/>
              </w:rPr>
              <w:t>基金赎回款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-600,484,966.03</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-174,174,277.26</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-774,659,243.29</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五、期末所有者权益（基金净值）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2,279,996,418.69</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696,365,454.21</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2,976,361,872.90</w:t>
            </w:r>
          </w:p>
        </w:tc>
      </w:tr>
    </w:tbl>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552"/>
        <w:gridCol w:w="2149"/>
        <w:gridCol w:w="2149"/>
        <w:gridCol w:w="2150"/>
      </w:tblGrid>
      <w:tr w:rsidR="001548F9" w:rsidRPr="005C672D" w:rsidTr="00BA0FB8">
        <w:tc>
          <w:tcPr>
            <w:tcW w:type="dxa" w:w="2552"/>
            <w:vMerge w:val="restart"/>
            <w:vAlign w:val="center"/>
          </w:tcPr>
          <w:p w:rsidP="00AC6DDA" w:rsidR="001548F9" w:rsidRDefault="001548F9" w:rsidRPr="005C672D">
            <w:pPr>
              <w:spacing w:before="29" w:line="288" w:lineRule="auto"/>
              <w:jc w:val="center"/>
              <w:rPr>
                <w:color w:val="000000"/>
                <w:sz w:val="24"/>
              </w:rPr>
            </w:pPr>
            <w:r w:rsidRPr="005C672D">
              <w:rPr>
                <w:b/>
                <w:color w:val="000000"/>
                <w:sz w:val="24"/>
              </w:rPr>
              <w:t>项目</w:t>
            </w:r>
            <w:r w:rsidR="0059116E" w:rsidRPr="005C672D">
              <w:rPr>
                <w:b/>
                <w:color w:val="000000"/>
                <w:sz w:val="24"/>
              </w:rPr>
              <w:t/>
            </w:r>
          </w:p>
        </w:tc>
        <w:tc>
          <w:tcPr>
            <w:tcW w:type="dxa" w:w="6448"/>
            <w:gridSpan w:val="3"/>
            <w:vAlign w:val="center"/>
          </w:tcPr>
          <w:p w:rsidP="00AC6DDA" w:rsidR="001548F9" w:rsidRDefault="001548F9" w:rsidRPr="005C672D">
            <w:pPr>
              <w:spacing w:before="29" w:line="288" w:lineRule="auto"/>
              <w:jc w:val="center"/>
              <w:rPr>
                <w:b/>
                <w:color w:val="000000"/>
                <w:sz w:val="24"/>
              </w:rPr>
            </w:pPr>
            <w:r w:rsidRPr="005C672D">
              <w:rPr>
                <w:b/>
                <w:color w:val="000000"/>
                <w:sz w:val="24"/>
              </w:rPr>
              <w:t>上年度可比期间</w:t>
            </w:r>
          </w:p>
          <w:p w:rsidP="00AC6DDA" w:rsidR="001548F9" w:rsidRDefault="001548F9" w:rsidRPr="005C672D">
            <w:pPr>
              <w:pStyle w:val="af6"/>
              <w:spacing w:after="0" w:afterAutospacing="0" w:before="29" w:beforeAutospacing="0" w:line="288" w:lineRule="auto"/>
              <w:jc w:val="center"/>
              <w:rPr>
                <w:rFonts w:ascii="Times New Roman" w:hAnsi="Times New Roman"/>
                <w:color w:val="000000"/>
              </w:rPr>
            </w:pPr>
            <w:r w:rsidRPr="005C672D">
              <w:rPr>
                <w:rFonts w:ascii="Times New Roman" w:hAnsi="Times New Roman"/>
                <w:b/>
                <w:color w:val="000000"/>
              </w:rPr>
              <w:t>2018年1月1日至2018年6月30日</w:t>
            </w:r>
          </w:p>
        </w:tc>
      </w:tr>
      <w:tr w:rsidR="001548F9" w:rsidRPr="005C672D" w:rsidTr="00BA0FB8">
        <w:tc>
          <w:tcPr>
            <w:tcW w:type="dxa" w:w="2552"/>
            <w:vMerge/>
            <w:vAlign w:val="center"/>
          </w:tcPr>
          <w:p w:rsidP="00AC6DDA" w:rsidR="001548F9" w:rsidRDefault="001548F9" w:rsidRPr="005C672D">
            <w:pPr>
              <w:widowControl/>
              <w:spacing w:before="29" w:line="288" w:lineRule="auto"/>
              <w:jc w:val="left"/>
              <w:rPr>
                <w:color w:val="000000"/>
                <w:sz w:val="24"/>
              </w:rPr>
            </w:pPr>
          </w:p>
        </w:tc>
        <w:tc>
          <w:tcPr>
            <w:tcW w:type="dxa" w:w="2149"/>
            <w:vAlign w:val="center"/>
          </w:tcPr>
          <w:p w:rsidP="00AC6DDA" w:rsidR="001548F9" w:rsidRDefault="001548F9" w:rsidRPr="005C672D">
            <w:pPr>
              <w:spacing w:before="29" w:line="288" w:lineRule="auto"/>
              <w:jc w:val="center"/>
              <w:rPr>
                <w:color w:val="000000"/>
                <w:sz w:val="24"/>
              </w:rPr>
            </w:pPr>
            <w:r w:rsidRPr="005C672D">
              <w:rPr>
                <w:b/>
                <w:color w:val="000000"/>
                <w:sz w:val="24"/>
              </w:rPr>
              <w:t>实收基金</w:t>
            </w:r>
          </w:p>
        </w:tc>
        <w:tc>
          <w:tcPr>
            <w:tcW w:type="dxa" w:w="2149"/>
            <w:vAlign w:val="center"/>
          </w:tcPr>
          <w:p w:rsidP="00AC6DDA" w:rsidR="001548F9" w:rsidRDefault="001548F9" w:rsidRPr="005C672D">
            <w:pPr>
              <w:spacing w:before="29" w:line="288" w:lineRule="auto"/>
              <w:jc w:val="center"/>
              <w:rPr>
                <w:color w:val="000000"/>
                <w:sz w:val="24"/>
              </w:rPr>
            </w:pPr>
            <w:r w:rsidRPr="005C672D">
              <w:rPr>
                <w:b/>
                <w:color w:val="000000"/>
                <w:sz w:val="24"/>
              </w:rPr>
              <w:t>未分配利润</w:t>
            </w:r>
          </w:p>
        </w:tc>
        <w:tc>
          <w:tcPr>
            <w:tcW w:type="dxa" w:w="2150"/>
            <w:vAlign w:val="center"/>
          </w:tcPr>
          <w:p w:rsidP="00AC6DDA" w:rsidR="001548F9" w:rsidRDefault="001548F9" w:rsidRPr="005C672D">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一、期初所有者权益（基金净值）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2,925,729,440.23</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2,000,340,343.43</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4,926,069,783.66</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二、本期经营活动产生的基金净值变动数（本期利润）</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-372,717,440.09</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-372,717,440.09</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-100,222,631.82</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-24,348,885.23</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-124,571,517.05</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909,222,874.21</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464,380,518.91</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1,373,603,393.12</w:t>
            </w:r>
          </w:p>
        </w:tc>
      </w:tr>
      <w:tr w:rsidR="001548F9" w:rsidRPr="005C672D" w:rsidTr="00BA0FB8">
        <w:tc>
          <w:tcPr>
            <w:tcW w:type="dxa" w:w="2552"/>
            <w:vAlign w:val="center"/>
          </w:tcPr>
          <w:p w:rsidP="00AC6DDA" w:rsidR="001548F9" w:rsidRDefault="001548F9" w:rsidRPr="005C672D">
            <w:pPr>
              <w:spacing w:before="29" w:line="288" w:lineRule="auto"/>
              <w:ind w:firstLine="720" w:firstLineChars="300"/>
              <w:rPr>
                <w:color w:val="000000"/>
                <w:sz w:val="24"/>
              </w:rPr>
            </w:pPr>
            <w:r w:rsidRPr="005C672D">
              <w:rPr>
                <w:color w:val="000000"/>
                <w:sz w:val="24"/>
              </w:rPr>
              <w:t>2.</w:t>
            </w:r>
            <w:r w:rsidRPr="005C672D">
              <w:rPr>
                <w:color w:val="000000"/>
                <w:sz w:val="24"/>
              </w:rPr>
              <w:t>基金赎回款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-1,009,445,506.03</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-488,729,404.14</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-1,498,174,910.17</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-598,418,846.02</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-598,418,846.02</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五、期末所有者权益（基金净值）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2,825,506,808.41</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1,004,855,172.09</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3,830,361,980.50</w:t>
            </w:r>
          </w:p>
        </w:tc>
      </w:tr>
    </w:tbl>
    <w:p w:rsidP="00AC6DDA" w:rsidR="001548F9" w:rsidRDefault="001548F9" w:rsidRPr="005C672D">
      <w:pPr>
        <w:spacing w:before="29" w:line="288" w:lineRule="auto"/>
        <w:ind w:firstLine="480" w:firstLineChars="200"/>
        <w:jc w:val="left"/>
        <w:rPr>
          <w:color w:val="000000"/>
          <w:kern w:val="0"/>
          <w:sz w:val="24"/>
        </w:rPr>
      </w:pPr>
    </w:p>
    <w:p w:rsidP="00AC6DDA" w:rsidR="002A630A" w:rsidRDefault="002A630A" w:rsidRPr="005C672D">
      <w:pPr>
        <w:spacing w:before="29" w:line="288" w:lineRule="auto"/>
        <w:rPr>
          <w:sz w:val="24"/>
        </w:rPr>
      </w:pPr>
      <w:r w:rsidRPr="005C672D">
        <w:rPr>
          <w:sz w:val="24"/>
        </w:rPr>
        <w:t>报表附注为财务报表的组成部分。</w:t>
      </w:r>
    </w:p>
    <w:p w:rsidP="00AC6DDA" w:rsidR="002A630A" w:rsidRDefault="002A630A" w:rsidRPr="005C672D">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P="00AC6DDA" w:rsidR="002A630A" w:rsidRDefault="002D20E4" w:rsidRPr="005C672D">
      <w:pPr>
        <w:spacing w:before="29" w:line="288" w:lineRule="auto"/>
        <w:rPr>
          <w:sz w:val="24"/>
        </w:rPr>
      </w:pPr>
      <w:r w:rsidRPr="005C672D">
        <w:rPr>
          <w:sz w:val="24"/>
        </w:rPr>
        <w:t>基金管理人</w:t>
      </w:r>
      <w:r w:rsidR="002A630A" w:rsidRPr="005C672D">
        <w:rPr>
          <w:sz w:val="24"/>
        </w:rPr>
        <w:t>负责人：</w:t>
      </w:r>
      <w:r w:rsidR="002A630A" w:rsidRPr="005C672D">
        <w:rPr>
          <w:sz w:val="24"/>
        </w:rPr>
        <w:t>谢卫</w:t>
      </w:r>
      <w:r w:rsidR="002A630A" w:rsidRPr="005C672D">
        <w:rPr>
          <w:sz w:val="24"/>
        </w:rPr>
        <w:t>，主管会计工作负责人：</w:t>
      </w:r>
      <w:r w:rsidR="002A630A" w:rsidRPr="005C672D">
        <w:rPr>
          <w:sz w:val="24"/>
        </w:rPr>
        <w:lastRenderedPageBreak/>
        <w:t>夏华龙</w:t>
      </w:r>
      <w:r w:rsidR="002A630A" w:rsidRPr="005C672D">
        <w:rPr>
          <w:sz w:val="24"/>
        </w:rPr>
        <w:t>，会计机构负责人：</w:t>
      </w:r>
      <w:r w:rsidR="002A630A" w:rsidRPr="005C672D">
        <w:rPr>
          <w:sz w:val="24"/>
        </w:rPr>
        <w:t>单江</w:t>
      </w:r>
    </w:p>
    <w:p w:rsidP="00AC6DDA" w:rsidR="001548F9" w:rsidRDefault="001548F9" w:rsidRPr="005C672D">
      <w:pPr>
        <w:spacing w:before="29" w:line="288" w:lineRule="auto"/>
        <w:ind w:firstLine="480" w:firstLineChars="200"/>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51" w:name="_Toc331410100"/>
      <w:bookmarkStart w:id="52"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1"/>
      <w:bookmarkEnd w:id="52"/>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pPr>
        <w:spacing w:before="29" w:line="288" w:lineRule="auto"/>
        <w:ind w:firstLine="480" w:firstLineChars="200"/>
        <w:rPr>
          <w:color w:val="000000"/>
          <w:sz w:val="24"/>
        </w:rPr>
      </w:pPr>
      <w:r>
        <w:rPr>
          <w:color w:val="000000"/>
          <w:sz w:val="24"/>
        </w:rPr>
        <w:t xml:space="preserve">交银施罗德稳健配置混合型证券投资基金(以下简称“本基金”)经中国证券监督管理委员会(以下简称“中国证监会”)证监基金字[2006]第78号《关于同意交银施罗德稳健配置混合型证券投资基金募集申请的批复》核准，由交银施罗德基金管理有限公司依照《中华人民共和国证券投资基金法》和《交银施罗德稳健配置混合型证券投资基金基金合同》负责公开募集。本基金为契约型开放式，存续期限不定，首次设立募集不包括认购资金利息共募集人民币7,011,427,454.90元，业经普华永道中天会计师事务所有限公司普华永道中天验字(2006)第73号验资报告予以验证。经向中国证监会备案，《交银施罗德稳健配置混合型证券投资基金基金合同》于2006年6月14日正式生效，基金合同生效日的基金份额总额为7,016,138,522.08份基金份额，其中认购资金利息折合4,711,067.18份基金份额。本基金的基金管理人为交银施罗德基金管理有限公司，基金托管人为中国建设银行股份有限公司。 </w:t>
      </w:r>
    </w:p>
    <w:p>
      <w:pPr>
        <w:spacing w:before="29" w:line="288" w:lineRule="auto"/>
        <w:ind w:firstLine="480" w:firstLineChars="200"/>
        <w:rPr>
          <w:color w:val="000000"/>
          <w:sz w:val="24"/>
        </w:rPr>
      </w:pPr>
      <w:r>
        <w:rPr>
          <w:color w:val="000000"/>
          <w:sz w:val="24"/>
        </w:rPr>
        <w:t>根据《交银施罗德基金管理有限公司关于增加交银施罗德稳健配置混合型证券投资基金H类基金份额类别及修改基金合同、托管协议的公告》，本基金决定自2015年12月7日起增加本基金的H类基金份额类别并相应修改基金合同、托管协议。本基金按照销售区域及费率标准的不同将本基金的基金份额分为A类、H类两类基金份额。在本基金的基金份额分类实施后，本基金的原有基金份额全部自动划归为本基金A类基金份额类别，A类基金份额仅在中国大陆地区销售；本基金新增加的H类基金份额类别，仅在中国香港地区销售。两类基金份额分设不同的基金代码，并分别公布基金份额净值。</w:t>
      </w:r>
    </w:p>
    <w:p w:rsidP="00AC6DDA" w:rsidR="001548F9" w:rsidRDefault="001548F9" w:rsidRPr="005C672D">
      <w:pPr>
        <w:spacing w:before="29" w:line="288" w:lineRule="auto"/>
        <w:ind w:firstLine="480" w:firstLineChars="200"/>
        <w:rPr>
          <w:color w:val="000000"/>
          <w:sz w:val="24"/>
        </w:rPr>
      </w:pPr>
      <w:r w:rsidRPr="005C672D">
        <w:rPr>
          <w:color w:val="000000"/>
          <w:sz w:val="24"/>
        </w:rPr>
        <w:t>根据《中华人民共和国证券投资基金法》和《交银施罗德稳健配置混合型证券投资基金基金合同》的有关规定，本基金的投资范围为具有良好流动性的金融工具，包括国内依法发行上市的股票、债券、现金、短期金融工具、权证及法律法规或中国证监会允许基金投资的其他金融工具。基金的投资组合比例为：股票资产占基金资产净值的35%-95%；债券资产占基金资产净值的0%-60%；现金、短期金融工具以及中国证监会允许基金投资的其他证券品种占基金资产净值的5%-65%，其中基金保留的现金以及投资于一年期以内的政府债券的比例合计不低于基金资产净值的5%，现金不包括结算备付金、存出保证金和应收申购款等。自基金合同生效日至2015年9月30日，本基金的业绩比较基准为：65%×MSCI中国A股指数＋35%×中信标普全债指数。根据本基金的基金管理人于2015年9月28日发布的《交银施罗德基金管理有限公司关于旗下部分基金业绩比较基准变更并修改基金合同相关内容的公告》，自2015年10月1日起，本基金的业绩比较基准变更为：65%×MSCI中国A股指数+35%×中证综合债券指数。</w:t>
      </w:r>
    </w:p>
    <w:p w:rsidP="00AC6DDA" w:rsidR="001548F9" w:rsidRDefault="001548F9" w:rsidRPr="005C672D">
      <w:pPr>
        <w:tabs>
          <w:tab w:pos="2265" w:val="left"/>
        </w:tabs>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pPr>
        <w:spacing w:before="29" w:line="288" w:lineRule="auto"/>
        <w:ind w:firstLine="480" w:firstLineChars="200"/>
        <w:rPr>
          <w:color w:val="000000"/>
          <w:sz w:val="24"/>
        </w:rPr>
      </w:pPr>
      <w:r>
        <w:rPr>
          <w:color w:val="000000"/>
          <w:sz w:val="24"/>
        </w:rPr>
        <w:t>本基金的财务报表按照财政部于2006年2月15日及以后期间颁布的《企业会计准则－基本准则》、各项具体会计准则及相关规定(以下合称“企业会计准则”)、中国证监会颁布的《证券投资基金信息披露XBRL模板第3号&lt;年度报告和半年度报告&gt;》、中国证券投资基金业协会(以下简称“中国基金业协会”)颁布的《证券投资基金会计核算业务指引》、《交银施罗德稳健配置混合型证券投资基金基金合同》和在财务报表附注6.4.4所列示的中国证监会、中国基金业协会发布的有关规定及允许的基金行业实务操作编制。</w:t>
      </w:r>
    </w:p>
    <w:p w:rsidP="00AC6DDA" w:rsidR="001548F9" w:rsidRDefault="001548F9" w:rsidRPr="005C672D">
      <w:pPr>
        <w:spacing w:before="29" w:line="288" w:lineRule="auto"/>
        <w:ind w:firstLine="480" w:firstLineChars="200"/>
        <w:rPr>
          <w:color w:val="000000"/>
          <w:sz w:val="24"/>
        </w:rPr>
      </w:pPr>
      <w:r w:rsidRPr="005C672D">
        <w:rPr>
          <w:color w:val="000000"/>
          <w:sz w:val="24"/>
        </w:rPr>
        <w:t>本财务报表以持续经营为基础编制。</w:t>
      </w:r>
    </w:p>
    <w:p w:rsidP="00AC6DDA" w:rsidR="001548F9" w:rsidRDefault="001548F9" w:rsidRPr="005C672D">
      <w:pPr>
        <w:spacing w:before="29" w:line="288" w:lineRule="auto"/>
        <w:ind w:firstLine="482" w:firstLineChars="200"/>
        <w:rPr>
          <w:b/>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本基金2019上半年度财务报表符合企业会计准则的要求，真实、完整地反映了本基金2019年6月30日的财务状况以及2019上半年度的经营成果和基金净值变动情况等有关信息。</w:t>
      </w:r>
    </w:p>
    <w:p w:rsidP="00AC6DDA" w:rsidR="001548F9" w:rsidRDefault="001548F9" w:rsidRPr="005C672D">
      <w:pPr>
        <w:spacing w:before="29" w:line="288" w:lineRule="auto"/>
        <w:ind w:firstLine="482" w:firstLineChars="200"/>
        <w:rPr>
          <w:b/>
          <w:color w:val="000000"/>
          <w:sz w:val="24"/>
        </w:rPr>
      </w:pPr>
    </w:p>
    <w:p w:rsidP="00AC6DDA" w:rsidR="001548F9" w:rsidRDefault="00726821" w:rsidRPr="005C672D">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P="00AC6DDA" w:rsidR="001548F9" w:rsidRDefault="001548F9" w:rsidRPr="005C672D">
      <w:pPr>
        <w:spacing w:before="29" w:line="288" w:lineRule="auto"/>
        <w:ind w:firstLine="480" w:firstLineChars="200"/>
        <w:rPr>
          <w:color w:val="000000"/>
          <w:sz w:val="24"/>
        </w:rPr>
      </w:pPr>
      <w:r w:rsidRPr="005C672D">
        <w:rPr>
          <w:color w:val="000000"/>
          <w:sz w:val="24"/>
        </w:rPr>
        <w:t>本报告期所采用的会计政策、会计估计与最近一期年度报告相一致。</w:t>
      </w:r>
    </w:p>
    <w:p w:rsidP="00AC6DDA" w:rsidR="006260B3" w:rsidRDefault="006260B3" w:rsidRPr="005C672D">
      <w:pPr>
        <w:widowControl/>
        <w:spacing w:before="29" w:line="288" w:lineRule="auto"/>
        <w:ind w:firstLine="420"/>
        <w:jc w:val="left"/>
        <w:rPr>
          <w:kern w:val="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本基金本报告期未发生会计政策变更。</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本基金本报告期未发生会计估计变更。</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本基金在本报告期间无须说明的会计差错更正。</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pPr>
        <w:spacing w:before="29" w:line="288" w:lineRule="auto"/>
        <w:ind w:firstLine="480" w:firstLineChars="200"/>
        <w:rPr>
          <w:color w:val="000000"/>
          <w:sz w:val="24"/>
        </w:rPr>
      </w:pPr>
      <w:r>
        <w:rPr>
          <w:color w:val="000000"/>
          <w:sz w:val="24"/>
        </w:rPr>
        <w:t>根据财政部、国家税务总局财税[2008]1号《关于企业所得税若干优惠政策的通知》、财税[2012]85号《关于实施上市公司股息红利差别化个人所得税政策有关问题的通知》、财税[2015]101号《关于上市公司股息红利差别化个人所得税政策有关问题的通知》、财税[2015]125号《关于内地与香港基金互认有关税收政策的通知》、财税[2016]36号《关于全面推开营业税改征增值税试点的通知》、财税[2016]46号《关于进一步明确全面推开营改增试点金融业有关政策的通知》、财税[2016]70号《关于金融机构同业往来等增值税政策的补充通知》、财税[2016]140号《关于明确金融房地产开发教育辅助服务等增值税政策的通知》、财税[2017]2号《关于资管产品增值税政策有关问题的补充通知》、财税[2017]56号《关于资管产品增值税有关问题的通知》、财税[2017]90号《关于租入固定资产进项税额抵扣等增值税政策的通知》及其他相关财税法规和实务操作，主要税项列示如下：</w:t>
      </w:r>
    </w:p>
    <w:p>
      <w:pPr>
        <w:spacing w:before="29" w:line="288" w:lineRule="auto"/>
        <w:ind w:firstLine="480" w:firstLineChars="200"/>
        <w:rPr>
          <w:color w:val="000000"/>
          <w:sz w:val="24"/>
        </w:rPr>
      </w:pPr>
      <w:r>
        <w:rPr>
          <w:color w:val="000000"/>
          <w:sz w:val="24"/>
        </w:rPr>
        <w:t>(1) 资管产品运营过程中发生的增值税应税行为，以资管产品管理人为增值税纳税人。资管产品管理人运营资管产品过程中发生的增值税应税行为，暂适用简易计税方法，按照3%的征收率缴纳增值税。对资管产品在2018年1月1日前运营过程中发生的增值税应税行为，未缴纳增值税的，不再缴纳；已缴纳增值税的，已纳税额从资管产品管理人以后月份的增值税应纳税额中抵减。</w:t>
      </w:r>
    </w:p>
    <w:p>
      <w:pPr>
        <w:spacing w:before="29" w:line="288" w:lineRule="auto"/>
        <w:ind w:firstLine="480" w:firstLineChars="20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2018年1月1日起产生的利息及利息性质的收入为销售额。资管产品管理人运营资管产品转让2017年12月31日前取得的非货物期货，可以选择按照实际买入价计算销售额，或者以2017年最后一个交易日的非货物期货结算价格作为买入价计算销售额。</w:t>
      </w:r>
    </w:p>
    <w:p>
      <w:pPr>
        <w:spacing w:before="29" w:line="288" w:lineRule="auto"/>
        <w:ind w:firstLine="480" w:firstLineChars="200"/>
        <w:rPr>
          <w:color w:val="000000"/>
          <w:sz w:val="24"/>
        </w:rPr>
      </w:pPr>
      <w:r>
        <w:rPr>
          <w:color w:val="000000"/>
          <w:sz w:val="24"/>
        </w:rPr>
        <w:t>(2)对基金从证券市场中取得的收入，包括买卖股票、债券的差价收入，股票的股息、红利收入，债券的利息收入及其他收入，暂不征收企业所得税。</w:t>
      </w:r>
    </w:p>
    <w:p>
      <w:pPr>
        <w:spacing w:before="29" w:line="288" w:lineRule="auto"/>
        <w:ind w:firstLine="480" w:firstLineChars="200"/>
        <w:rPr>
          <w:color w:val="000000"/>
          <w:sz w:val="24"/>
        </w:rPr>
      </w:pPr>
      <w:r>
        <w:rPr>
          <w:color w:val="000000"/>
          <w:sz w:val="24"/>
        </w:rPr>
        <w:t>(3)对于内地投资者持有的基金类别，对基金取得的企业债券利息收入，应由发行债券的企业在向基金支付利息时代扣代缴20%的个人所得税。对基金从上市公司取得的股息红利所得，持股期限在1个月以内(含1个月)的，其股息红利所得全额计入应纳税所得额；持股期限在1个月以上至1年(含1年)的，暂减按50%计入应纳税所得额；持股期限超过1年的，暂免征收个人所得税。对基金持有的上市公司限售股，解禁后取得的股息、红利收入，按照上述规定计算纳税，持股时间自解禁日起计算；解禁前取得的股息、红利收入继续暂减按50%计入应纳税所得额。上述所得统一适用20%的税率计征个人所得税。</w:t>
      </w:r>
    </w:p>
    <w:p>
      <w:pPr>
        <w:spacing w:before="29" w:line="288" w:lineRule="auto"/>
        <w:ind w:firstLine="480" w:firstLineChars="200"/>
        <w:rPr>
          <w:color w:val="000000"/>
          <w:sz w:val="24"/>
        </w:rPr>
      </w:pPr>
      <w:r>
        <w:rPr>
          <w:color w:val="000000"/>
          <w:sz w:val="24"/>
        </w:rPr>
        <w:t>对于香港市场投资者通过基金互认持有的基金类别，对基金取得的企业债券利息收入，应由发行债券的企业在向该内地基金分配利息时按照7%的税率代扣代缴所得税。对基金从上市公司取得的股息红利所得，应由内地上市公司向该内地基金分配股息红利时按照10%的税率代扣代缴所得税。</w:t>
      </w:r>
    </w:p>
    <w:p>
      <w:pPr>
        <w:spacing w:before="29" w:line="288" w:lineRule="auto"/>
        <w:ind w:firstLine="480" w:firstLineChars="200"/>
        <w:rPr>
          <w:color w:val="000000"/>
          <w:sz w:val="24"/>
        </w:rPr>
      </w:pPr>
      <w:r>
        <w:rPr>
          <w:color w:val="000000"/>
          <w:sz w:val="24"/>
        </w:rPr>
        <w:t>(4)基金卖出股票按0.1%的税率缴纳股票交易印花税，买入股票不征收股票交易印花税。</w:t>
      </w:r>
    </w:p>
    <w:p w:rsidP="00AC6DDA" w:rsidR="001548F9" w:rsidRDefault="001548F9" w:rsidRPr="005C672D">
      <w:pPr>
        <w:spacing w:before="29" w:line="288" w:lineRule="auto"/>
        <w:ind w:firstLine="480" w:firstLineChars="200"/>
        <w:rPr>
          <w:color w:val="000000"/>
          <w:sz w:val="24"/>
        </w:rPr>
      </w:pPr>
      <w:r w:rsidRPr="005C672D">
        <w:rPr>
          <w:color w:val="000000"/>
          <w:sz w:val="24"/>
        </w:rPr>
        <w:t>(5)本基金的城市维护建设税、教育费附加和地方教育费附加等税费按照实际缴纳增值税额的适用比例计算缴纳。</w:t>
      </w:r>
    </w:p>
    <w:p w:rsidP="00AC6DDA" w:rsidR="001548F9" w:rsidRDefault="001548F9" w:rsidRPr="005C672D">
      <w:pPr>
        <w:autoSpaceDE w:val="0"/>
        <w:autoSpaceDN w:val="0"/>
        <w:adjustRightInd w:val="0"/>
        <w:spacing w:before="29" w:line="288" w:lineRule="auto"/>
        <w:jc w:val="left"/>
        <w:rPr>
          <w:b/>
          <w:bCs/>
          <w:color w:val="000000"/>
          <w:kern w:val="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P="00AC6DDA" w:rsidR="001548F9" w:rsidRDefault="001548F9" w:rsidRPr="005C672D">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本基金本报告期内存在控制关系或其他重大利害关系的关联方未发生变化。</w:t>
      </w:r>
    </w:p>
    <w:p w:rsidP="00AC6DDA" w:rsidR="001548F9" w:rsidRDefault="001548F9" w:rsidRPr="005C672D">
      <w:pPr>
        <w:autoSpaceDE w:val="0"/>
        <w:autoSpaceDN w:val="0"/>
        <w:adjustRightInd w:val="0"/>
        <w:spacing w:before="29" w:line="288" w:lineRule="auto"/>
        <w:ind w:firstLine="405"/>
        <w:jc w:val="left"/>
        <w:rPr>
          <w:b/>
          <w:color w:val="000000"/>
          <w:kern w:val="0"/>
          <w:sz w:val="24"/>
        </w:rPr>
      </w:pPr>
    </w:p>
    <w:p w:rsidP="00AC6DDA" w:rsidR="001548F9" w:rsidRDefault="001548F9" w:rsidRPr="005C672D">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5219"/>
        <w:gridCol w:w="3779"/>
      </w:tblGrid>
      <w:tr w:rsidR="001548F9" w:rsidRPr="005C672D" w:rsidTr="00BA0FB8">
        <w:tc>
          <w:tcPr>
            <w:tcW w:type="dxa" w:w="5220"/>
            <w:vAlign w:val="center"/>
          </w:tcPr>
          <w:p w:rsidP="00AC6DDA" w:rsidR="001548F9" w:rsidRDefault="001548F9" w:rsidRPr="005C672D">
            <w:pPr>
              <w:spacing w:before="29" w:line="288" w:lineRule="auto"/>
              <w:jc w:val="center"/>
              <w:rPr>
                <w:color w:val="000000"/>
                <w:sz w:val="24"/>
              </w:rPr>
            </w:pPr>
            <w:r w:rsidRPr="005C672D">
              <w:rPr>
                <w:color w:val="000000"/>
                <w:sz w:val="24"/>
              </w:rPr>
              <w:t>关联方名称</w:t>
            </w:r>
          </w:p>
        </w:tc>
        <w:tc>
          <w:tcPr>
            <w:tcW w:type="dxa" w:w="3780"/>
            <w:vAlign w:val="center"/>
          </w:tcPr>
          <w:p w:rsidP="00AC6DDA" w:rsidR="001548F9" w:rsidRDefault="001548F9" w:rsidRPr="005C672D">
            <w:pPr>
              <w:spacing w:before="29" w:line="288" w:lineRule="auto"/>
              <w:jc w:val="center"/>
              <w:rPr>
                <w:color w:val="000000"/>
                <w:sz w:val="24"/>
              </w:rPr>
            </w:pPr>
            <w:r w:rsidRPr="005C672D">
              <w:rPr>
                <w:color w:val="000000"/>
                <w:sz w:val="24"/>
              </w:rPr>
              <w:t>与本基金的关系</w:t>
            </w:r>
          </w:p>
        </w:tc>
      </w:tr>
      <w:tr>
        <w:tc>
          <w:tcPr>
            <w:vAlign w:val="center"/>
          </w:tcPr>
          <w:p>
            <w:pPr>
              <w:jc w:val="left"/>
            </w:pPr>
            <w:r>
              <w:rPr>
                <w:color w:val="000000"/>
                <w:sz w:val="24"/>
              </w:rPr>
              <w:t>交银施罗德基金管理有限公司(“交银施罗德基金公司”)</w:t>
            </w:r>
          </w:p>
        </w:tc>
        <w:tc>
          <w:tcPr>
            <w:vAlign w:val="center"/>
          </w:tcPr>
          <w:p>
            <w:pPr>
              <w:jc w:val="left"/>
            </w:pPr>
            <w:r>
              <w:rPr>
                <w:color w:val="000000"/>
                <w:sz w:val="24"/>
              </w:rPr>
              <w:t>基金管理人、基金销售机构</w:t>
            </w:r>
          </w:p>
        </w:tc>
      </w:tr>
      <w:tr>
        <w:tc>
          <w:tcPr>
            <w:vAlign w:val="center"/>
          </w:tcPr>
          <w:p>
            <w:pPr>
              <w:jc w:val="left"/>
            </w:pPr>
            <w:r>
              <w:rPr>
                <w:color w:val="000000"/>
                <w:sz w:val="24"/>
              </w:rPr>
              <w:t>中国建设银行股份有限公司(“中国建设银行”)</w:t>
            </w:r>
          </w:p>
        </w:tc>
        <w:tc>
          <w:tcPr>
            <w:vAlign w:val="center"/>
          </w:tcPr>
          <w:p>
            <w:pPr>
              <w:jc w:val="left"/>
            </w:pPr>
            <w:r>
              <w:rPr>
                <w:color w:val="000000"/>
                <w:sz w:val="24"/>
              </w:rPr>
              <w:t>基金托管人、基金销售机构</w:t>
            </w:r>
          </w:p>
        </w:tc>
      </w:tr>
      <w:tr>
        <w:tc>
          <w:tcPr>
            <w:vAlign w:val="center"/>
          </w:tcPr>
          <w:p>
            <w:pPr>
              <w:jc w:val="left"/>
            </w:pPr>
            <w:r>
              <w:rPr>
                <w:color w:val="000000"/>
                <w:sz w:val="24"/>
              </w:rPr>
              <w:t>交通银行股份有限公司(“交通银行”)</w:t>
            </w:r>
          </w:p>
        </w:tc>
        <w:tc>
          <w:tcPr>
            <w:vAlign w:val="center"/>
          </w:tcPr>
          <w:p>
            <w:pPr>
              <w:jc w:val="left"/>
            </w:pPr>
            <w:r>
              <w:rPr>
                <w:color w:val="000000"/>
                <w:sz w:val="24"/>
              </w:rPr>
              <w:t>基金管理人的股东、基金销售机构</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注：下述关联交易均在正常业务范围内按一般商业条款订立。</w:t>
      </w:r>
    </w:p>
    <w:p w:rsidP="00AC6DDA" w:rsidR="001548F9" w:rsidRDefault="001548F9" w:rsidRPr="005C672D">
      <w:pPr>
        <w:spacing w:before="29" w:line="288" w:lineRule="auto"/>
        <w:rPr>
          <w:color w:val="000000"/>
          <w:sz w:val="24"/>
        </w:rPr>
      </w:pPr>
      <w:r w:rsidRPr="005C672D">
        <w:rPr>
          <w:color w:val="000000"/>
          <w:sz w:val="24"/>
        </w:rPr>
        <w:tab/>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本基金本报告期内及上年度可比期间无通过关联方交易单元进行的交易。</w:t>
      </w:r>
    </w:p>
    <w:p w:rsidP="00AC6DDA" w:rsidR="00EC30D6" w:rsidRDefault="00EC30D6" w:rsidRPr="005C672D">
      <w:pPr>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6.4.8.2.1 </w:t>
      </w:r>
      <w:r w:rsidRPr="005C672D">
        <w:rPr>
          <w:b/>
          <w:color w:val="000000"/>
          <w:kern w:val="0"/>
          <w:sz w:val="24"/>
        </w:rPr>
        <w:t>基金管理费</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7"/>
        <w:gridCol w:w="2657"/>
      </w:tblGrid>
      <w:tr w:rsidR="001548F9" w:rsidRPr="005C672D" w:rsidTr="00C17210">
        <w:tc>
          <w:tcPr>
            <w:tcW w:type="dxa" w:w="3686"/>
            <w:vAlign w:val="center"/>
          </w:tcPr>
          <w:p w:rsidP="00AC6DDA" w:rsidR="001548F9" w:rsidRDefault="001548F9" w:rsidRPr="005C672D">
            <w:pPr>
              <w:spacing w:before="29" w:line="288" w:lineRule="auto"/>
              <w:jc w:val="center"/>
              <w:rPr>
                <w:color w:val="000000"/>
                <w:sz w:val="24"/>
              </w:rPr>
            </w:pPr>
            <w:r w:rsidRPr="005C672D">
              <w:rPr>
                <w:color w:val="000000"/>
                <w:sz w:val="24"/>
              </w:rPr>
              <w:t>项目</w:t>
            </w:r>
            <w:r w:rsidRPr="005C672D">
              <w:rPr>
                <w:b/>
                <w:color w:val="000000"/>
                <w:sz w:val="24"/>
              </w:rPr>
              <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本期</w:t>
            </w:r>
          </w:p>
          <w:p w:rsidP="00AC6DDA" w:rsidR="001548F9" w:rsidRDefault="001548F9" w:rsidRPr="005C672D">
            <w:pPr>
              <w:widowControl/>
              <w:autoSpaceDE w:val="0"/>
              <w:autoSpaceDN w:val="0"/>
              <w:spacing w:before="29" w:line="288" w:lineRule="auto"/>
              <w:ind w:right="-15"/>
              <w:jc w:val="center"/>
              <w:textAlignment w:val="bottom"/>
              <w:rPr>
                <w:color w:val="000000"/>
                <w:sz w:val="24"/>
              </w:rPr>
            </w:pPr>
            <w:r w:rsidRPr="005C672D">
              <w:rPr>
                <w:sz w:val="24"/>
              </w:rPr>
              <w:t>2019年1月1日</w:t>
            </w:r>
            <w:r w:rsidRPr="005C672D">
              <w:rPr>
                <w:sz w:val="24"/>
              </w:rPr>
              <w:t>至</w:t>
            </w:r>
            <w:r w:rsidRPr="005C672D">
              <w:rPr>
                <w:sz w:val="24"/>
              </w:rPr>
              <w:t>2019年6月30日</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上年度可比期间</w:t>
            </w:r>
          </w:p>
          <w:p w:rsidP="00AC6DDA" w:rsidR="001548F9" w:rsidRDefault="001548F9"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2018年1月1日至2018年6月30日</w:t>
            </w:r>
            <w:r w:rsidRPr="005C672D">
              <w:rPr>
                <w:sz w:val="24"/>
              </w:rPr>
              <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当期发生的基金应支付的管理费</w:t>
            </w:r>
          </w:p>
        </w:tc>
        <w:tc>
          <w:tcPr>
            <w:tcW w:type="dxa" w:w="2657"/>
            <w:vAlign w:val="center"/>
          </w:tcPr>
          <w:p w:rsidP="00AC6DDA" w:rsidR="001548F9" w:rsidRDefault="001548F9" w:rsidRPr="005C672D">
            <w:pPr>
              <w:spacing w:before="29" w:line="288" w:lineRule="auto"/>
              <w:jc w:val="right"/>
              <w:rPr>
                <w:sz w:val="24"/>
              </w:rPr>
            </w:pPr>
            <w:r w:rsidRPr="005C672D">
              <w:rPr>
                <w:sz w:val="24"/>
              </w:rPr>
              <w:t>24,260,680.77</w:t>
            </w:r>
          </w:p>
        </w:tc>
        <w:tc>
          <w:tcPr>
            <w:tcW w:type="dxa" w:w="2657"/>
            <w:vAlign w:val="center"/>
          </w:tcPr>
          <w:p w:rsidP="00AC6DDA" w:rsidR="001548F9" w:rsidRDefault="001548F9" w:rsidRPr="005C672D">
            <w:pPr>
              <w:spacing w:before="29" w:line="288" w:lineRule="auto"/>
              <w:jc w:val="right"/>
              <w:rPr>
                <w:sz w:val="24"/>
              </w:rPr>
            </w:pPr>
            <w:r w:rsidRPr="005C672D">
              <w:rPr>
                <w:sz w:val="24"/>
              </w:rPr>
              <w:t>33,272,188.30</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其中：支付销售机构的客户维护费</w:t>
            </w:r>
          </w:p>
        </w:tc>
        <w:tc>
          <w:tcPr>
            <w:tcW w:type="dxa" w:w="2657"/>
            <w:vAlign w:val="center"/>
          </w:tcPr>
          <w:p w:rsidP="00AC6DDA" w:rsidR="001548F9" w:rsidRDefault="001548F9" w:rsidRPr="005C672D">
            <w:pPr>
              <w:spacing w:before="29" w:line="288" w:lineRule="auto"/>
              <w:jc w:val="right"/>
              <w:rPr>
                <w:sz w:val="24"/>
              </w:rPr>
            </w:pPr>
            <w:r w:rsidRPr="005C672D">
              <w:rPr>
                <w:sz w:val="24"/>
              </w:rPr>
              <w:t>4,854,320.07</w:t>
            </w:r>
          </w:p>
        </w:tc>
        <w:tc>
          <w:tcPr>
            <w:tcW w:type="dxa" w:w="2657"/>
            <w:vAlign w:val="center"/>
          </w:tcPr>
          <w:p w:rsidP="00AC6DDA" w:rsidR="001548F9" w:rsidRDefault="001548F9" w:rsidRPr="005C672D">
            <w:pPr>
              <w:spacing w:before="29" w:line="288" w:lineRule="auto"/>
              <w:jc w:val="right"/>
              <w:rPr>
                <w:sz w:val="24"/>
              </w:rPr>
            </w:pPr>
            <w:r w:rsidRPr="005C672D">
              <w:rPr>
                <w:sz w:val="24"/>
              </w:rPr>
              <w:t>6,414,736.47</w:t>
            </w:r>
          </w:p>
        </w:tc>
      </w:tr>
    </w:tbl>
    <w:p>
      <w:pPr>
        <w:tabs>
          <w:tab w:pos="426" w:val="left"/>
        </w:tabs>
        <w:spacing w:before="29" w:line="288" w:lineRule="auto"/>
        <w:jc w:val="left"/>
        <w:rPr>
          <w:kern w:val="0"/>
          <w:sz w:val="24"/>
        </w:rPr>
      </w:pPr>
      <w:r>
        <w:rPr>
          <w:kern w:val="0"/>
          <w:sz w:val="24"/>
        </w:rPr>
        <w:t>注：支付基金管理人的管理人报酬按前一日基金资产净值1.5%的年费率计提，逐日累计至每月月底，按月支付。其计算公式为：</w:t>
      </w:r>
    </w:p>
    <w:p w:rsidP="00AC6DDA" w:rsidR="001548F9" w:rsidRDefault="001548F9" w:rsidRPr="005C672D">
      <w:pPr>
        <w:tabs>
          <w:tab w:pos="426" w:val="left"/>
        </w:tabs>
        <w:spacing w:before="29" w:line="288" w:lineRule="auto"/>
        <w:jc w:val="left"/>
        <w:rPr>
          <w:kern w:val="0"/>
          <w:sz w:val="24"/>
        </w:rPr>
      </w:pPr>
      <w:r w:rsidRPr="005C672D">
        <w:rPr>
          <w:kern w:val="0"/>
          <w:sz w:val="24"/>
        </w:rPr>
        <w:t>日管理人报酬＝前一日基金资产净值×1.5%÷当年天数。</w:t>
      </w:r>
    </w:p>
    <w:p w:rsidP="00AC6DDA" w:rsidR="001548F9" w:rsidRDefault="001548F9" w:rsidRPr="005C672D">
      <w:pPr>
        <w:spacing w:before="29" w:line="288" w:lineRule="auto"/>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7"/>
        <w:gridCol w:w="2657"/>
      </w:tblGrid>
      <w:tr w:rsidR="001548F9" w:rsidRPr="005C672D" w:rsidTr="00C17210">
        <w:tc>
          <w:tcPr>
            <w:tcW w:type="dxa" w:w="3686"/>
            <w:vAlign w:val="center"/>
          </w:tcPr>
          <w:p w:rsidP="00AC6DDA" w:rsidR="001548F9" w:rsidRDefault="001548F9" w:rsidRPr="005C672D">
            <w:pPr>
              <w:spacing w:before="29" w:line="288" w:lineRule="auto"/>
              <w:jc w:val="center"/>
              <w:rPr>
                <w:color w:val="000000"/>
                <w:sz w:val="24"/>
              </w:rPr>
            </w:pPr>
            <w:r w:rsidRPr="005C672D">
              <w:rPr>
                <w:color w:val="000000"/>
                <w:sz w:val="24"/>
              </w:rPr>
              <w:t>项目</w:t>
            </w:r>
            <w:r w:rsidRPr="005C672D">
              <w:rPr>
                <w:b/>
                <w:color w:val="000000"/>
                <w:sz w:val="24"/>
              </w:rPr>
              <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本期</w:t>
            </w:r>
          </w:p>
          <w:p w:rsidP="00AC6DDA" w:rsidR="001548F9" w:rsidRDefault="001548F9" w:rsidRPr="005C672D">
            <w:pPr>
              <w:widowControl/>
              <w:autoSpaceDE w:val="0"/>
              <w:autoSpaceDN w:val="0"/>
              <w:spacing w:before="29" w:line="288" w:lineRule="auto"/>
              <w:ind w:right="-15"/>
              <w:jc w:val="center"/>
              <w:textAlignment w:val="bottom"/>
              <w:rPr>
                <w:color w:val="000000"/>
                <w:sz w:val="24"/>
              </w:rPr>
            </w:pPr>
            <w:r w:rsidRPr="005C672D">
              <w:rPr>
                <w:sz w:val="24"/>
              </w:rPr>
              <w:t>2019年1月1日</w:t>
            </w:r>
            <w:r w:rsidRPr="005C672D">
              <w:rPr>
                <w:sz w:val="24"/>
              </w:rPr>
              <w:t>至</w:t>
            </w:r>
            <w:r w:rsidRPr="005C672D">
              <w:rPr>
                <w:sz w:val="24"/>
              </w:rPr>
              <w:t>2019年6月30日</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上年度可比期间</w:t>
            </w:r>
          </w:p>
          <w:p w:rsidP="00AC6DDA" w:rsidR="001548F9" w:rsidRDefault="001548F9"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2018年1月1日至2018年6月30日</w:t>
            </w:r>
            <w:r w:rsidRPr="005C672D">
              <w:rPr>
                <w:sz w:val="24"/>
              </w:rPr>
              <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当期发生的基金应支付的托管费</w:t>
            </w:r>
          </w:p>
        </w:tc>
        <w:tc>
          <w:tcPr>
            <w:tcW w:type="dxa" w:w="2657"/>
            <w:vAlign w:val="center"/>
          </w:tcPr>
          <w:p w:rsidP="00AC6DDA" w:rsidR="001548F9" w:rsidRDefault="001548F9" w:rsidRPr="005C672D">
            <w:pPr>
              <w:spacing w:before="29" w:line="288" w:lineRule="auto"/>
              <w:jc w:val="right"/>
              <w:rPr>
                <w:color w:val="000000"/>
                <w:kern w:val="0"/>
                <w:sz w:val="24"/>
              </w:rPr>
            </w:pPr>
            <w:r w:rsidRPr="005C672D">
              <w:rPr>
                <w:sz w:val="24"/>
              </w:rPr>
              <w:t>4,043,446.84</w:t>
            </w:r>
          </w:p>
        </w:tc>
        <w:tc>
          <w:tcPr>
            <w:tcW w:type="dxa" w:w="2657"/>
            <w:vAlign w:val="center"/>
          </w:tcPr>
          <w:p w:rsidP="00AC6DDA" w:rsidR="001548F9" w:rsidRDefault="001548F9" w:rsidRPr="005C672D">
            <w:pPr>
              <w:spacing w:before="29" w:line="288" w:lineRule="auto"/>
              <w:jc w:val="right"/>
              <w:rPr>
                <w:color w:val="000000"/>
                <w:sz w:val="24"/>
              </w:rPr>
            </w:pPr>
            <w:r w:rsidRPr="005C672D">
              <w:rPr>
                <w:sz w:val="24"/>
              </w:rPr>
              <w:t>5,545,364.80</w:t>
            </w:r>
          </w:p>
        </w:tc>
      </w:tr>
    </w:tbl>
    <w:p>
      <w:pPr>
        <w:tabs>
          <w:tab w:pos="426" w:val="left"/>
        </w:tabs>
        <w:spacing w:before="29" w:line="288" w:lineRule="auto"/>
        <w:jc w:val="left"/>
        <w:rPr>
          <w:kern w:val="0"/>
          <w:sz w:val="24"/>
        </w:rPr>
      </w:pPr>
      <w:r>
        <w:rPr>
          <w:kern w:val="0"/>
          <w:sz w:val="24"/>
        </w:rPr>
        <w:t xml:space="preserve">注：支付基金托管人的托管费按前一日基金资产净值0.25%的年费率计提，逐日累计至每月月底，按月支付。其计算公式为： </w:t>
      </w:r>
    </w:p>
    <w:p w:rsidP="00AC6DDA" w:rsidR="001548F9" w:rsidRDefault="001548F9" w:rsidRPr="005C672D">
      <w:pPr>
        <w:tabs>
          <w:tab w:pos="426" w:val="left"/>
        </w:tabs>
        <w:spacing w:before="29" w:line="288" w:lineRule="auto"/>
        <w:jc w:val="left"/>
        <w:rPr>
          <w:kern w:val="0"/>
          <w:sz w:val="24"/>
        </w:rPr>
      </w:pPr>
      <w:r w:rsidRPr="005C672D">
        <w:rPr>
          <w:kern w:val="0"/>
          <w:sz w:val="24"/>
        </w:rPr>
        <w:t>日托管费＝前一日基金资产净值×0.25%÷当年天数。</w:t>
      </w:r>
    </w:p>
    <w:p w:rsidP="00AC6DDA" w:rsidR="001548F9" w:rsidRDefault="001548F9" w:rsidRPr="005C672D">
      <w:pPr>
        <w:spacing w:before="29" w:line="288" w:lineRule="auto"/>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P="00AC6DDA" w:rsidR="001548F9" w:rsidRDefault="001548F9" w:rsidRPr="005C672D">
      <w:pPr>
        <w:tabs>
          <w:tab w:pos="426" w:val="left"/>
        </w:tabs>
        <w:spacing w:before="29" w:line="288" w:lineRule="auto"/>
        <w:jc w:val="left"/>
        <w:rPr>
          <w:kern w:val="0"/>
          <w:sz w:val="24"/>
        </w:rPr>
      </w:pPr>
      <w:r w:rsidRPr="005C672D">
        <w:rPr>
          <w:kern w:val="0"/>
          <w:sz w:val="24"/>
        </w:rPr>
        <w:t>无。</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P="00AC6DDA" w:rsidR="001548F9" w:rsidRDefault="001548F9" w:rsidRPr="005C672D">
      <w:pPr>
        <w:tabs>
          <w:tab w:pos="426" w:val="left"/>
        </w:tabs>
        <w:spacing w:before="29" w:line="288" w:lineRule="auto"/>
        <w:jc w:val="left"/>
        <w:rPr>
          <w:kern w:val="0"/>
          <w:sz w:val="24"/>
        </w:rPr>
      </w:pPr>
      <w:r w:rsidRPr="005C672D">
        <w:rPr>
          <w:kern w:val="0"/>
          <w:sz w:val="24"/>
        </w:rPr>
        <w:t>本基金本报告期内及上年度可比期间未与关联方进行银行间同业市场的债券(含回购)交易。</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P="00AC6DDA" w:rsidR="001548F9" w:rsidRDefault="001548F9" w:rsidRPr="005C672D">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99056D" w:rsidRPr="005C672D">
        <w:rPr>
          <w:kern w:val="0"/>
          <w:sz w:val="24"/>
        </w:rPr>
        <w:t/>
      </w:r>
      <w:r w:rsidRPr="005C672D">
        <w:rPr>
          <w:kern w:val="0"/>
          <w:sz w:val="24"/>
        </w:rPr>
        <w:t>本报告期内及上年度可比期间未发生基金管理人运用固有资金投资本基金的情况。</w:t>
      </w:r>
    </w:p>
    <w:p w:rsidP="00AC6DDA" w:rsidR="001548F9" w:rsidRDefault="001548F9" w:rsidRPr="005C672D">
      <w:pPr>
        <w:adjustRightInd w:val="0"/>
        <w:snapToGrid w:val="0"/>
        <w:spacing w:before="29" w:line="288" w:lineRule="auto"/>
        <w:jc w:val="left"/>
        <w:rPr>
          <w:bCs/>
          <w:color w:val="000000"/>
          <w:sz w:val="24"/>
        </w:rPr>
      </w:pPr>
      <w:r w:rsidRPr="005C672D">
        <w:rPr>
          <w:bCs/>
          <w:color w:val="000000"/>
          <w:sz w:val="24"/>
        </w:rPr>
        <w:tab/>
      </w:r>
    </w:p>
    <w:p w:rsidP="00AC6DDA" w:rsidR="001548F9" w:rsidRDefault="001548F9" w:rsidRPr="005C672D">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P="00AC6DDA" w:rsidR="00F31BCF" w:rsidRDefault="00F31BCF" w:rsidRPr="005C672D">
      <w:pPr>
        <w:tabs>
          <w:tab w:pos="426" w:val="left"/>
        </w:tabs>
        <w:spacing w:before="29" w:line="288" w:lineRule="auto"/>
        <w:jc w:val="left"/>
        <w:rPr>
          <w:kern w:val="0"/>
          <w:sz w:val="24"/>
        </w:rPr>
      </w:pPr>
      <w:r w:rsidRPr="005C672D">
        <w:rPr>
          <w:kern w:val="0"/>
          <w:sz w:val="24"/>
        </w:rPr>
        <w:t>本报告期末及上年度末除基金管理人之外的其他关联方未持有本基金。</w:t>
      </w:r>
    </w:p>
    <w:p w:rsidP="00AC6DDA" w:rsidR="001548F9" w:rsidRDefault="001548F9" w:rsidRPr="005C672D">
      <w:pPr>
        <w:spacing w:before="29" w:line="288" w:lineRule="auto"/>
        <w:rPr>
          <w:color w:val="000000"/>
          <w:kern w:val="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dxa" w:w="9185"/>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171"/>
        <w:gridCol w:w="2023"/>
        <w:gridCol w:w="1772"/>
        <w:gridCol w:w="1412"/>
        <w:gridCol w:w="1807"/>
      </w:tblGrid>
      <w:tr w:rsidR="00300128" w:rsidRPr="005C672D" w:rsidTr="0017554D">
        <w:tc>
          <w:tcPr>
            <w:tcW w:type="dxa" w:w="2127"/>
            <w:vMerge w:val="restart"/>
            <w:vAlign w:val="center"/>
          </w:tcPr>
          <w:p w:rsidP="00AC6DDA" w:rsidR="00300128" w:rsidRDefault="00300128" w:rsidRPr="005C672D">
            <w:pPr>
              <w:spacing w:before="29" w:line="288" w:lineRule="auto"/>
              <w:jc w:val="center"/>
              <w:rPr>
                <w:color w:val="000000"/>
                <w:sz w:val="24"/>
              </w:rPr>
            </w:pPr>
            <w:r w:rsidRPr="005C672D">
              <w:rPr>
                <w:color w:val="000000"/>
                <w:sz w:val="24"/>
              </w:rPr>
              <w:t>关联方名称</w:t>
            </w:r>
            <w:r w:rsidR="00FD7B1C" w:rsidRPr="005C672D">
              <w:rPr>
                <w:color w:val="000000"/>
                <w:sz w:val="24"/>
              </w:rPr>
              <w:t/>
            </w:r>
          </w:p>
        </w:tc>
        <w:tc>
          <w:tcPr>
            <w:tcW w:type="dxa" w:w="3718"/>
            <w:gridSpan w:val="2"/>
            <w:vAlign w:val="center"/>
          </w:tcPr>
          <w:p w:rsidP="00AC6DDA" w:rsidR="00300128" w:rsidRDefault="00300128" w:rsidRPr="005C672D">
            <w:pPr>
              <w:spacing w:before="29" w:line="288" w:lineRule="auto"/>
              <w:jc w:val="center"/>
              <w:rPr>
                <w:color w:val="000000"/>
                <w:sz w:val="24"/>
              </w:rPr>
            </w:pPr>
            <w:r w:rsidRPr="005C672D">
              <w:rPr>
                <w:color w:val="000000"/>
                <w:sz w:val="24"/>
              </w:rPr>
              <w:t>本期</w:t>
            </w:r>
          </w:p>
          <w:p w:rsidP="00AC6DDA" w:rsidR="00300128" w:rsidRDefault="00300128" w:rsidRPr="005C672D">
            <w:pPr>
              <w:widowControl/>
              <w:autoSpaceDE w:val="0"/>
              <w:autoSpaceDN w:val="0"/>
              <w:spacing w:before="29" w:line="288" w:lineRule="auto"/>
              <w:ind w:right="-15"/>
              <w:jc w:val="center"/>
              <w:textAlignment w:val="bottom"/>
              <w:rPr>
                <w:color w:val="000000"/>
                <w:sz w:val="24"/>
              </w:rPr>
            </w:pPr>
            <w:r w:rsidRPr="005C672D">
              <w:rPr>
                <w:color w:val="000000"/>
                <w:sz w:val="24"/>
              </w:rPr>
              <w:t>2019年1月1日</w:t>
            </w:r>
            <w:r w:rsidRPr="005C672D">
              <w:rPr>
                <w:color w:val="000000"/>
                <w:sz w:val="24"/>
              </w:rPr>
              <w:t>至</w:t>
            </w:r>
            <w:r w:rsidRPr="005C672D">
              <w:rPr>
                <w:color w:val="000000"/>
                <w:sz w:val="24"/>
              </w:rPr>
              <w:t>2019年6月30日</w:t>
            </w:r>
          </w:p>
        </w:tc>
        <w:tc>
          <w:tcPr>
            <w:tcW w:type="dxa" w:w="3153"/>
            <w:gridSpan w:val="2"/>
            <w:vAlign w:val="center"/>
          </w:tcPr>
          <w:p w:rsidP="00AC6DDA" w:rsidR="00300128" w:rsidRDefault="00300128" w:rsidRPr="005C672D">
            <w:pPr>
              <w:spacing w:before="29" w:line="288" w:lineRule="auto"/>
              <w:jc w:val="center"/>
              <w:rPr>
                <w:color w:val="000000"/>
                <w:sz w:val="24"/>
              </w:rPr>
            </w:pPr>
            <w:r w:rsidRPr="005C672D">
              <w:rPr>
                <w:color w:val="000000"/>
                <w:sz w:val="24"/>
              </w:rPr>
              <w:t>上年度可比期间</w:t>
            </w:r>
          </w:p>
          <w:p w:rsidP="00AC6DDA" w:rsidR="00300128" w:rsidRDefault="00300128"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2018年1月1日至2018年6月30日</w:t>
            </w:r>
          </w:p>
        </w:tc>
      </w:tr>
      <w:tr w:rsidR="00300128" w:rsidRPr="005C672D" w:rsidTr="0017554D">
        <w:tc>
          <w:tcPr>
            <w:tcW w:type="dxa" w:w="2127"/>
            <w:vMerge/>
            <w:vAlign w:val="center"/>
          </w:tcPr>
          <w:p w:rsidP="00AC6DDA" w:rsidR="00300128" w:rsidRDefault="00300128" w:rsidRPr="005C672D">
            <w:pPr>
              <w:widowControl/>
              <w:spacing w:before="29" w:line="288" w:lineRule="auto"/>
              <w:jc w:val="left"/>
              <w:rPr>
                <w:color w:val="000000"/>
                <w:sz w:val="24"/>
              </w:rPr>
            </w:pPr>
          </w:p>
        </w:tc>
        <w:tc>
          <w:tcPr>
            <w:tcW w:type="dxa" w:w="1982"/>
            <w:vAlign w:val="center"/>
          </w:tcPr>
          <w:p w:rsidP="00AC6DDA" w:rsidR="00300128" w:rsidRDefault="00300128" w:rsidRPr="005C672D">
            <w:pPr>
              <w:spacing w:before="29" w:line="288" w:lineRule="auto"/>
              <w:jc w:val="center"/>
              <w:rPr>
                <w:color w:val="000000"/>
                <w:sz w:val="24"/>
              </w:rPr>
            </w:pPr>
            <w:r w:rsidRPr="005C672D">
              <w:rPr>
                <w:color w:val="000000"/>
                <w:sz w:val="24"/>
              </w:rPr>
              <w:t>期末余额</w:t>
            </w:r>
          </w:p>
        </w:tc>
        <w:tc>
          <w:tcPr>
            <w:tcW w:type="dxa" w:w="1736"/>
            <w:vAlign w:val="center"/>
          </w:tcPr>
          <w:p w:rsidP="00AC6DDA" w:rsidR="00300128" w:rsidRDefault="00300128" w:rsidRPr="005C672D">
            <w:pPr>
              <w:spacing w:before="29" w:line="288" w:lineRule="auto"/>
              <w:jc w:val="center"/>
              <w:rPr>
                <w:color w:val="000000"/>
                <w:sz w:val="24"/>
              </w:rPr>
            </w:pPr>
            <w:r w:rsidRPr="005C672D">
              <w:rPr>
                <w:color w:val="000000"/>
                <w:sz w:val="24"/>
              </w:rPr>
              <w:t>当期利息收入</w:t>
            </w:r>
          </w:p>
        </w:tc>
        <w:tc>
          <w:tcPr>
            <w:tcW w:type="dxa" w:w="1383"/>
            <w:vAlign w:val="center"/>
          </w:tcPr>
          <w:p w:rsidP="00AC6DDA" w:rsidR="00300128" w:rsidRDefault="00300128" w:rsidRPr="005C672D">
            <w:pPr>
              <w:spacing w:before="29" w:line="288" w:lineRule="auto"/>
              <w:jc w:val="center"/>
              <w:rPr>
                <w:color w:val="000000"/>
                <w:sz w:val="24"/>
              </w:rPr>
            </w:pPr>
            <w:r w:rsidRPr="005C672D">
              <w:rPr>
                <w:color w:val="000000"/>
                <w:sz w:val="24"/>
              </w:rPr>
              <w:t>期末余额</w:t>
            </w:r>
          </w:p>
        </w:tc>
        <w:tc>
          <w:tcPr>
            <w:tcW w:type="dxa" w:w="1770"/>
            <w:vAlign w:val="center"/>
          </w:tcPr>
          <w:p w:rsidP="00AC6DDA" w:rsidR="00300128" w:rsidRDefault="00300128" w:rsidRPr="005C672D">
            <w:pPr>
              <w:spacing w:before="29" w:line="288" w:lineRule="auto"/>
              <w:jc w:val="center"/>
              <w:rPr>
                <w:color w:val="000000"/>
                <w:sz w:val="24"/>
              </w:rPr>
            </w:pPr>
            <w:r w:rsidRPr="005C672D">
              <w:rPr>
                <w:color w:val="000000"/>
                <w:sz w:val="24"/>
              </w:rPr>
              <w:t>当期利息收入</w:t>
            </w:r>
          </w:p>
        </w:tc>
      </w:tr>
      <w:tr>
        <w:tc>
          <w:tcPr>
            <w:vAlign w:val="center"/>
          </w:tcPr>
          <w:p>
            <w:pPr>
              <w:jc w:val="left"/>
            </w:pPr>
            <w:r>
              <w:rPr>
                <w:sz w:val="24"/>
              </w:rPr>
              <w:t>中国建设银行</w:t>
            </w:r>
          </w:p>
        </w:tc>
        <w:tc>
          <w:tcPr>
            <w:vAlign w:val="center"/>
          </w:tcPr>
          <w:p>
            <w:pPr>
              <w:jc w:val="right"/>
            </w:pPr>
            <w:r>
              <w:rPr>
                <w:sz w:val="24"/>
              </w:rPr>
              <w:t>482,396,463.56</w:t>
            </w:r>
          </w:p>
        </w:tc>
        <w:tc>
          <w:tcPr>
            <w:vAlign w:val="center"/>
          </w:tcPr>
          <w:p>
            <w:pPr>
              <w:jc w:val="right"/>
            </w:pPr>
            <w:r>
              <w:rPr>
                <w:sz w:val="24"/>
              </w:rPr>
              <w:t>2,501,728.78</w:t>
            </w:r>
          </w:p>
        </w:tc>
        <w:tc>
          <w:tcPr>
            <w:vAlign w:val="center"/>
          </w:tcPr>
          <w:p>
            <w:pPr>
              <w:jc w:val="right"/>
            </w:pPr>
            <w:r>
              <w:rPr>
                <w:sz w:val="24"/>
              </w:rPr>
              <w:t>125,689,094.36</w:t>
            </w:r>
          </w:p>
        </w:tc>
        <w:tc>
          <w:tcPr>
            <w:vAlign w:val="center"/>
          </w:tcPr>
          <w:p>
            <w:pPr>
              <w:jc w:val="right"/>
            </w:pPr>
            <w:r>
              <w:rPr>
                <w:sz w:val="24"/>
              </w:rPr>
              <w:t>1,066,814.73</w:t>
            </w:r>
          </w:p>
        </w:tc>
      </w:tr>
    </w:tbl>
    <w:p w:rsidP="00AC6DDA" w:rsidR="00300128" w:rsidRDefault="00300128" w:rsidRPr="005C672D">
      <w:pPr>
        <w:tabs>
          <w:tab w:pos="426" w:val="left"/>
        </w:tabs>
        <w:spacing w:before="29" w:line="288" w:lineRule="auto"/>
        <w:jc w:val="left"/>
        <w:rPr>
          <w:kern w:val="0"/>
          <w:sz w:val="24"/>
        </w:rPr>
      </w:pPr>
      <w:r w:rsidRPr="005C672D">
        <w:rPr>
          <w:kern w:val="0"/>
          <w:sz w:val="24"/>
        </w:rPr>
        <w:t>注：本基金的银行存款由基金托管人保管，按银行同业利率计息。</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P="00AC6DDA" w:rsidR="001548F9" w:rsidRDefault="001548F9" w:rsidRPr="005C672D">
      <w:pPr>
        <w:tabs>
          <w:tab w:pos="426" w:val="left"/>
        </w:tabs>
        <w:spacing w:before="29" w:line="288" w:lineRule="auto"/>
        <w:jc w:val="left"/>
        <w:rPr>
          <w:kern w:val="0"/>
          <w:sz w:val="24"/>
        </w:rPr>
      </w:pPr>
      <w:r w:rsidRPr="005C672D">
        <w:rPr>
          <w:kern w:val="0"/>
          <w:sz w:val="24"/>
        </w:rPr>
        <w:t>本基金本报告期内及上年度可比期间未在承销期内参与关联方承销证券。</w:t>
      </w:r>
    </w:p>
    <w:p w:rsidP="00AC6DDA" w:rsidR="001548F9" w:rsidRDefault="001548F9" w:rsidRPr="005C672D">
      <w:pPr>
        <w:adjustRightInd w:val="0"/>
        <w:snapToGrid w:val="0"/>
        <w:spacing w:before="29" w:line="288" w:lineRule="auto"/>
        <w:jc w:val="left"/>
        <w:rPr>
          <w:bCs/>
          <w:color w:val="000000"/>
          <w:sz w:val="24"/>
        </w:rPr>
      </w:pPr>
    </w:p>
    <w:p w:rsidP="00EC259C" w:rsidR="0095029A" w:rsidRDefault="0095029A" w:rsidRPr="00690ED2">
      <w:pPr>
        <w:adjustRightInd w:val="0"/>
        <w:snapToGrid w:val="0"/>
        <w:spacing w:beforeLines="100" w:line="360" w:lineRule="auto"/>
        <w:rPr>
          <w:rFonts w:eastAsiaTheme="minorEastAsia"/>
          <w:b/>
          <w:color w:themeColor="text1" w:val="000000"/>
          <w:sz w:val="24"/>
        </w:rPr>
      </w:pPr>
      <w:bookmarkStart w:id="53" w:name="OLE_LINK17"/>
      <w:bookmarkStart w:id="54" w:name="OLE_LINK18"/>
      <w:bookmarkStart w:id="55" w:name="OLE_LINK19"/>
      <w:bookmarkStart w:id="56" w:name="OLE_LINK57"/>
      <w:bookmarkStart w:id="57" w:name="OLE_LINK58"/>
      <w:bookmarkStart w:id="58" w:name="OLE_LINK78"/>
      <w:bookmarkStart w:id="59" w:name="OLE_LINK79"/>
      <w:bookmarkStart w:id="60" w:name="OLE_LINK83"/>
      <w:bookmarkStart w:id="61" w:name="OLE_LINK95"/>
      <w:bookmarkStart w:id="62" w:name="OLE_LINK96"/>
      <w:bookmarkStart w:id="63" w:name="OLE_LINK106"/>
      <w:bookmarkStart w:id="64" w:name="OLE_LINK107"/>
      <w:bookmarkStart w:id="65" w:name="OLE_LINK122"/>
      <w:bookmarkStart w:id="66" w:name="OLE_LINK123"/>
      <w:bookmarkStart w:id="67" w:name="OLE_LINK134"/>
      <w:bookmarkStart w:id="68" w:name="OLE_LINK155"/>
      <w:bookmarkStart w:id="69" w:name="OLE_LINK164"/>
      <w:r w:rsidRPr="00690ED2">
        <w:rPr>
          <w:rFonts w:eastAsiaTheme="minorEastAsia"/>
          <w:b/>
          <w:bCs/>
          <w:color w:themeColor="text1" w:val="000000"/>
          <w:kern w:val="0"/>
          <w:sz w:val="24"/>
        </w:rPr>
        <w:t xml:space="preserve">6.4.8.7 </w:t>
      </w:r>
      <w:bookmarkStart w:id="70" w:name="OLE_LINK189"/>
      <w:bookmarkStart w:id="71" w:name="OLE_LINK7"/>
      <w:bookmarkStart w:id="72" w:name="OLE_LINK6"/>
      <w:r w:rsidRPr="00690ED2">
        <w:rPr>
          <w:rFonts w:eastAsiaTheme="minorEastAsia" w:hint="eastAsia"/>
          <w:b/>
          <w:color w:themeColor="text1" w:val="000000"/>
          <w:sz w:val="24"/>
        </w:rPr>
        <w:t>其他关联交易事项的说明</w:t>
      </w:r>
      <w:bookmarkEnd w:id="70"/>
      <w:bookmarkEnd w:id="71"/>
      <w:bookmarkEnd w:id="72"/>
    </w:p>
    <w:p w:rsidP="0095029A" w:rsidR="0095029A" w:rsidRDefault="0095029A">
      <w:pPr>
        <w:widowControl/>
        <w:spacing w:line="360" w:lineRule="auto"/>
        <w:ind w:firstLine="480" w:firstLineChars="200"/>
        <w:rPr>
          <w:rFonts w:eastAsiaTheme="minorEastAsia"/>
          <w:color w:themeColor="text1" w:val="000000"/>
          <w:kern w:val="0"/>
          <w:sz w:val="24"/>
        </w:rPr>
      </w:pPr>
      <w:r w:rsidRPr="00690ED2">
        <w:rPr>
          <w:rFonts w:eastAsiaTheme="minorEastAsia"/>
          <w:color w:themeColor="text1" w:val="000000"/>
          <w:kern w:val="0"/>
          <w:sz w:val="24"/>
        </w:rPr>
        <w:t>本基金本报告期内及上年度可比期间无其他关联交易事项。</w:t>
      </w:r>
    </w:p>
    <w:p w:rsidP="0095029A" w:rsidR="0095029A" w:rsidRDefault="0095029A" w:rsidRPr="0095029A">
      <w:pPr>
        <w:widowControl/>
        <w:spacing w:line="360" w:lineRule="auto"/>
        <w:ind w:firstLine="480" w:firstLineChars="200"/>
        <w:rPr>
          <w:rFonts w:eastAsiaTheme="minorEastAsia"/>
          <w:color w:themeColor="text1" w:val="000000"/>
          <w:kern w:val="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2019年6月30日</w:t>
      </w:r>
      <w:r w:rsidRPr="005C672D">
        <w:rPr>
          <w:b/>
          <w:bCs/>
          <w:color w:val="000000"/>
          <w:sz w:val="24"/>
        </w:rPr>
        <w:t>）本基金持有的流通受限证券</w:t>
      </w: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P="00AC6DDA" w:rsidR="001548F9" w:rsidRDefault="001548F9" w:rsidRPr="005C672D">
      <w:pPr>
        <w:spacing w:before="29" w:line="288" w:lineRule="auto"/>
        <w:jc w:val="right"/>
        <w:rPr>
          <w:color w:val="000000"/>
          <w:sz w:val="24"/>
        </w:rPr>
      </w:pPr>
      <w:r w:rsidRPr="005C672D">
        <w:rPr>
          <w:color w:val="000000"/>
          <w:sz w:val="24"/>
        </w:rPr>
        <w:t/>
      </w:r>
      <w:r w:rsidRPr="005C672D">
        <w:rPr>
          <w:color w:val="000000"/>
          <w:sz w:val="24"/>
        </w:rPr>
        <w:t>金额单位：人民币元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type="dxa" w:w="9180"/>
            <w:gridSpan w:val="11"/>
            <w:vAlign w:val="center"/>
          </w:tcPr>
          <w:p w:rsidP="00AC6DDA" w:rsidR="001548F9" w:rsidRDefault="001548F9" w:rsidRPr="005C672D">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type="dxa" w:w="834"/>
            <w:vAlign w:val="center"/>
          </w:tcPr>
          <w:p w:rsidP="00AC6DDA" w:rsidR="001548F9" w:rsidRDefault="001548F9" w:rsidRPr="005C672D">
            <w:pPr>
              <w:spacing w:before="29" w:line="288" w:lineRule="auto"/>
              <w:ind w:left="-97" w:leftChars="-46" w:right="-120" w:rightChars="-57"/>
              <w:jc w:val="center"/>
              <w:rPr>
                <w:sz w:val="24"/>
              </w:rPr>
            </w:pPr>
            <w:r w:rsidRPr="005C672D">
              <w:rPr>
                <w:sz w:val="24"/>
              </w:rPr>
              <w:t>证券</w:t>
            </w:r>
          </w:p>
          <w:p w:rsidP="00AC6DDA" w:rsidR="001548F9" w:rsidRDefault="001548F9" w:rsidRPr="005C672D">
            <w:pPr>
              <w:spacing w:before="29" w:line="288" w:lineRule="auto"/>
              <w:ind w:left="-97" w:leftChars="-46" w:right="-120" w:rightChars="-57"/>
              <w:jc w:val="center"/>
              <w:rPr>
                <w:sz w:val="24"/>
              </w:rPr>
            </w:pPr>
            <w:r w:rsidRPr="005C672D">
              <w:rPr>
                <w:sz w:val="24"/>
              </w:rPr>
              <w:t>代码</w:t>
            </w:r>
            <w:r w:rsidR="000442C5" w:rsidRPr="005C672D">
              <w:rPr>
                <w:b/>
                <w:bCs/>
                <w:color w:val="000000"/>
                <w:kern w:val="0"/>
                <w:sz w:val="24"/>
              </w:rPr>
              <w:t/>
            </w:r>
          </w:p>
        </w:tc>
        <w:tc>
          <w:tcPr>
            <w:tcW w:type="dxa" w:w="835"/>
            <w:vAlign w:val="center"/>
          </w:tcPr>
          <w:p w:rsidP="00AC6DDA" w:rsidR="001548F9" w:rsidRDefault="001548F9" w:rsidRPr="005C672D">
            <w:pPr>
              <w:spacing w:before="29" w:line="288" w:lineRule="auto"/>
              <w:ind w:left="-105" w:leftChars="-50" w:right="-113" w:rightChars="-54"/>
              <w:jc w:val="center"/>
              <w:rPr>
                <w:sz w:val="24"/>
              </w:rPr>
            </w:pPr>
            <w:r w:rsidRPr="005C672D">
              <w:rPr>
                <w:sz w:val="24"/>
              </w:rPr>
              <w:t>证券</w:t>
            </w:r>
          </w:p>
          <w:p w:rsidP="00AC6DDA" w:rsidR="001548F9" w:rsidRDefault="001548F9" w:rsidRPr="005C672D">
            <w:pPr>
              <w:spacing w:before="29" w:line="288" w:lineRule="auto"/>
              <w:ind w:left="-105" w:leftChars="-50" w:right="-113" w:rightChars="-54"/>
              <w:jc w:val="center"/>
              <w:rPr>
                <w:sz w:val="24"/>
              </w:rPr>
            </w:pPr>
            <w:r w:rsidRPr="005C672D">
              <w:rPr>
                <w:sz w:val="24"/>
              </w:rPr>
              <w:t>名称</w:t>
            </w:r>
          </w:p>
        </w:tc>
        <w:tc>
          <w:tcPr>
            <w:tcW w:type="dxa" w:w="834"/>
            <w:vAlign w:val="center"/>
          </w:tcPr>
          <w:p w:rsidP="00AC6DDA" w:rsidR="001548F9" w:rsidRDefault="001548F9" w:rsidRPr="005C672D">
            <w:pPr>
              <w:spacing w:before="29" w:line="288" w:lineRule="auto"/>
              <w:jc w:val="center"/>
              <w:rPr>
                <w:sz w:val="24"/>
              </w:rPr>
            </w:pPr>
            <w:r w:rsidRPr="005C672D">
              <w:rPr>
                <w:sz w:val="24"/>
              </w:rPr>
              <w:t>成功</w:t>
            </w:r>
          </w:p>
          <w:p w:rsidP="00AC6DDA" w:rsidR="001548F9" w:rsidRDefault="001548F9" w:rsidRPr="005C672D">
            <w:pPr>
              <w:spacing w:before="29" w:line="288" w:lineRule="auto"/>
              <w:ind w:left="-67" w:leftChars="-32" w:right="-139" w:rightChars="-66"/>
              <w:jc w:val="center"/>
              <w:rPr>
                <w:sz w:val="24"/>
              </w:rPr>
            </w:pPr>
            <w:r w:rsidRPr="005C672D">
              <w:rPr>
                <w:sz w:val="24"/>
              </w:rPr>
              <w:t>认购日</w:t>
            </w:r>
          </w:p>
        </w:tc>
        <w:tc>
          <w:tcPr>
            <w:tcW w:type="dxa" w:w="835"/>
            <w:vAlign w:val="center"/>
          </w:tcPr>
          <w:p w:rsidP="00AC6DDA" w:rsidR="001548F9" w:rsidRDefault="001548F9" w:rsidRPr="005C672D">
            <w:pPr>
              <w:spacing w:before="29" w:line="288" w:lineRule="auto"/>
              <w:jc w:val="center"/>
              <w:rPr>
                <w:sz w:val="24"/>
              </w:rPr>
            </w:pPr>
            <w:r w:rsidRPr="005C672D">
              <w:rPr>
                <w:sz w:val="24"/>
              </w:rPr>
              <w:t>可流</w:t>
            </w:r>
          </w:p>
          <w:p w:rsidP="00AC6DDA" w:rsidR="001548F9" w:rsidRDefault="001548F9" w:rsidRPr="005C672D">
            <w:pPr>
              <w:spacing w:before="29" w:line="288" w:lineRule="auto"/>
              <w:jc w:val="center"/>
              <w:rPr>
                <w:sz w:val="24"/>
              </w:rPr>
            </w:pPr>
            <w:r w:rsidRPr="005C672D">
              <w:rPr>
                <w:sz w:val="24"/>
              </w:rPr>
              <w:t>通日</w:t>
            </w:r>
          </w:p>
        </w:tc>
        <w:tc>
          <w:tcPr>
            <w:tcW w:type="dxa" w:w="834"/>
            <w:vAlign w:val="center"/>
          </w:tcPr>
          <w:p w:rsidP="00AC6DDA" w:rsidR="001548F9" w:rsidRDefault="001548F9" w:rsidRPr="005C672D">
            <w:pPr>
              <w:spacing w:before="29" w:line="288" w:lineRule="auto"/>
              <w:jc w:val="center"/>
              <w:rPr>
                <w:sz w:val="24"/>
              </w:rPr>
            </w:pPr>
            <w:r w:rsidRPr="005C672D">
              <w:rPr>
                <w:sz w:val="24"/>
              </w:rPr>
              <w:t>流通受</w:t>
            </w:r>
          </w:p>
          <w:p w:rsidP="00AC6DDA" w:rsidR="001548F9" w:rsidRDefault="001548F9" w:rsidRPr="005C672D">
            <w:pPr>
              <w:spacing w:before="29" w:line="288" w:lineRule="auto"/>
              <w:jc w:val="center"/>
              <w:rPr>
                <w:sz w:val="24"/>
              </w:rPr>
            </w:pPr>
            <w:r w:rsidRPr="005C672D">
              <w:rPr>
                <w:sz w:val="24"/>
              </w:rPr>
              <w:t>限类型</w:t>
            </w:r>
          </w:p>
        </w:tc>
        <w:tc>
          <w:tcPr>
            <w:tcW w:type="dxa" w:w="835"/>
            <w:vAlign w:val="center"/>
          </w:tcPr>
          <w:p w:rsidP="00AC6DDA" w:rsidR="001548F9" w:rsidRDefault="001548F9" w:rsidRPr="005C672D">
            <w:pPr>
              <w:spacing w:before="29" w:line="288" w:lineRule="auto"/>
              <w:jc w:val="center"/>
              <w:rPr>
                <w:sz w:val="24"/>
              </w:rPr>
            </w:pPr>
            <w:r w:rsidRPr="005C672D">
              <w:rPr>
                <w:sz w:val="24"/>
              </w:rPr>
              <w:t>认购</w:t>
            </w:r>
          </w:p>
          <w:p w:rsidP="00AC6DDA" w:rsidR="001548F9" w:rsidRDefault="001548F9" w:rsidRPr="005C672D">
            <w:pPr>
              <w:spacing w:before="29" w:line="288" w:lineRule="auto"/>
              <w:jc w:val="center"/>
              <w:rPr>
                <w:sz w:val="24"/>
              </w:rPr>
            </w:pPr>
            <w:r w:rsidRPr="005C672D">
              <w:rPr>
                <w:sz w:val="24"/>
              </w:rPr>
              <w:t>价格</w:t>
            </w:r>
          </w:p>
        </w:tc>
        <w:tc>
          <w:tcPr>
            <w:tcW w:type="dxa" w:w="834"/>
            <w:vAlign w:val="center"/>
          </w:tcPr>
          <w:p w:rsidP="00AC6DDA" w:rsidR="001548F9" w:rsidRDefault="001548F9" w:rsidRPr="005C672D">
            <w:pPr>
              <w:spacing w:before="29" w:line="288" w:lineRule="auto"/>
              <w:ind w:left="-69" w:leftChars="-33" w:right="-97" w:rightChars="-46"/>
              <w:jc w:val="center"/>
              <w:rPr>
                <w:sz w:val="24"/>
              </w:rPr>
            </w:pPr>
            <w:r w:rsidRPr="005C672D">
              <w:rPr>
                <w:sz w:val="24"/>
              </w:rPr>
              <w:t>期末估</w:t>
            </w:r>
          </w:p>
          <w:p w:rsidP="00AC6DDA" w:rsidR="001548F9" w:rsidRDefault="001548F9" w:rsidRPr="005C672D">
            <w:pPr>
              <w:spacing w:before="29" w:line="288" w:lineRule="auto"/>
              <w:ind w:left="-69" w:leftChars="-33" w:right="-97" w:rightChars="-46"/>
              <w:jc w:val="center"/>
              <w:rPr>
                <w:sz w:val="24"/>
              </w:rPr>
            </w:pPr>
            <w:r w:rsidRPr="005C672D">
              <w:rPr>
                <w:sz w:val="24"/>
              </w:rPr>
              <w:t>值单价</w:t>
            </w:r>
          </w:p>
        </w:tc>
        <w:tc>
          <w:tcPr>
            <w:tcW w:type="dxa" w:w="835"/>
            <w:vAlign w:val="center"/>
          </w:tcPr>
          <w:p w:rsidP="00AC6DDA" w:rsidR="001548F9" w:rsidRDefault="001548F9" w:rsidRPr="005C672D">
            <w:pPr>
              <w:spacing w:before="29" w:line="288" w:lineRule="auto"/>
              <w:ind w:left="-162" w:leftChars="-77" w:right="-105" w:rightChars="-50"/>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type="dxa" w:w="834"/>
            <w:vAlign w:val="center"/>
          </w:tcPr>
          <w:p w:rsidP="00AC6DDA" w:rsidR="001548F9" w:rsidRDefault="001548F9" w:rsidRPr="005C672D">
            <w:pPr>
              <w:spacing w:before="29" w:line="288" w:lineRule="auto"/>
              <w:jc w:val="center"/>
              <w:rPr>
                <w:sz w:val="24"/>
              </w:rPr>
            </w:pPr>
            <w:r w:rsidRPr="005C672D">
              <w:rPr>
                <w:sz w:val="24"/>
              </w:rPr>
              <w:t>期末</w:t>
            </w:r>
          </w:p>
          <w:p w:rsidP="00AC6DDA" w:rsidR="001548F9" w:rsidRDefault="001548F9" w:rsidRPr="005C672D">
            <w:pPr>
              <w:spacing w:before="29" w:line="288" w:lineRule="auto"/>
              <w:jc w:val="center"/>
              <w:rPr>
                <w:sz w:val="24"/>
              </w:rPr>
            </w:pPr>
            <w:r w:rsidRPr="005C672D">
              <w:rPr>
                <w:sz w:val="24"/>
              </w:rPr>
              <w:t>成本总额</w:t>
            </w:r>
          </w:p>
        </w:tc>
        <w:tc>
          <w:tcPr>
            <w:tcW w:type="dxa" w:w="835"/>
            <w:vAlign w:val="center"/>
          </w:tcPr>
          <w:p w:rsidP="00AC6DDA" w:rsidR="001548F9" w:rsidRDefault="001548F9" w:rsidRPr="005C672D">
            <w:pPr>
              <w:spacing w:before="29" w:line="288" w:lineRule="auto"/>
              <w:jc w:val="center"/>
              <w:rPr>
                <w:sz w:val="24"/>
              </w:rPr>
            </w:pPr>
            <w:r w:rsidRPr="005C672D">
              <w:rPr>
                <w:sz w:val="24"/>
              </w:rPr>
              <w:t>期末</w:t>
            </w:r>
          </w:p>
          <w:p w:rsidP="00AC6DDA" w:rsidR="001548F9" w:rsidRDefault="001548F9" w:rsidRPr="005C672D">
            <w:pPr>
              <w:spacing w:before="29" w:line="288" w:lineRule="auto"/>
              <w:jc w:val="center"/>
              <w:rPr>
                <w:sz w:val="24"/>
              </w:rPr>
            </w:pPr>
            <w:r w:rsidRPr="005C672D">
              <w:rPr>
                <w:sz w:val="24"/>
              </w:rPr>
              <w:t>估值总额</w:t>
            </w:r>
          </w:p>
        </w:tc>
        <w:tc>
          <w:tcPr>
            <w:tcW w:type="dxa" w:w="835"/>
            <w:vAlign w:val="center"/>
          </w:tcPr>
          <w:p w:rsidP="00AC6DDA" w:rsidR="001548F9" w:rsidRDefault="001548F9" w:rsidRPr="005C672D">
            <w:pPr>
              <w:spacing w:before="29" w:line="288" w:lineRule="auto"/>
              <w:ind w:left="-101" w:leftChars="-48" w:right="-113" w:rightChars="-54"/>
              <w:jc w:val="center"/>
              <w:rPr>
                <w:sz w:val="24"/>
              </w:rPr>
            </w:pPr>
            <w:r w:rsidRPr="005C672D">
              <w:rPr>
                <w:sz w:val="24"/>
              </w:rPr>
              <w:t>备注</w:t>
            </w:r>
          </w:p>
        </w:tc>
      </w:tr>
      <w:tr>
        <w:tc>
          <w:tcPr>
            <w:vAlign w:val="center"/>
          </w:tcPr>
          <w:p>
            <w:pPr>
              <w:jc w:val="center"/>
            </w:pPr>
            <w:r>
              <w:rPr>
                <w:sz w:val="24"/>
              </w:rPr>
              <w:t>002044</w:t>
            </w:r>
          </w:p>
        </w:tc>
        <w:tc>
          <w:tcPr>
            <w:vAlign w:val="center"/>
          </w:tcPr>
          <w:p>
            <w:pPr>
              <w:jc w:val="center"/>
            </w:pPr>
            <w:r>
              <w:rPr>
                <w:sz w:val="24"/>
              </w:rPr>
              <w:t>美年健康</w:t>
            </w:r>
          </w:p>
        </w:tc>
        <w:tc>
          <w:tcPr>
            <w:vAlign w:val="center"/>
          </w:tcPr>
          <w:p>
            <w:pPr>
              <w:jc w:val="center"/>
            </w:pPr>
            <w:r>
              <w:rPr>
                <w:sz w:val="24"/>
              </w:rPr>
              <w:t>2019-05-22</w:t>
            </w:r>
          </w:p>
        </w:tc>
        <w:tc>
          <w:tcPr>
            <w:vAlign w:val="center"/>
          </w:tcPr>
          <w:p>
            <w:pPr>
              <w:jc w:val="center"/>
            </w:pPr>
            <w:r>
              <w:rPr>
                <w:sz w:val="24"/>
              </w:rPr>
              <w:t>2019-11-22</w:t>
            </w:r>
          </w:p>
        </w:tc>
        <w:tc>
          <w:tcPr>
            <w:vAlign w:val="center"/>
          </w:tcPr>
          <w:p>
            <w:pPr>
              <w:jc w:val="center"/>
            </w:pPr>
            <w:r>
              <w:rPr>
                <w:sz w:val="24"/>
              </w:rPr>
              <w:t>限售股</w:t>
            </w:r>
          </w:p>
        </w:tc>
        <w:tc>
          <w:tcPr>
            <w:vAlign w:val="center"/>
          </w:tcPr>
          <w:p>
            <w:pPr>
              <w:jc w:val="right"/>
            </w:pPr>
            <w:r>
              <w:rPr>
                <w:sz w:val="24"/>
              </w:rPr>
              <w:t>13.51</w:t>
            </w:r>
          </w:p>
        </w:tc>
        <w:tc>
          <w:tcPr>
            <w:vAlign w:val="center"/>
          </w:tcPr>
          <w:p>
            <w:pPr>
              <w:jc w:val="center"/>
            </w:pPr>
            <w:r>
              <w:rPr>
                <w:sz w:val="24"/>
              </w:rPr>
              <w:t>11.79</w:t>
            </w:r>
          </w:p>
        </w:tc>
        <w:tc>
          <w:tcPr>
            <w:vAlign w:val="center"/>
          </w:tcPr>
          <w:p>
            <w:pPr>
              <w:jc w:val="right"/>
            </w:pPr>
            <w:r>
              <w:rPr>
                <w:sz w:val="24"/>
              </w:rPr>
              <w:t>3,000,000</w:t>
            </w:r>
          </w:p>
        </w:tc>
        <w:tc>
          <w:tcPr>
            <w:vAlign w:val="center"/>
          </w:tcPr>
          <w:p>
            <w:pPr>
              <w:jc w:val="right"/>
            </w:pPr>
            <w:r>
              <w:rPr>
                <w:sz w:val="24"/>
              </w:rPr>
              <w:t>40,530,000.00</w:t>
            </w:r>
          </w:p>
        </w:tc>
        <w:tc>
          <w:tcPr>
            <w:vAlign w:val="center"/>
          </w:tcPr>
          <w:p>
            <w:pPr>
              <w:jc w:val="right"/>
            </w:pPr>
            <w:r>
              <w:rPr>
                <w:sz w:val="24"/>
              </w:rPr>
              <w:t>35,370,000.00</w:t>
            </w:r>
          </w:p>
        </w:tc>
        <w:tc>
          <w:tcPr>
            <w:vAlign w:val="center"/>
          </w:tcPr>
          <w:p>
            <w:pPr>
              <w:jc w:val="center"/>
            </w:pPr>
            <w:r>
              <w:rPr>
                <w:sz w:val="24"/>
              </w:rPr>
              <w:t>-</w:t>
            </w:r>
          </w:p>
        </w:tc>
      </w:tr>
      <w:tr>
        <w:tc>
          <w:tcPr>
            <w:vAlign w:val="center"/>
          </w:tcPr>
          <w:p>
            <w:pPr>
              <w:jc w:val="center"/>
            </w:pPr>
            <w:r>
              <w:rPr>
                <w:sz w:val="24"/>
              </w:rPr>
              <w:t>002410</w:t>
            </w:r>
          </w:p>
        </w:tc>
        <w:tc>
          <w:tcPr>
            <w:vAlign w:val="center"/>
          </w:tcPr>
          <w:p>
            <w:pPr>
              <w:jc w:val="center"/>
            </w:pPr>
            <w:r>
              <w:rPr>
                <w:sz w:val="24"/>
              </w:rPr>
              <w:t>广联达</w:t>
            </w:r>
          </w:p>
        </w:tc>
        <w:tc>
          <w:tcPr>
            <w:vAlign w:val="center"/>
          </w:tcPr>
          <w:p>
            <w:pPr>
              <w:jc w:val="center"/>
            </w:pPr>
            <w:r>
              <w:rPr>
                <w:sz w:val="24"/>
              </w:rPr>
              <w:t>2019-03-15</w:t>
            </w:r>
          </w:p>
        </w:tc>
        <w:tc>
          <w:tcPr>
            <w:vAlign w:val="center"/>
          </w:tcPr>
          <w:p>
            <w:pPr>
              <w:jc w:val="center"/>
            </w:pPr>
            <w:r>
              <w:rPr>
                <w:sz w:val="24"/>
              </w:rPr>
              <w:t>2019-09-16</w:t>
            </w:r>
          </w:p>
        </w:tc>
        <w:tc>
          <w:tcPr>
            <w:vAlign w:val="center"/>
          </w:tcPr>
          <w:p>
            <w:pPr>
              <w:jc w:val="center"/>
            </w:pPr>
            <w:r>
              <w:rPr>
                <w:sz w:val="24"/>
              </w:rPr>
              <w:t>限售股</w:t>
            </w:r>
          </w:p>
        </w:tc>
        <w:tc>
          <w:tcPr>
            <w:vAlign w:val="center"/>
          </w:tcPr>
          <w:p>
            <w:pPr>
              <w:jc w:val="right"/>
            </w:pPr>
            <w:r>
              <w:rPr>
                <w:sz w:val="24"/>
              </w:rPr>
              <w:t>26.19</w:t>
            </w:r>
          </w:p>
        </w:tc>
        <w:tc>
          <w:tcPr>
            <w:vAlign w:val="center"/>
          </w:tcPr>
          <w:p>
            <w:pPr>
              <w:jc w:val="center"/>
            </w:pPr>
            <w:r>
              <w:rPr>
                <w:sz w:val="24"/>
              </w:rPr>
              <w:t>31.53</w:t>
            </w:r>
          </w:p>
        </w:tc>
        <w:tc>
          <w:tcPr>
            <w:vAlign w:val="center"/>
          </w:tcPr>
          <w:p>
            <w:pPr>
              <w:jc w:val="right"/>
            </w:pPr>
            <w:r>
              <w:rPr>
                <w:sz w:val="24"/>
              </w:rPr>
              <w:t>1,036,000</w:t>
            </w:r>
          </w:p>
        </w:tc>
        <w:tc>
          <w:tcPr>
            <w:vAlign w:val="center"/>
          </w:tcPr>
          <w:p>
            <w:pPr>
              <w:jc w:val="right"/>
            </w:pPr>
            <w:r>
              <w:rPr>
                <w:sz w:val="24"/>
              </w:rPr>
              <w:t>27,132,840.00</w:t>
            </w:r>
          </w:p>
        </w:tc>
        <w:tc>
          <w:tcPr>
            <w:vAlign w:val="center"/>
          </w:tcPr>
          <w:p>
            <w:pPr>
              <w:jc w:val="right"/>
            </w:pPr>
            <w:r>
              <w:rPr>
                <w:sz w:val="24"/>
              </w:rPr>
              <w:t>32,665,080.00</w:t>
            </w:r>
          </w:p>
        </w:tc>
        <w:tc>
          <w:tcPr>
            <w:vAlign w:val="center"/>
          </w:tcPr>
          <w:p>
            <w:pPr>
              <w:jc w:val="center"/>
            </w:pPr>
            <w:r>
              <w:rPr>
                <w:sz w:val="24"/>
              </w:rPr>
              <w:t>-</w:t>
            </w:r>
          </w:p>
        </w:tc>
      </w:tr>
      <w:tr>
        <w:tc>
          <w:tcPr>
            <w:vAlign w:val="center"/>
          </w:tcPr>
          <w:p>
            <w:pPr>
              <w:jc w:val="center"/>
            </w:pPr>
            <w:r>
              <w:rPr>
                <w:sz w:val="24"/>
              </w:rPr>
              <w:t>300788</w:t>
            </w:r>
          </w:p>
        </w:tc>
        <w:tc>
          <w:tcPr>
            <w:vAlign w:val="center"/>
          </w:tcPr>
          <w:p>
            <w:pPr>
              <w:jc w:val="center"/>
            </w:pPr>
            <w:r>
              <w:rPr>
                <w:sz w:val="24"/>
              </w:rPr>
              <w:t>中信出版</w:t>
            </w:r>
          </w:p>
        </w:tc>
        <w:tc>
          <w:tcPr>
            <w:vAlign w:val="center"/>
          </w:tcPr>
          <w:p>
            <w:pPr>
              <w:jc w:val="center"/>
            </w:pPr>
            <w:r>
              <w:rPr>
                <w:sz w:val="24"/>
              </w:rPr>
              <w:t>2019-06-27</w:t>
            </w:r>
          </w:p>
        </w:tc>
        <w:tc>
          <w:tcPr>
            <w:vAlign w:val="center"/>
          </w:tcPr>
          <w:p>
            <w:pPr>
              <w:jc w:val="center"/>
            </w:pPr>
            <w:r>
              <w:rPr>
                <w:sz w:val="24"/>
              </w:rPr>
              <w:t>2019-07-05</w:t>
            </w:r>
          </w:p>
        </w:tc>
        <w:tc>
          <w:tcPr>
            <w:vAlign w:val="center"/>
          </w:tcPr>
          <w:p>
            <w:pPr>
              <w:jc w:val="center"/>
            </w:pPr>
            <w:r>
              <w:rPr>
                <w:sz w:val="24"/>
              </w:rPr>
              <w:t>新股未上市</w:t>
            </w:r>
          </w:p>
        </w:tc>
        <w:tc>
          <w:tcPr>
            <w:vAlign w:val="center"/>
          </w:tcPr>
          <w:p>
            <w:pPr>
              <w:jc w:val="right"/>
            </w:pPr>
            <w:r>
              <w:rPr>
                <w:sz w:val="24"/>
              </w:rPr>
              <w:t>14.85</w:t>
            </w:r>
          </w:p>
        </w:tc>
        <w:tc>
          <w:tcPr>
            <w:vAlign w:val="center"/>
          </w:tcPr>
          <w:p>
            <w:pPr>
              <w:jc w:val="center"/>
            </w:pPr>
            <w:r>
              <w:rPr>
                <w:sz w:val="24"/>
              </w:rPr>
              <w:t>14.85</w:t>
            </w:r>
          </w:p>
        </w:tc>
        <w:tc>
          <w:tcPr>
            <w:vAlign w:val="center"/>
          </w:tcPr>
          <w:p>
            <w:pPr>
              <w:jc w:val="right"/>
            </w:pPr>
            <w:r>
              <w:rPr>
                <w:sz w:val="24"/>
              </w:rPr>
              <w:t>1,556</w:t>
            </w:r>
          </w:p>
        </w:tc>
        <w:tc>
          <w:tcPr>
            <w:vAlign w:val="center"/>
          </w:tcPr>
          <w:p>
            <w:pPr>
              <w:jc w:val="right"/>
            </w:pPr>
            <w:r>
              <w:rPr>
                <w:sz w:val="24"/>
              </w:rPr>
              <w:t>23,106.60</w:t>
            </w:r>
          </w:p>
        </w:tc>
        <w:tc>
          <w:tcPr>
            <w:vAlign w:val="center"/>
          </w:tcPr>
          <w:p>
            <w:pPr>
              <w:jc w:val="right"/>
            </w:pPr>
            <w:r>
              <w:rPr>
                <w:sz w:val="24"/>
              </w:rPr>
              <w:t>23,106.60</w:t>
            </w:r>
          </w:p>
        </w:tc>
        <w:tc>
          <w:tcPr>
            <w:vAlign w:val="center"/>
          </w:tcPr>
          <w:p>
            <w:pPr>
              <w:jc w:val="center"/>
            </w:pPr>
            <w:r>
              <w:rPr>
                <w:sz w:val="24"/>
              </w:rPr>
              <w:t>-</w:t>
            </w:r>
          </w:p>
        </w:tc>
      </w:tr>
      <w:tr>
        <w:tc>
          <w:tcPr>
            <w:vAlign w:val="center"/>
          </w:tcPr>
          <w:p>
            <w:pPr>
              <w:jc w:val="center"/>
            </w:pPr>
            <w:r>
              <w:rPr>
                <w:sz w:val="24"/>
              </w:rPr>
              <w:t>601236</w:t>
            </w:r>
          </w:p>
        </w:tc>
        <w:tc>
          <w:tcPr>
            <w:vAlign w:val="center"/>
          </w:tcPr>
          <w:p>
            <w:pPr>
              <w:jc w:val="center"/>
            </w:pPr>
            <w:r>
              <w:rPr>
                <w:sz w:val="24"/>
              </w:rPr>
              <w:t>红塔证券</w:t>
            </w:r>
          </w:p>
        </w:tc>
        <w:tc>
          <w:tcPr>
            <w:vAlign w:val="center"/>
          </w:tcPr>
          <w:p>
            <w:pPr>
              <w:jc w:val="center"/>
            </w:pPr>
            <w:r>
              <w:rPr>
                <w:sz w:val="24"/>
              </w:rPr>
              <w:t>2019-06-26</w:t>
            </w:r>
          </w:p>
        </w:tc>
        <w:tc>
          <w:tcPr>
            <w:vAlign w:val="center"/>
          </w:tcPr>
          <w:p>
            <w:pPr>
              <w:jc w:val="center"/>
            </w:pPr>
            <w:r>
              <w:rPr>
                <w:sz w:val="24"/>
              </w:rPr>
              <w:t>2019-07-05</w:t>
            </w:r>
          </w:p>
        </w:tc>
        <w:tc>
          <w:tcPr>
            <w:vAlign w:val="center"/>
          </w:tcPr>
          <w:p>
            <w:pPr>
              <w:jc w:val="center"/>
            </w:pPr>
            <w:r>
              <w:rPr>
                <w:sz w:val="24"/>
              </w:rPr>
              <w:t>新股未上市</w:t>
            </w:r>
          </w:p>
        </w:tc>
        <w:tc>
          <w:tcPr>
            <w:vAlign w:val="center"/>
          </w:tcPr>
          <w:p>
            <w:pPr>
              <w:jc w:val="right"/>
            </w:pPr>
            <w:r>
              <w:rPr>
                <w:sz w:val="24"/>
              </w:rPr>
              <w:t>3.46</w:t>
            </w:r>
          </w:p>
        </w:tc>
        <w:tc>
          <w:tcPr>
            <w:vAlign w:val="center"/>
          </w:tcPr>
          <w:p>
            <w:pPr>
              <w:jc w:val="center"/>
            </w:pPr>
            <w:r>
              <w:rPr>
                <w:sz w:val="24"/>
              </w:rPr>
              <w:t>3.46</w:t>
            </w:r>
          </w:p>
        </w:tc>
        <w:tc>
          <w:tcPr>
            <w:vAlign w:val="center"/>
          </w:tcPr>
          <w:p>
            <w:pPr>
              <w:jc w:val="right"/>
            </w:pPr>
            <w:r>
              <w:rPr>
                <w:sz w:val="24"/>
              </w:rPr>
              <w:t>9,789</w:t>
            </w:r>
          </w:p>
        </w:tc>
        <w:tc>
          <w:tcPr>
            <w:vAlign w:val="center"/>
          </w:tcPr>
          <w:p>
            <w:pPr>
              <w:jc w:val="right"/>
            </w:pPr>
            <w:r>
              <w:rPr>
                <w:sz w:val="24"/>
              </w:rPr>
              <w:t>33,869.94</w:t>
            </w:r>
          </w:p>
        </w:tc>
        <w:tc>
          <w:tcPr>
            <w:vAlign w:val="center"/>
          </w:tcPr>
          <w:p>
            <w:pPr>
              <w:jc w:val="right"/>
            </w:pPr>
            <w:r>
              <w:rPr>
                <w:sz w:val="24"/>
              </w:rPr>
              <w:t>33,869.94</w:t>
            </w:r>
          </w:p>
        </w:tc>
        <w:tc>
          <w:tcPr>
            <w:vAlign w:val="center"/>
          </w:tcPr>
          <w:p>
            <w:pPr>
              <w:jc w:val="center"/>
            </w:pPr>
            <w:r>
              <w:rPr>
                <w:sz w:val="24"/>
              </w:rPr>
              <w:t>-</w:t>
            </w:r>
          </w:p>
        </w:tc>
      </w:tr>
    </w:tbl>
    <w:p>
      <w:pPr>
        <w:tabs>
          <w:tab w:pos="426" w:val="left"/>
        </w:tabs>
        <w:spacing w:before="29" w:line="288" w:lineRule="auto"/>
        <w:jc w:val="left"/>
        <w:rPr>
          <w:kern w:val="0"/>
          <w:sz w:val="24"/>
        </w:rPr>
      </w:pPr>
      <w:r>
        <w:rPr>
          <w:kern w:val="0"/>
          <w:sz w:val="24"/>
        </w:rPr>
        <w:t>注：1、基金可作为特定投资者，认购由中国证监会《上市公司证券发行管理办法》规范的非公开发行股份，所认购的股份自发行结束之日起12个月内不得转让。根据《上市公司股东、董监高减持股份的若干规定》及《深圳/上海证券交易所上市公司股东及董事、监事、高级管理人员减持股份实施细则》，本基金持有的上市公司非公开发行股份，自股份解除限售之日起12个月内，通过集中竞价交易减持的数量不得超过其持有该次非公开发行股份数量的50%；采取集中竞价交易方式的，在任意连续90日内，减持股份的总数不得超过公司股份总数的1%；采取大宗交易方式的，在任意连续90日内，减持股份的总数不得超过公司股份总数的2%。此外，本基金通过大宗交易方式受让的原上市公司大股东减持或者特定股东减持的股份，在受让后6个月内，不得转让所受让的股份。</w:t>
      </w:r>
    </w:p>
    <w:p w:rsidP="00AC6DDA" w:rsidR="001548F9" w:rsidRDefault="001548F9" w:rsidRPr="005C672D">
      <w:pPr>
        <w:tabs>
          <w:tab w:pos="426" w:val="left"/>
        </w:tabs>
        <w:spacing w:before="29" w:line="288" w:lineRule="auto"/>
        <w:jc w:val="left"/>
        <w:rPr>
          <w:kern w:val="0"/>
          <w:sz w:val="24"/>
        </w:rPr>
      </w:pPr>
      <w:r w:rsidRPr="005C672D">
        <w:rPr>
          <w:kern w:val="0"/>
          <w:sz w:val="24"/>
        </w:rPr>
        <w:lastRenderedPageBreak/>
        <w:t>2、基金还可作为特定投资者，认购首次公开发行股票时公司股东公开发售股份，所认购的股份自发行结束之日起12个月内不得转让。</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A95427" w:rsidRPr="005C672D">
        <w:rPr>
          <w:kern w:val="0"/>
          <w:sz w:val="24"/>
        </w:rPr>
        <w:t/>
      </w:r>
      <w:r w:rsidRPr="005C672D">
        <w:rPr>
          <w:kern w:val="0"/>
          <w:sz w:val="24"/>
        </w:rPr>
        <w:t>本基金本报告期末未持有暂时停牌等流通受限股票。</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本基金本报告期末无从事债券正回购交易形成的卖出回购证券款余额。</w:t>
      </w:r>
    </w:p>
    <w:p w:rsidP="00AC6DDA" w:rsidR="001548F9" w:rsidRDefault="001548F9" w:rsidRPr="005C672D">
      <w:pPr>
        <w:spacing w:before="29" w:line="288" w:lineRule="auto"/>
        <w:ind w:firstLine="480" w:firstLineChars="200"/>
        <w:rPr>
          <w:bCs/>
          <w:color w:val="000000"/>
          <w:sz w:val="24"/>
        </w:rPr>
      </w:pPr>
    </w:p>
    <w:p w:rsidP="00EC259C" w:rsidR="001548F9" w:rsidRDefault="002C1EEF" w:rsidRPr="005C672D">
      <w:pPr>
        <w:pStyle w:val="1"/>
        <w:keepNext/>
        <w:keepLines/>
        <w:widowControl w:val="0"/>
        <w:spacing w:afterLines="100" w:beforeLines="100" w:line="288" w:lineRule="auto"/>
        <w:jc w:val="center"/>
        <w:rPr>
          <w:b/>
          <w:bCs/>
          <w:szCs w:val="24"/>
          <w:lang w:val="en-US"/>
        </w:rPr>
      </w:pPr>
      <w:bookmarkStart w:id="73" w:name="_Toc331410101"/>
      <w:bookmarkStart w:id="74" w:name="_Toc225498272"/>
      <w:r w:rsidRPr="005C672D">
        <w:rPr>
          <w:b/>
          <w:color w:val="000000"/>
          <w:szCs w:val="24"/>
        </w:rPr>
        <w:t/>
      </w:r>
      <w:r w:rsidR="001548F9" w:rsidRPr="005C672D">
        <w:rPr>
          <w:b/>
          <w:bCs/>
          <w:szCs w:val="24"/>
          <w:lang w:val="en-US"/>
        </w:rPr>
        <w:t xml:space="preserve">7  </w:t>
      </w:r>
      <w:r w:rsidR="001548F9" w:rsidRPr="005C672D">
        <w:rPr>
          <w:b/>
          <w:bCs/>
          <w:szCs w:val="24"/>
          <w:lang w:val="en-US"/>
        </w:rPr>
        <w:t>投资组合报告</w:t>
      </w:r>
      <w:bookmarkEnd w:id="73"/>
      <w:bookmarkEnd w:id="74"/>
    </w:p>
    <w:p w:rsidP="00AC6DDA" w:rsidR="001548F9" w:rsidRDefault="001548F9" w:rsidRPr="005C672D">
      <w:pPr>
        <w:pStyle w:val="20"/>
        <w:spacing w:after="0" w:before="29" w:line="288" w:lineRule="auto"/>
        <w:rPr>
          <w:rFonts w:ascii="Times New Roman" w:hAnsi="Times New Roman"/>
          <w:kern w:val="0"/>
          <w:szCs w:val="24"/>
        </w:rPr>
      </w:pPr>
      <w:bookmarkStart w:id="75" w:name="_Toc331410102"/>
      <w:bookmarkStart w:id="76" w:name="_Toc225498273"/>
      <w:r w:rsidRPr="005C672D">
        <w:rPr>
          <w:rFonts w:ascii="Times New Roman" w:hAnsi="Times New Roman"/>
          <w:color w:val="000000"/>
          <w:szCs w:val="24"/>
        </w:rPr>
        <w:t/>
      </w:r>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75"/>
      <w:bookmarkEnd w:id="76"/>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80"/>
        <w:gridCol w:w="3420"/>
        <w:gridCol w:w="2520"/>
        <w:gridCol w:w="1980"/>
      </w:tblGrid>
      <w:tr w:rsidR="00FD7A40" w:rsidRPr="005C672D" w:rsidTr="00C17210">
        <w:tc>
          <w:tcPr>
            <w:tcW w:type="dxa" w:w="1080"/>
            <w:vAlign w:val="center"/>
          </w:tcPr>
          <w:p w:rsidP="00AC6DDA" w:rsidR="00FD7A40" w:rsidRDefault="00FD7A40" w:rsidRPr="005C672D">
            <w:pPr>
              <w:spacing w:before="29" w:line="288" w:lineRule="auto"/>
              <w:jc w:val="center"/>
              <w:rPr>
                <w:color w:val="000000"/>
                <w:sz w:val="24"/>
              </w:rPr>
            </w:pPr>
            <w:r w:rsidRPr="005C672D">
              <w:rPr>
                <w:color w:val="000000"/>
                <w:sz w:val="24"/>
              </w:rPr>
              <w:t>序号</w:t>
            </w:r>
            <w:r w:rsidRPr="005C672D">
              <w:rPr>
                <w:color w:val="000000"/>
                <w:sz w:val="24"/>
              </w:rPr>
              <w:t/>
            </w:r>
          </w:p>
        </w:tc>
        <w:tc>
          <w:tcPr>
            <w:tcW w:type="dxa" w:w="3420"/>
            <w:vAlign w:val="center"/>
          </w:tcPr>
          <w:p w:rsidP="00D640D0" w:rsidR="00FD7A40" w:rsidRDefault="00FD7A40" w:rsidRPr="005C672D">
            <w:pPr>
              <w:spacing w:before="29" w:line="288" w:lineRule="auto"/>
              <w:jc w:val="center"/>
              <w:rPr>
                <w:color w:val="000000"/>
                <w:sz w:val="24"/>
              </w:rPr>
            </w:pPr>
            <w:r w:rsidRPr="005C672D">
              <w:rPr>
                <w:color w:val="000000"/>
                <w:sz w:val="24"/>
              </w:rPr>
              <w:t>项目</w:t>
            </w:r>
          </w:p>
        </w:tc>
        <w:tc>
          <w:tcPr>
            <w:tcW w:type="dxa" w:w="2520"/>
            <w:vAlign w:val="center"/>
          </w:tcPr>
          <w:p w:rsidP="00AC6DDA" w:rsidR="00FD7A40" w:rsidRDefault="00FD7A40" w:rsidRPr="005C672D">
            <w:pPr>
              <w:spacing w:before="29" w:line="288" w:lineRule="auto"/>
              <w:jc w:val="center"/>
              <w:rPr>
                <w:color w:val="000000"/>
                <w:sz w:val="24"/>
              </w:rPr>
            </w:pPr>
            <w:r w:rsidRPr="005C672D">
              <w:rPr>
                <w:color w:val="000000"/>
                <w:sz w:val="24"/>
              </w:rPr>
              <w:t>金额</w:t>
            </w:r>
          </w:p>
        </w:tc>
        <w:tc>
          <w:tcPr>
            <w:tcW w:type="dxa" w:w="1980"/>
            <w:vAlign w:val="center"/>
          </w:tcPr>
          <w:p w:rsidP="00AC6DDA" w:rsidR="00FD7A40" w:rsidRDefault="00FD7A40" w:rsidRPr="005C672D">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type="dxa" w:w="1080"/>
            <w:vAlign w:val="center"/>
          </w:tcPr>
          <w:p w:rsidP="00AC6DDA" w:rsidR="00D31101" w:rsidRDefault="00D31101" w:rsidRPr="005C672D">
            <w:pPr>
              <w:spacing w:before="29" w:line="288" w:lineRule="auto"/>
              <w:jc w:val="center"/>
              <w:rPr>
                <w:color w:val="000000"/>
                <w:sz w:val="24"/>
              </w:rPr>
            </w:pPr>
            <w:r w:rsidRPr="005C672D">
              <w:rPr>
                <w:color w:val="000000"/>
                <w:sz w:val="24"/>
              </w:rPr>
              <w:t>1</w:t>
            </w:r>
          </w:p>
        </w:tc>
        <w:tc>
          <w:tcPr>
            <w:tcW w:type="dxa" w:w="3420"/>
            <w:vAlign w:val="center"/>
          </w:tcPr>
          <w:p w:rsidP="00AC6DDA" w:rsidR="00D31101" w:rsidRDefault="00D31101" w:rsidRPr="005C672D">
            <w:pPr>
              <w:spacing w:before="29" w:line="288" w:lineRule="auto"/>
              <w:ind w:left="105" w:leftChars="50"/>
              <w:rPr>
                <w:sz w:val="24"/>
              </w:rPr>
            </w:pPr>
            <w:r w:rsidRPr="005C672D">
              <w:rPr>
                <w:sz w:val="24"/>
              </w:rPr>
              <w:t>权益投资</w:t>
            </w:r>
          </w:p>
        </w:tc>
        <w:tc>
          <w:tcPr>
            <w:tcW w:type="dxa" w:w="2520"/>
            <w:vAlign w:val="center"/>
          </w:tcPr>
          <w:p w:rsidP="0091268E" w:rsidR="00D31101" w:rsidRDefault="00D31101" w:rsidRPr="005C672D">
            <w:pPr>
              <w:spacing w:before="29" w:line="360" w:lineRule="auto"/>
              <w:ind w:left="17"/>
              <w:jc w:val="right"/>
              <w:rPr>
                <w:color w:val="000000"/>
                <w:sz w:val="24"/>
              </w:rPr>
            </w:pPr>
            <w:r w:rsidRPr="005C672D">
              <w:rPr>
                <w:color w:val="000000"/>
                <w:sz w:val="24"/>
              </w:rPr>
              <w:t>2,488,038,069.64</w:t>
            </w:r>
          </w:p>
        </w:tc>
        <w:tc>
          <w:tcPr>
            <w:tcW w:type="dxa" w:w="1980"/>
            <w:vAlign w:val="center"/>
          </w:tcPr>
          <w:p w:rsidP="0091268E" w:rsidR="00D31101" w:rsidRDefault="00D31101" w:rsidRPr="005C672D">
            <w:pPr>
              <w:spacing w:before="29" w:line="360" w:lineRule="auto"/>
              <w:ind w:left="17"/>
              <w:jc w:val="right"/>
              <w:rPr>
                <w:color w:val="000000"/>
                <w:sz w:val="24"/>
              </w:rPr>
            </w:pPr>
            <w:r w:rsidRPr="005C672D">
              <w:rPr>
                <w:color w:val="000000"/>
                <w:sz w:val="24"/>
              </w:rPr>
              <w:t/>
            </w:r>
            <w:r w:rsidRPr="005C672D">
              <w:rPr>
                <w:color w:val="000000"/>
                <w:sz w:val="24"/>
              </w:rPr>
              <w:lastRenderedPageBreak/>
              <w:t>83.25</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其中：股票</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2,488,038,069.64</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83.25</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2</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hint="eastAsia"/>
                <w:color w:themeColor="text1" w:val="000000"/>
                <w:sz w:val="24"/>
              </w:rPr>
              <w:t>基金投资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hint="eastAsia"/>
                <w:color w:themeColor="text1" w:val="000000"/>
                <w:sz w:val="24"/>
              </w:rPr>
              <w:t/>
            </w:r>
            <w:r w:rsidRPr="00690ED2">
              <w:rPr>
                <w:rFonts w:eastAsiaTheme="minorEastAsia"/>
                <w:color w:themeColor="text1" w:val="000000"/>
                <w:sz w:val="24"/>
              </w:rPr>
              <w:t/>
            </w:r>
            <w:r w:rsidRPr="00690ED2">
              <w:rPr>
                <w:rFonts w:eastAsiaTheme="minorEastAsia" w:hint="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hint="eastAsia"/>
                <w:color w:themeColor="text1" w:val="000000"/>
                <w:sz w:val="24"/>
              </w:rPr>
              <w:t/>
            </w:r>
            <w:r w:rsidRPr="00690ED2">
              <w:rPr>
                <w:rFonts w:eastAsiaTheme="minorEastAsia"/>
                <w:color w:themeColor="text1" w:val="000000"/>
                <w:sz w:val="24"/>
              </w:rPr>
              <w:t/>
            </w:r>
            <w:r w:rsidRPr="00690ED2">
              <w:rPr>
                <w:rFonts w:eastAsiaTheme="minorEastAsia" w:hint="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3</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固定收益投资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3,259,688.92</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0.11</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其中：债券</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3,259,688.92</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0.11</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firstLine="720" w:firstLineChars="300" w:left="105" w:leftChars="50"/>
              <w:rPr>
                <w:rFonts w:eastAsiaTheme="minorEastAsia"/>
                <w:color w:themeColor="text1" w:val="000000"/>
                <w:sz w:val="24"/>
              </w:rPr>
            </w:pPr>
            <w:r w:rsidRPr="00690ED2">
              <w:rPr>
                <w:rFonts w:eastAsiaTheme="minorEastAsia"/>
                <w:color w:themeColor="text1" w:val="000000"/>
                <w:sz w:val="24"/>
              </w:rPr>
              <w:t>资产支持证券</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DA11A4">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4</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贵金属投资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5</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金融衍生品投资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
            </w:r>
            <w:r w:rsidRPr="00690ED2">
              <w:rPr>
                <w:rFonts w:eastAsiaTheme="minorEastAsia"/>
                <w:color w:themeColor="text1" w:val="000000"/>
                <w:sz w:val="24"/>
              </w:rPr>
              <w:lastRenderedPageBreak/>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lastRenderedPageBreak/>
              <w:t>6</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买入返售金融资产</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其中：买断式回购的买入返售金融资产</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7</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银行存款和结算备付金合计</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488,206,306.58</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16.33</w:t>
            </w:r>
          </w:p>
        </w:tc>
      </w:tr>
      <w:tr w:rsidR="0095029A" w:rsidRPr="005C672D" w:rsidTr="00C17210">
        <w:tc>
          <w:tcPr>
            <w:tcW w:type="dxa" w:w="1080"/>
            <w:vAlign w:val="center"/>
          </w:tcPr>
          <w:p w:rsidP="00B251C4" w:rsidR="0095029A" w:rsidRDefault="0095029A" w:rsidRPr="00690ED2">
            <w:pPr>
              <w:spacing w:before="29" w:line="276" w:lineRule="auto"/>
              <w:ind w:left="17"/>
              <w:jc w:val="center"/>
              <w:rPr>
                <w:rFonts w:eastAsiaTheme="minorEastAsia"/>
                <w:color w:themeColor="text1" w:val="000000"/>
                <w:sz w:val="24"/>
              </w:rPr>
            </w:pPr>
            <w:r w:rsidRPr="00690ED2">
              <w:rPr>
                <w:rFonts w:eastAsiaTheme="minorEastAsia"/>
                <w:color w:themeColor="text1" w:val="000000"/>
                <w:sz w:val="24"/>
              </w:rPr>
              <w:t/>
            </w:r>
            <w:r w:rsidRPr="00690ED2">
              <w:rPr>
                <w:rFonts w:eastAsiaTheme="minorEastAsia" w:hint="eastAsia"/>
                <w:color w:themeColor="text1" w:val="000000"/>
                <w:sz w:val="24"/>
              </w:rPr>
              <w:t/>
            </w:r>
            <w:r w:rsidRPr="00690ED2">
              <w:rPr>
                <w:rFonts w:eastAsiaTheme="minorEastAsia"/>
                <w:color w:themeColor="text1" w:val="000000"/>
                <w:sz w:val="24"/>
              </w:rPr>
              <w:t>8</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其他各项资产</w:t>
            </w:r>
          </w:p>
        </w:tc>
        <w:tc>
          <w:tcPr>
            <w:tcW w:type="dxa" w:w="252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9,268,313.63</w:t>
            </w:r>
          </w:p>
        </w:tc>
        <w:tc>
          <w:tcPr>
            <w:tcW w:type="dxa" w:w="198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0.31</w:t>
            </w:r>
          </w:p>
        </w:tc>
      </w:tr>
      <w:tr w:rsidR="0095029A" w:rsidRPr="005C672D" w:rsidTr="00C17210">
        <w:tc>
          <w:tcPr>
            <w:tcW w:type="dxa" w:w="1080"/>
            <w:vAlign w:val="center"/>
          </w:tcPr>
          <w:p w:rsidP="00B251C4" w:rsidR="0095029A" w:rsidRDefault="0095029A" w:rsidRPr="00690ED2">
            <w:pPr>
              <w:spacing w:before="29" w:line="276" w:lineRule="auto"/>
              <w:ind w:left="17"/>
              <w:jc w:val="center"/>
              <w:rPr>
                <w:rFonts w:eastAsiaTheme="minorEastAsia"/>
                <w:color w:themeColor="text1" w:val="000000"/>
                <w:sz w:val="24"/>
              </w:rPr>
            </w:pPr>
            <w:r w:rsidRPr="00690ED2">
              <w:rPr>
                <w:rFonts w:eastAsiaTheme="minorEastAsia"/>
                <w:color w:themeColor="text1" w:val="000000"/>
                <w:sz w:val="24"/>
              </w:rPr>
              <w:t/>
            </w:r>
            <w:r w:rsidRPr="00690ED2">
              <w:rPr>
                <w:rFonts w:eastAsiaTheme="minorEastAsia" w:hint="eastAsia"/>
                <w:color w:themeColor="text1" w:val="000000"/>
                <w:sz w:val="24"/>
              </w:rPr>
              <w:t/>
            </w:r>
            <w:r w:rsidRPr="00690ED2">
              <w:rPr>
                <w:rFonts w:eastAsiaTheme="minorEastAsia"/>
                <w:color w:themeColor="text1" w:val="000000"/>
                <w:sz w:val="24"/>
              </w:rPr>
              <w:t>9</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合计</w:t>
            </w:r>
          </w:p>
        </w:tc>
        <w:tc>
          <w:tcPr>
            <w:tcW w:type="dxa" w:w="252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2,988,772,378.77</w:t>
            </w:r>
          </w:p>
        </w:tc>
        <w:tc>
          <w:tcPr>
            <w:tcW w:type="dxa" w:w="198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100.00</w:t>
            </w:r>
          </w:p>
        </w:tc>
      </w:tr>
    </w:tbl>
    <w:p w:rsidP="00AC6DDA" w:rsidR="001548F9" w:rsidRDefault="001548F9">
      <w:pPr>
        <w:spacing w:before="29" w:line="288" w:lineRule="auto"/>
        <w:rPr>
          <w:color w:val="000000"/>
          <w:sz w:val="24"/>
        </w:rPr>
      </w:pPr>
    </w:p>
    <w:p w:rsidP="00AC6DDA" w:rsidR="001548F9" w:rsidRDefault="001548F9">
      <w:pPr>
        <w:pStyle w:val="20"/>
        <w:spacing w:after="0" w:before="29" w:line="288" w:lineRule="auto"/>
        <w:rPr>
          <w:rFonts w:ascii="Times New Roman" w:hAnsi="Times New Roman"/>
          <w:kern w:val="0"/>
          <w:szCs w:val="24"/>
        </w:rPr>
      </w:pPr>
      <w:bookmarkStart w:id="77" w:name="_Toc331410103"/>
      <w:bookmarkStart w:id="78" w:name="_Toc225498274"/>
      <w:r w:rsidRPr="005C672D">
        <w:rPr>
          <w:rFonts w:ascii="Times New Roman" w:hAnsi="Times New Roman"/>
          <w:color w:val="000000"/>
          <w:szCs w:val="24"/>
        </w:rPr>
        <w:t/>
      </w:r>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77"/>
      <w:bookmarkEnd w:id="78"/>
    </w:p>
    <w:p w:rsidP="001C16A1" w:rsidR="001C16A1" w:rsidRDefault="001C16A1" w:rsidRPr="001C16A1">
      <w:pPr>
        <w:pStyle w:val="20"/>
        <w:spacing w:after="0" w:before="29"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79"/>
        <w:gridCol w:w="3599"/>
        <w:gridCol w:w="2160"/>
        <w:gridCol w:w="2160"/>
      </w:tblGrid>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代码</w:t>
            </w:r>
            <w:r w:rsidRPr="005C672D">
              <w:rPr>
                <w:color w:val="000000"/>
                <w:sz w:val="24"/>
              </w:rPr>
              <w:t/>
            </w:r>
          </w:p>
        </w:tc>
        <w:tc>
          <w:tcPr>
            <w:tcW w:type="dxa" w:w="3600"/>
            <w:vAlign w:val="center"/>
          </w:tcPr>
          <w:p w:rsidP="00AC6DDA" w:rsidR="001548F9" w:rsidRDefault="001548F9" w:rsidRPr="005C672D">
            <w:pPr>
              <w:spacing w:before="29" w:line="288" w:lineRule="auto"/>
              <w:rPr>
                <w:color w:val="000000"/>
                <w:sz w:val="24"/>
              </w:rPr>
            </w:pPr>
            <w:r w:rsidRPr="005C672D">
              <w:rPr>
                <w:color w:val="000000"/>
                <w:sz w:val="24"/>
              </w:rPr>
              <w:t>行业类别</w:t>
            </w:r>
          </w:p>
        </w:tc>
        <w:tc>
          <w:tcPr>
            <w:tcW w:type="dxa" w:w="2160"/>
            <w:vAlign w:val="center"/>
          </w:tcPr>
          <w:p w:rsidP="00AC6DDA" w:rsidR="001548F9" w:rsidRDefault="001548F9" w:rsidRPr="005C672D">
            <w:pPr>
              <w:spacing w:before="29" w:line="288" w:lineRule="auto"/>
              <w:jc w:val="center"/>
              <w:rPr>
                <w:color w:val="000000"/>
                <w:sz w:val="24"/>
              </w:rPr>
            </w:pPr>
            <w:r w:rsidRPr="005C672D">
              <w:rPr>
                <w:color w:val="000000"/>
                <w:sz w:val="24"/>
              </w:rPr>
              <w:t>公允价值</w:t>
            </w:r>
          </w:p>
        </w:tc>
        <w:tc>
          <w:tcPr>
            <w:tcW w:type="dxa" w:w="2160"/>
            <w:vAlign w:val="center"/>
          </w:tcPr>
          <w:p w:rsidP="00AC6DDA" w:rsidR="001548F9" w:rsidRDefault="001548F9" w:rsidRPr="005C672D">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A</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农、林、牧、渔业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B</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采矿业</w:t>
            </w:r>
          </w:p>
        </w:tc>
        <w:tc>
          <w:tcPr>
            <w:tcW w:type="dxa" w:w="2160"/>
            <w:vAlign w:val="center"/>
          </w:tcPr>
          <w:p w:rsidP="00AC6DDA" w:rsidR="001548F9" w:rsidRDefault="001548F9" w:rsidRPr="005C672D">
            <w:pPr>
              <w:spacing w:before="29" w:line="288" w:lineRule="auto"/>
              <w:jc w:val="right"/>
              <w:rPr>
                <w:sz w:val="24"/>
              </w:rPr>
            </w:pPr>
            <w:r w:rsidRPr="005C672D">
              <w:rPr>
                <w:sz w:val="24"/>
              </w:rPr>
              <w:t>4,583,431.25</w:t>
            </w:r>
          </w:p>
          <w:p w:rsidP="00AC6DDA" w:rsidR="001548F9" w:rsidRDefault="001548F9" w:rsidRPr="005C672D">
            <w:pPr>
              <w:spacing w:before="29" w:line="288" w:lineRule="auto"/>
              <w:jc w:val="right"/>
              <w:rPr>
                <w:sz w:val="24"/>
              </w:rPr>
            </w:pPr>
          </w:p>
        </w:tc>
        <w:tc>
          <w:tcPr>
            <w:tcW w:type="dxa" w:w="2160"/>
            <w:vAlign w:val="center"/>
          </w:tcPr>
          <w:p w:rsidP="00AC6DDA" w:rsidR="001548F9" w:rsidRDefault="001548F9" w:rsidRPr="005C672D">
            <w:pPr>
              <w:spacing w:before="29" w:line="288" w:lineRule="auto"/>
              <w:jc w:val="right"/>
              <w:rPr>
                <w:sz w:val="24"/>
              </w:rPr>
            </w:pPr>
            <w:r w:rsidRPr="005C672D">
              <w:rPr>
                <w:sz w:val="24"/>
              </w:rPr>
              <w:t>0.15</w:t>
            </w:r>
          </w:p>
          <w:p w:rsidP="00AC6DDA" w:rsidR="001548F9" w:rsidRDefault="001548F9" w:rsidRPr="005C672D">
            <w:pPr>
              <w:spacing w:before="29" w:line="288" w:lineRule="auto"/>
              <w:jc w:val="right"/>
              <w:rPr>
                <w:sz w:val="24"/>
              </w:rPr>
            </w:pP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C</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制造业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847,719,941.87</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
            </w:r>
            <w:r w:rsidRPr="005C672D">
              <w:rPr>
                <w:color w:val="000000"/>
                <w:kern w:val="0"/>
                <w:sz w:val="24"/>
              </w:rPr>
              <w:lastRenderedPageBreak/>
              <w:t>28.48</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lastRenderedPageBreak/>
              <w:t>D</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电力、热力、燃气及水生产和供应业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E</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建筑业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105,244,177.20</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3.54</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F</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批发和零售业</w:t>
            </w:r>
          </w:p>
        </w:tc>
        <w:tc>
          <w:tcPr>
            <w:tcW w:type="dxa" w:w="2160"/>
            <w:vAlign w:val="center"/>
          </w:tcPr>
          <w:p w:rsidP="00AC6DDA" w:rsidR="001548F9" w:rsidRDefault="001548F9" w:rsidRPr="005C672D">
            <w:pPr>
              <w:spacing w:before="29" w:line="288" w:lineRule="auto"/>
              <w:jc w:val="right"/>
              <w:rPr>
                <w:sz w:val="24"/>
              </w:rPr>
            </w:pPr>
            <w:r w:rsidRPr="005C672D">
              <w:rPr>
                <w:sz w:val="24"/>
              </w:rPr>
              <w:t>173,569,366.98</w:t>
            </w:r>
          </w:p>
        </w:tc>
        <w:tc>
          <w:tcPr>
            <w:tcW w:type="dxa" w:w="2160"/>
            <w:vAlign w:val="center"/>
          </w:tcPr>
          <w:p w:rsidP="00AC6DDA" w:rsidR="001548F9" w:rsidRDefault="001548F9" w:rsidRPr="005C672D">
            <w:pPr>
              <w:spacing w:before="29" w:line="288" w:lineRule="auto"/>
              <w:jc w:val="right"/>
              <w:rPr>
                <w:sz w:val="24"/>
              </w:rPr>
            </w:pPr>
            <w:r w:rsidRPr="005C672D">
              <w:rPr>
                <w:sz w:val="24"/>
              </w:rPr>
              <w:t>5.83</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G</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交通运输、仓储和邮政业</w:t>
            </w:r>
          </w:p>
        </w:tc>
        <w:tc>
          <w:tcPr>
            <w:tcW w:type="dxa" w:w="2160"/>
            <w:vAlign w:val="center"/>
          </w:tcPr>
          <w:p w:rsidP="00AC6DDA" w:rsidR="001548F9" w:rsidRDefault="001548F9" w:rsidRPr="005C672D">
            <w:pPr>
              <w:spacing w:before="29" w:line="288" w:lineRule="auto"/>
              <w:jc w:val="right"/>
              <w:rPr>
                <w:sz w:val="24"/>
              </w:rPr>
            </w:pPr>
            <w:r w:rsidRPr="005C672D">
              <w:rPr>
                <w:sz w:val="24"/>
              </w:rPr>
              <w:t>6,966,000.00</w:t>
            </w:r>
          </w:p>
        </w:tc>
        <w:tc>
          <w:tcPr>
            <w:tcW w:type="dxa" w:w="2160"/>
            <w:vAlign w:val="center"/>
          </w:tcPr>
          <w:p w:rsidP="00AC6DDA" w:rsidR="001548F9" w:rsidRDefault="001548F9" w:rsidRPr="005C672D">
            <w:pPr>
              <w:spacing w:before="29" w:line="288" w:lineRule="auto"/>
              <w:jc w:val="right"/>
              <w:rPr>
                <w:sz w:val="24"/>
              </w:rPr>
            </w:pPr>
            <w:r w:rsidRPr="005C672D">
              <w:rPr>
                <w:sz w:val="24"/>
              </w:rPr>
              <w:t>0.23</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H</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住宿和餐饮业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I</w:t>
            </w:r>
          </w:p>
        </w:tc>
        <w:tc>
          <w:tcPr>
            <w:tcW w:type="dxa" w:w="3600"/>
            <w:vAlign w:val="center"/>
          </w:tcPr>
          <w:p w:rsidP="00087B29" w:rsidR="001548F9" w:rsidRDefault="001548F9" w:rsidRPr="005C672D">
            <w:pPr>
              <w:adjustRightInd w:val="0"/>
              <w:snapToGrid w:val="0"/>
              <w:spacing w:before="29" w:line="288" w:lineRule="auto"/>
              <w:rPr>
                <w:sz w:val="24"/>
              </w:rPr>
            </w:pPr>
            <w:r w:rsidRPr="005C672D">
              <w:rPr>
                <w:sz w:val="24"/>
              </w:rPr>
              <w:t>信息传输、软件和信息技术服务业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285,039,408.69</w:t>
            </w:r>
          </w:p>
        </w:tc>
        <w:tc>
          <w:tcPr>
            <w:tcW w:type="dxa" w:w="2160"/>
            <w:vAlign w:val="center"/>
          </w:tcPr>
          <w:p w:rsidP="00AC6DDA" w:rsidR="001548F9" w:rsidRDefault="001548F9" w:rsidRPr="005C672D">
            <w:pPr>
              <w:spacing w:before="29" w:line="288" w:lineRule="auto"/>
              <w:jc w:val="right"/>
              <w:rPr>
                <w:sz w:val="24"/>
              </w:rPr>
            </w:pPr>
            <w:r w:rsidRPr="005C672D">
              <w:rPr>
                <w:sz w:val="24"/>
              </w:rPr>
              <w:t>9.58</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J</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金融业</w:t>
            </w:r>
          </w:p>
        </w:tc>
        <w:tc>
          <w:tcPr>
            <w:tcW w:type="dxa" w:w="2160"/>
            <w:vAlign w:val="center"/>
          </w:tcPr>
          <w:p w:rsidP="00AC6DDA" w:rsidR="001548F9" w:rsidRDefault="001548F9" w:rsidRPr="005C672D">
            <w:pPr>
              <w:spacing w:before="29" w:line="288" w:lineRule="auto"/>
              <w:jc w:val="right"/>
              <w:rPr>
                <w:sz w:val="24"/>
              </w:rPr>
            </w:pPr>
            <w:r w:rsidRPr="005C672D">
              <w:rPr>
                <w:sz w:val="24"/>
              </w:rPr>
              <w:t>56,056.02</w:t>
            </w:r>
          </w:p>
        </w:tc>
        <w:tc>
          <w:tcPr>
            <w:tcW w:type="dxa" w:w="2160"/>
            <w:vAlign w:val="center"/>
          </w:tcPr>
          <w:p w:rsidP="00AC6DDA" w:rsidR="001548F9" w:rsidRDefault="001548F9" w:rsidRPr="005C672D">
            <w:pPr>
              <w:spacing w:before="29" w:line="288" w:lineRule="auto"/>
              <w:jc w:val="right"/>
              <w:rPr>
                <w:sz w:val="24"/>
              </w:rPr>
            </w:pPr>
            <w:r w:rsidRPr="005C672D">
              <w:rPr>
                <w:sz w:val="24"/>
              </w:rPr>
              <w:t>0.00</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K</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房地产业</w:t>
            </w:r>
          </w:p>
        </w:tc>
        <w:tc>
          <w:tcPr>
            <w:tcW w:type="dxa" w:w="2160"/>
            <w:vAlign w:val="center"/>
          </w:tcPr>
          <w:p w:rsidP="00AC6DDA" w:rsidR="001548F9" w:rsidRDefault="001548F9" w:rsidRPr="005C672D">
            <w:pPr>
              <w:spacing w:before="29" w:line="288" w:lineRule="auto"/>
              <w:jc w:val="right"/>
              <w:rPr>
                <w:sz w:val="24"/>
              </w:rPr>
            </w:pPr>
            <w:r w:rsidRPr="005C672D">
              <w:rPr>
                <w:sz w:val="24"/>
              </w:rPr>
              <w:t>570,030,188.16</w:t>
            </w:r>
          </w:p>
        </w:tc>
        <w:tc>
          <w:tcPr>
            <w:tcW w:type="dxa" w:w="2160"/>
            <w:vAlign w:val="center"/>
          </w:tcPr>
          <w:p w:rsidP="00AC6DDA" w:rsidR="001548F9" w:rsidRDefault="001548F9" w:rsidRPr="005C672D">
            <w:pPr>
              <w:spacing w:before="29" w:line="288" w:lineRule="auto"/>
              <w:jc w:val="right"/>
              <w:rPr>
                <w:sz w:val="24"/>
              </w:rPr>
            </w:pPr>
            <w:r w:rsidRPr="005C672D">
              <w:rPr>
                <w:sz w:val="24"/>
              </w:rPr>
              <w:t>19.15</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L</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租赁和商务服务业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M</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科学研究和技术服务业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
            </w:r>
            <w:r w:rsidRPr="005C672D">
              <w:rPr>
                <w:sz w:val="24"/>
              </w:rPr>
              <w:lastRenderedPageBreak/>
              <w:t>64,979,861.98</w:t>
            </w:r>
          </w:p>
        </w:tc>
        <w:tc>
          <w:tcPr>
            <w:tcW w:type="dxa" w:w="2160"/>
            <w:vAlign w:val="center"/>
          </w:tcPr>
          <w:p w:rsidP="00AC6DDA" w:rsidR="001548F9" w:rsidRDefault="001548F9" w:rsidRPr="005C672D">
            <w:pPr>
              <w:spacing w:before="29" w:line="288" w:lineRule="auto"/>
              <w:jc w:val="right"/>
              <w:rPr>
                <w:sz w:val="24"/>
              </w:rPr>
            </w:pPr>
            <w:r w:rsidRPr="005C672D">
              <w:rPr>
                <w:sz w:val="24"/>
              </w:rPr>
              <w:lastRenderedPageBreak/>
              <w:t/>
            </w:r>
            <w:r w:rsidRPr="005C672D">
              <w:rPr>
                <w:sz w:val="24"/>
              </w:rPr>
              <w:lastRenderedPageBreak/>
              <w:t>2.18</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lastRenderedPageBreak/>
              <w:t>N</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水利、环境和公共设施管理业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O</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居民服务、修理和其他服务业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P</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教育</w:t>
            </w:r>
          </w:p>
        </w:tc>
        <w:tc>
          <w:tcPr>
            <w:tcW w:type="dxa" w:w="2160"/>
            <w:vAlign w:val="center"/>
          </w:tcPr>
          <w:p w:rsidP="00AC6DDA" w:rsidR="001548F9" w:rsidRDefault="001548F9" w:rsidRPr="005C672D">
            <w:pPr>
              <w:spacing w:before="29" w:line="288" w:lineRule="auto"/>
              <w:jc w:val="right"/>
              <w:rPr>
                <w:sz w:val="24"/>
              </w:rPr>
            </w:pPr>
            <w:r w:rsidRPr="005C672D">
              <w:rPr>
                <w:sz w:val="24"/>
              </w:rPr>
              <w:t>111,211,530.89</w:t>
            </w:r>
          </w:p>
        </w:tc>
        <w:tc>
          <w:tcPr>
            <w:tcW w:type="dxa" w:w="2160"/>
            <w:vAlign w:val="center"/>
          </w:tcPr>
          <w:p w:rsidP="00AC6DDA" w:rsidR="001548F9" w:rsidRDefault="001548F9" w:rsidRPr="005C672D">
            <w:pPr>
              <w:spacing w:before="29" w:line="288" w:lineRule="auto"/>
              <w:jc w:val="right"/>
              <w:rPr>
                <w:sz w:val="24"/>
              </w:rPr>
            </w:pPr>
            <w:r w:rsidRPr="005C672D">
              <w:rPr>
                <w:sz w:val="24"/>
              </w:rPr>
              <w:t>3.74</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Q</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卫生和社会工作</w:t>
            </w:r>
          </w:p>
        </w:tc>
        <w:tc>
          <w:tcPr>
            <w:tcW w:type="dxa" w:w="2160"/>
            <w:vAlign w:val="center"/>
          </w:tcPr>
          <w:p w:rsidP="00AC6DDA" w:rsidR="001548F9" w:rsidRDefault="001548F9" w:rsidRPr="005C672D">
            <w:pPr>
              <w:spacing w:before="29" w:line="288" w:lineRule="auto"/>
              <w:jc w:val="right"/>
              <w:rPr>
                <w:sz w:val="24"/>
              </w:rPr>
            </w:pPr>
            <w:r w:rsidRPr="005C672D">
              <w:rPr>
                <w:sz w:val="24"/>
              </w:rPr>
              <w:t>35,370,000.00</w:t>
            </w:r>
          </w:p>
        </w:tc>
        <w:tc>
          <w:tcPr>
            <w:tcW w:type="dxa" w:w="2160"/>
            <w:vAlign w:val="center"/>
          </w:tcPr>
          <w:p w:rsidP="00AC6DDA" w:rsidR="001548F9" w:rsidRDefault="001548F9" w:rsidRPr="005C672D">
            <w:pPr>
              <w:spacing w:before="29" w:line="288" w:lineRule="auto"/>
              <w:jc w:val="right"/>
              <w:rPr>
                <w:sz w:val="24"/>
              </w:rPr>
            </w:pPr>
            <w:r w:rsidRPr="005C672D">
              <w:rPr>
                <w:sz w:val="24"/>
              </w:rPr>
              <w:t>1.19</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R</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文化、体育和娱乐业</w:t>
            </w:r>
          </w:p>
        </w:tc>
        <w:tc>
          <w:tcPr>
            <w:tcW w:type="dxa" w:w="2160"/>
            <w:vAlign w:val="center"/>
          </w:tcPr>
          <w:p w:rsidP="00AC6DDA" w:rsidR="001548F9" w:rsidRDefault="001548F9" w:rsidRPr="005C672D">
            <w:pPr>
              <w:spacing w:before="29" w:line="288" w:lineRule="auto"/>
              <w:jc w:val="right"/>
              <w:rPr>
                <w:sz w:val="24"/>
              </w:rPr>
            </w:pPr>
            <w:r w:rsidRPr="005C672D">
              <w:rPr>
                <w:sz w:val="24"/>
              </w:rPr>
              <w:t>283,268,106.60</w:t>
            </w:r>
          </w:p>
        </w:tc>
        <w:tc>
          <w:tcPr>
            <w:tcW w:type="dxa" w:w="2160"/>
            <w:vAlign w:val="center"/>
          </w:tcPr>
          <w:p w:rsidP="00AC6DDA" w:rsidR="001548F9" w:rsidRDefault="001548F9" w:rsidRPr="005C672D">
            <w:pPr>
              <w:spacing w:before="29" w:line="288" w:lineRule="auto"/>
              <w:jc w:val="right"/>
              <w:rPr>
                <w:sz w:val="24"/>
              </w:rPr>
            </w:pPr>
            <w:r w:rsidRPr="005C672D">
              <w:rPr>
                <w:sz w:val="24"/>
              </w:rPr>
              <w:t>9.52</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S</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综合</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p>
        </w:tc>
        <w:tc>
          <w:tcPr>
            <w:tcW w:type="dxa" w:w="3600"/>
            <w:vAlign w:val="center"/>
          </w:tcPr>
          <w:p w:rsidP="00AC6DDA" w:rsidR="001548F9" w:rsidRDefault="001548F9" w:rsidRPr="005C672D">
            <w:pPr>
              <w:spacing w:before="29" w:line="288" w:lineRule="auto"/>
              <w:rPr>
                <w:color w:val="000000"/>
                <w:sz w:val="24"/>
              </w:rPr>
            </w:pPr>
            <w:r w:rsidRPr="005C672D">
              <w:rPr>
                <w:sz w:val="24"/>
              </w:rPr>
              <w:t>合计</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2,488,038,069.64</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83.59</w:t>
            </w:r>
          </w:p>
        </w:tc>
      </w:tr>
    </w:tbl>
    <w:p w:rsidP="00AC6DDA" w:rsidR="00161BDC" w:rsidRDefault="00161BDC" w:rsidRPr="005C672D">
      <w:pPr>
        <w:tabs>
          <w:tab w:pos="426" w:val="left"/>
        </w:tabs>
        <w:spacing w:before="29" w:line="288" w:lineRule="auto"/>
        <w:jc w:val="left"/>
        <w:rPr>
          <w:kern w:val="0"/>
          <w:sz w:val="24"/>
        </w:rPr>
      </w:pPr>
    </w:p>
    <w:p w:rsidP="001C16A1" w:rsidR="001C16A1" w:rsidRDefault="001C16A1" w:rsidRPr="00D52A9B">
      <w:pPr>
        <w:pStyle w:val="20"/>
        <w:spacing w:after="0" w:before="29"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P="001C16A1" w:rsidR="001C16A1" w:rsidRDefault="001C16A1" w:rsidRPr="00D52A9B">
      <w:pPr>
        <w:tabs>
          <w:tab w:pos="426" w:val="left"/>
        </w:tabs>
        <w:spacing w:line="360" w:lineRule="auto"/>
        <w:jc w:val="left"/>
        <w:rPr>
          <w:kern w:val="0"/>
          <w:sz w:val="24"/>
        </w:rPr>
      </w:pPr>
      <w:r w:rsidRPr="00D52A9B">
        <w:rPr>
          <w:kern w:val="0"/>
          <w:sz w:val="24"/>
        </w:rPr>
        <w:t>本基金本报告期末未持有通过港股通投资的股票。</w:t>
      </w:r>
    </w:p>
    <w:p w:rsidP="00AC6DDA" w:rsidR="001548F9" w:rsidRDefault="001548F9" w:rsidRPr="001C16A1">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8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81"/>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108"/>
          <w:bottom w:type="dxa" w:w="108"/>
        </w:tblCellMar>
        <w:tblLook w:val="00A0"/>
      </w:tblPr>
      <w:tblGrid>
        <w:gridCol w:w="862"/>
        <w:gridCol w:w="1346"/>
        <w:gridCol w:w="1795"/>
        <w:gridCol w:w="1681"/>
        <w:gridCol w:w="1795"/>
        <w:gridCol w:w="1519"/>
      </w:tblGrid>
      <w:tr w:rsidR="001548F9" w:rsidRPr="005C672D" w:rsidTr="004B4168">
        <w:tc>
          <w:tcPr>
            <w:tcW w:type="dxa" w:w="817"/>
            <w:vAlign w:val="center"/>
          </w:tcPr>
          <w:p w:rsidP="00AC6DDA" w:rsidR="001548F9" w:rsidRDefault="001548F9" w:rsidRPr="005C672D">
            <w:pPr>
              <w:spacing w:before="29" w:line="288" w:lineRule="auto"/>
              <w:ind w:left="17"/>
              <w:jc w:val="center"/>
              <w:rPr>
                <w:color w:val="000000"/>
                <w:sz w:val="24"/>
              </w:rPr>
            </w:pPr>
            <w:r w:rsidRPr="005C672D">
              <w:rPr>
                <w:color w:val="000000"/>
                <w:sz w:val="24"/>
              </w:rPr>
              <w:lastRenderedPageBreak/>
              <w:t>序号</w:t>
            </w:r>
          </w:p>
        </w:tc>
        <w:tc>
          <w:tcPr>
            <w:tcW w:type="dxa" w:w="1276"/>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股票代码</w:t>
            </w:r>
          </w:p>
        </w:tc>
        <w:tc>
          <w:tcPr>
            <w:tcW w:type="dxa" w:w="1701"/>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股票名称</w:t>
            </w:r>
          </w:p>
        </w:tc>
        <w:tc>
          <w:tcPr>
            <w:tcW w:type="dxa" w:w="1593"/>
            <w:vAlign w:val="center"/>
          </w:tcPr>
          <w:p w:rsidP="00AC6DDA" w:rsidR="001548F9" w:rsidRDefault="001548F9" w:rsidRPr="005C672D">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type="dxa" w:w="1701"/>
            <w:vAlign w:val="center"/>
          </w:tcPr>
          <w:p w:rsidP="00AC6DDA" w:rsidR="001548F9" w:rsidRDefault="001548F9" w:rsidRPr="005C672D">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type="dxa" w:w="1440"/>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tc>
          <w:tcPr>
            <w:vAlign w:val="center"/>
          </w:tcPr>
          <w:p>
            <w:pPr>
              <w:jc w:val="center"/>
            </w:pPr>
            <w:r>
              <w:rPr>
                <w:color w:val="000000"/>
                <w:sz w:val="24"/>
              </w:rPr>
              <w:t>1</w:t>
            </w:r>
          </w:p>
        </w:tc>
        <w:tc>
          <w:tcPr>
            <w:vAlign w:val="center"/>
          </w:tcPr>
          <w:p>
            <w:pPr>
              <w:jc w:val="center"/>
            </w:pPr>
            <w:r>
              <w:rPr>
                <w:color w:val="000000"/>
                <w:sz w:val="24"/>
              </w:rPr>
              <w:t>300413</w:t>
            </w:r>
          </w:p>
        </w:tc>
        <w:tc>
          <w:tcPr>
            <w:vAlign w:val="center"/>
          </w:tcPr>
          <w:p>
            <w:pPr>
              <w:jc w:val="center"/>
            </w:pPr>
            <w:r>
              <w:rPr>
                <w:color w:val="000000"/>
                <w:sz w:val="24"/>
              </w:rPr>
              <w:t>芒果超媒</w:t>
            </w:r>
          </w:p>
        </w:tc>
        <w:tc>
          <w:tcPr>
            <w:vAlign w:val="center"/>
          </w:tcPr>
          <w:p>
            <w:pPr>
              <w:jc w:val="right"/>
            </w:pPr>
            <w:r>
              <w:rPr>
                <w:color w:val="000000"/>
                <w:sz w:val="24"/>
              </w:rPr>
              <w:t>6,900,000</w:t>
            </w:r>
          </w:p>
        </w:tc>
        <w:tc>
          <w:tcPr>
            <w:vAlign w:val="center"/>
          </w:tcPr>
          <w:p>
            <w:pPr>
              <w:jc w:val="right"/>
            </w:pPr>
            <w:r>
              <w:rPr>
                <w:color w:val="000000"/>
                <w:sz w:val="24"/>
              </w:rPr>
              <w:t>283,245,000.00</w:t>
            </w:r>
          </w:p>
        </w:tc>
        <w:tc>
          <w:tcPr>
            <w:vAlign w:val="center"/>
          </w:tcPr>
          <w:p>
            <w:pPr>
              <w:jc w:val="right"/>
            </w:pPr>
            <w:r>
              <w:rPr>
                <w:color w:val="000000"/>
                <w:sz w:val="24"/>
              </w:rPr>
              <w:t>9.52</w:t>
            </w:r>
          </w:p>
        </w:tc>
      </w:tr>
      <w:tr>
        <w:tc>
          <w:tcPr>
            <w:vAlign w:val="center"/>
          </w:tcPr>
          <w:p>
            <w:pPr>
              <w:jc w:val="center"/>
            </w:pPr>
            <w:r>
              <w:rPr>
                <w:color w:val="000000"/>
                <w:sz w:val="24"/>
              </w:rPr>
              <w:t>2</w:t>
            </w:r>
          </w:p>
        </w:tc>
        <w:tc>
          <w:tcPr>
            <w:vAlign w:val="center"/>
          </w:tcPr>
          <w:p>
            <w:pPr>
              <w:jc w:val="center"/>
            </w:pPr>
            <w:r>
              <w:rPr>
                <w:color w:val="000000"/>
                <w:sz w:val="24"/>
              </w:rPr>
              <w:t>600048</w:t>
            </w:r>
          </w:p>
        </w:tc>
        <w:tc>
          <w:tcPr>
            <w:vAlign w:val="center"/>
          </w:tcPr>
          <w:p>
            <w:pPr>
              <w:jc w:val="center"/>
            </w:pPr>
            <w:r>
              <w:rPr>
                <w:color w:val="000000"/>
                <w:sz w:val="24"/>
              </w:rPr>
              <w:t>保利地产</w:t>
            </w:r>
          </w:p>
        </w:tc>
        <w:tc>
          <w:tcPr>
            <w:vAlign w:val="center"/>
          </w:tcPr>
          <w:p>
            <w:pPr>
              <w:jc w:val="right"/>
            </w:pPr>
            <w:r>
              <w:rPr>
                <w:color w:val="000000"/>
                <w:sz w:val="24"/>
              </w:rPr>
              <w:t>16,000,000</w:t>
            </w:r>
          </w:p>
        </w:tc>
        <w:tc>
          <w:tcPr>
            <w:vAlign w:val="center"/>
          </w:tcPr>
          <w:p>
            <w:pPr>
              <w:jc w:val="right"/>
            </w:pPr>
            <w:r>
              <w:rPr>
                <w:color w:val="000000"/>
                <w:sz w:val="24"/>
              </w:rPr>
              <w:t>204,160,000.00</w:t>
            </w:r>
          </w:p>
        </w:tc>
        <w:tc>
          <w:tcPr>
            <w:vAlign w:val="center"/>
          </w:tcPr>
          <w:p>
            <w:pPr>
              <w:jc w:val="right"/>
            </w:pPr>
            <w:r>
              <w:rPr>
                <w:color w:val="000000"/>
                <w:sz w:val="24"/>
              </w:rPr>
              <w:t>6.86</w:t>
            </w:r>
          </w:p>
        </w:tc>
      </w:tr>
      <w:tr>
        <w:tc>
          <w:tcPr>
            <w:vAlign w:val="center"/>
          </w:tcPr>
          <w:p>
            <w:pPr>
              <w:jc w:val="center"/>
            </w:pPr>
            <w:r>
              <w:rPr>
                <w:color w:val="000000"/>
                <w:sz w:val="24"/>
              </w:rPr>
              <w:t>3</w:t>
            </w:r>
          </w:p>
        </w:tc>
        <w:tc>
          <w:tcPr>
            <w:vAlign w:val="center"/>
          </w:tcPr>
          <w:p>
            <w:pPr>
              <w:jc w:val="center"/>
            </w:pPr>
            <w:r>
              <w:rPr>
                <w:color w:val="000000"/>
                <w:sz w:val="24"/>
              </w:rPr>
              <w:t>601933</w:t>
            </w:r>
          </w:p>
        </w:tc>
        <w:tc>
          <w:tcPr>
            <w:vAlign w:val="center"/>
          </w:tcPr>
          <w:p>
            <w:pPr>
              <w:jc w:val="center"/>
            </w:pPr>
            <w:r>
              <w:rPr>
                <w:color w:val="000000"/>
                <w:sz w:val="24"/>
              </w:rPr>
              <w:t>永辉超市</w:t>
            </w:r>
          </w:p>
        </w:tc>
        <w:tc>
          <w:tcPr>
            <w:vAlign w:val="center"/>
          </w:tcPr>
          <w:p>
            <w:pPr>
              <w:jc w:val="right"/>
            </w:pPr>
            <w:r>
              <w:rPr>
                <w:color w:val="000000"/>
                <w:sz w:val="24"/>
              </w:rPr>
              <w:t>16,999,938</w:t>
            </w:r>
          </w:p>
        </w:tc>
        <w:tc>
          <w:tcPr>
            <w:vAlign w:val="center"/>
          </w:tcPr>
          <w:p>
            <w:pPr>
              <w:jc w:val="right"/>
            </w:pPr>
            <w:r>
              <w:rPr>
                <w:color w:val="000000"/>
                <w:sz w:val="24"/>
              </w:rPr>
              <w:t>173,569,366.98</w:t>
            </w:r>
          </w:p>
        </w:tc>
        <w:tc>
          <w:tcPr>
            <w:vAlign w:val="center"/>
          </w:tcPr>
          <w:p>
            <w:pPr>
              <w:jc w:val="right"/>
            </w:pPr>
            <w:r>
              <w:rPr>
                <w:color w:val="000000"/>
                <w:sz w:val="24"/>
              </w:rPr>
              <w:t>5.83</w:t>
            </w:r>
          </w:p>
        </w:tc>
      </w:tr>
      <w:tr>
        <w:tc>
          <w:tcPr>
            <w:vAlign w:val="center"/>
          </w:tcPr>
          <w:p>
            <w:pPr>
              <w:jc w:val="center"/>
            </w:pPr>
            <w:r>
              <w:rPr>
                <w:color w:val="000000"/>
                <w:sz w:val="24"/>
              </w:rPr>
              <w:t>4</w:t>
            </w:r>
          </w:p>
        </w:tc>
        <w:tc>
          <w:tcPr>
            <w:vAlign w:val="center"/>
          </w:tcPr>
          <w:p>
            <w:pPr>
              <w:jc w:val="center"/>
            </w:pPr>
            <w:r>
              <w:rPr>
                <w:color w:val="000000"/>
                <w:sz w:val="24"/>
              </w:rPr>
              <w:t>002230</w:t>
            </w:r>
          </w:p>
        </w:tc>
        <w:tc>
          <w:tcPr>
            <w:vAlign w:val="center"/>
          </w:tcPr>
          <w:p>
            <w:pPr>
              <w:jc w:val="center"/>
            </w:pPr>
            <w:r>
              <w:rPr>
                <w:color w:val="000000"/>
                <w:sz w:val="24"/>
              </w:rPr>
              <w:t>科大讯飞</w:t>
            </w:r>
          </w:p>
        </w:tc>
        <w:tc>
          <w:tcPr>
            <w:vAlign w:val="center"/>
          </w:tcPr>
          <w:p>
            <w:pPr>
              <w:jc w:val="right"/>
            </w:pPr>
            <w:r>
              <w:rPr>
                <w:color w:val="000000"/>
                <w:sz w:val="24"/>
              </w:rPr>
              <w:t>4,509,938</w:t>
            </w:r>
          </w:p>
        </w:tc>
        <w:tc>
          <w:tcPr>
            <w:vAlign w:val="center"/>
          </w:tcPr>
          <w:p>
            <w:pPr>
              <w:jc w:val="right"/>
            </w:pPr>
            <w:r>
              <w:rPr>
                <w:color w:val="000000"/>
                <w:sz w:val="24"/>
              </w:rPr>
              <w:t>149,910,339.12</w:t>
            </w:r>
          </w:p>
        </w:tc>
        <w:tc>
          <w:tcPr>
            <w:vAlign w:val="center"/>
          </w:tcPr>
          <w:p>
            <w:pPr>
              <w:jc w:val="right"/>
            </w:pPr>
            <w:r>
              <w:rPr>
                <w:color w:val="000000"/>
                <w:sz w:val="24"/>
              </w:rPr>
              <w:t>5.04</w:t>
            </w:r>
          </w:p>
        </w:tc>
      </w:tr>
      <w:tr>
        <w:tc>
          <w:tcPr>
            <w:vAlign w:val="center"/>
          </w:tcPr>
          <w:p>
            <w:pPr>
              <w:jc w:val="center"/>
            </w:pPr>
            <w:r>
              <w:rPr>
                <w:color w:val="000000"/>
                <w:sz w:val="24"/>
              </w:rPr>
              <w:t>5</w:t>
            </w:r>
          </w:p>
        </w:tc>
        <w:tc>
          <w:tcPr>
            <w:vAlign w:val="center"/>
          </w:tcPr>
          <w:p>
            <w:pPr>
              <w:jc w:val="center"/>
            </w:pPr>
            <w:r>
              <w:rPr>
                <w:color w:val="000000"/>
                <w:sz w:val="24"/>
              </w:rPr>
              <w:t>000651</w:t>
            </w:r>
          </w:p>
        </w:tc>
        <w:tc>
          <w:tcPr>
            <w:vAlign w:val="center"/>
          </w:tcPr>
          <w:p>
            <w:pPr>
              <w:jc w:val="center"/>
            </w:pPr>
            <w:r>
              <w:rPr>
                <w:color w:val="000000"/>
                <w:sz w:val="24"/>
              </w:rPr>
              <w:t>格力电器</w:t>
            </w:r>
          </w:p>
        </w:tc>
        <w:tc>
          <w:tcPr>
            <w:vAlign w:val="center"/>
          </w:tcPr>
          <w:p>
            <w:pPr>
              <w:jc w:val="right"/>
            </w:pPr>
            <w:r>
              <w:rPr>
                <w:color w:val="000000"/>
                <w:sz w:val="24"/>
              </w:rPr>
              <w:t>2,300,000</w:t>
            </w:r>
          </w:p>
        </w:tc>
        <w:tc>
          <w:tcPr>
            <w:vAlign w:val="center"/>
          </w:tcPr>
          <w:p>
            <w:pPr>
              <w:jc w:val="right"/>
            </w:pPr>
            <w:r>
              <w:rPr>
                <w:color w:val="000000"/>
                <w:sz w:val="24"/>
              </w:rPr>
              <w:t>126,500,000.00</w:t>
            </w:r>
          </w:p>
        </w:tc>
        <w:tc>
          <w:tcPr>
            <w:vAlign w:val="center"/>
          </w:tcPr>
          <w:p>
            <w:pPr>
              <w:jc w:val="right"/>
            </w:pPr>
            <w:r>
              <w:rPr>
                <w:color w:val="000000"/>
                <w:sz w:val="24"/>
              </w:rPr>
              <w:t>4.25</w:t>
            </w:r>
          </w:p>
        </w:tc>
      </w:tr>
      <w:tr>
        <w:tc>
          <w:tcPr>
            <w:vAlign w:val="center"/>
          </w:tcPr>
          <w:p>
            <w:pPr>
              <w:jc w:val="center"/>
            </w:pPr>
            <w:r>
              <w:rPr>
                <w:color w:val="000000"/>
                <w:sz w:val="24"/>
              </w:rPr>
              <w:t>6</w:t>
            </w:r>
          </w:p>
        </w:tc>
        <w:tc>
          <w:tcPr>
            <w:vAlign w:val="center"/>
          </w:tcPr>
          <w:p>
            <w:pPr>
              <w:jc w:val="center"/>
            </w:pPr>
            <w:r>
              <w:rPr>
                <w:color w:val="000000"/>
                <w:sz w:val="24"/>
              </w:rPr>
              <w:t>000961</w:t>
            </w:r>
          </w:p>
        </w:tc>
        <w:tc>
          <w:tcPr>
            <w:vAlign w:val="center"/>
          </w:tcPr>
          <w:p>
            <w:pPr>
              <w:jc w:val="center"/>
            </w:pPr>
            <w:r>
              <w:rPr>
                <w:color w:val="000000"/>
                <w:sz w:val="24"/>
              </w:rPr>
              <w:t>中南建设</w:t>
            </w:r>
          </w:p>
        </w:tc>
        <w:tc>
          <w:tcPr>
            <w:vAlign w:val="center"/>
          </w:tcPr>
          <w:p>
            <w:pPr>
              <w:jc w:val="right"/>
            </w:pPr>
            <w:r>
              <w:rPr>
                <w:color w:val="000000"/>
                <w:sz w:val="24"/>
              </w:rPr>
              <w:t>14,000,000</w:t>
            </w:r>
          </w:p>
        </w:tc>
        <w:tc>
          <w:tcPr>
            <w:vAlign w:val="center"/>
          </w:tcPr>
          <w:p>
            <w:pPr>
              <w:jc w:val="right"/>
            </w:pPr>
            <w:r>
              <w:rPr>
                <w:color w:val="000000"/>
                <w:sz w:val="24"/>
              </w:rPr>
              <w:t>121,240,000.00</w:t>
            </w:r>
          </w:p>
        </w:tc>
        <w:tc>
          <w:tcPr>
            <w:vAlign w:val="center"/>
          </w:tcPr>
          <w:p>
            <w:pPr>
              <w:jc w:val="right"/>
            </w:pPr>
            <w:r>
              <w:rPr>
                <w:color w:val="000000"/>
                <w:sz w:val="24"/>
              </w:rPr>
              <w:t>4.07</w:t>
            </w:r>
          </w:p>
        </w:tc>
      </w:tr>
      <w:tr>
        <w:tc>
          <w:tcPr>
            <w:vAlign w:val="center"/>
          </w:tcPr>
          <w:p>
            <w:pPr>
              <w:jc w:val="center"/>
            </w:pPr>
            <w:r>
              <w:rPr>
                <w:color w:val="000000"/>
                <w:sz w:val="24"/>
              </w:rPr>
              <w:t>7</w:t>
            </w:r>
          </w:p>
        </w:tc>
        <w:tc>
          <w:tcPr>
            <w:vAlign w:val="center"/>
          </w:tcPr>
          <w:p>
            <w:pPr>
              <w:jc w:val="center"/>
            </w:pPr>
            <w:r>
              <w:rPr>
                <w:color w:val="000000"/>
                <w:sz w:val="24"/>
              </w:rPr>
              <w:t>002607</w:t>
            </w:r>
          </w:p>
        </w:tc>
        <w:tc>
          <w:tcPr>
            <w:vAlign w:val="center"/>
          </w:tcPr>
          <w:p>
            <w:pPr>
              <w:jc w:val="center"/>
            </w:pPr>
            <w:r>
              <w:rPr>
                <w:color w:val="000000"/>
                <w:sz w:val="24"/>
              </w:rPr>
              <w:t>中公教育</w:t>
            </w:r>
          </w:p>
        </w:tc>
        <w:tc>
          <w:tcPr>
            <w:vAlign w:val="center"/>
          </w:tcPr>
          <w:p>
            <w:pPr>
              <w:jc w:val="right"/>
            </w:pPr>
            <w:r>
              <w:rPr>
                <w:color w:val="000000"/>
                <w:sz w:val="24"/>
              </w:rPr>
              <w:t>8,099,893</w:t>
            </w:r>
          </w:p>
        </w:tc>
        <w:tc>
          <w:tcPr>
            <w:vAlign w:val="center"/>
          </w:tcPr>
          <w:p>
            <w:pPr>
              <w:jc w:val="right"/>
            </w:pPr>
            <w:r>
              <w:rPr>
                <w:color w:val="000000"/>
                <w:sz w:val="24"/>
              </w:rPr>
              <w:t>111,211,530.89</w:t>
            </w:r>
          </w:p>
        </w:tc>
        <w:tc>
          <w:tcPr>
            <w:vAlign w:val="center"/>
          </w:tcPr>
          <w:p>
            <w:pPr>
              <w:jc w:val="right"/>
            </w:pPr>
            <w:r>
              <w:rPr>
                <w:color w:val="000000"/>
                <w:sz w:val="24"/>
              </w:rPr>
              <w:t>3.74</w:t>
            </w:r>
          </w:p>
        </w:tc>
      </w:tr>
      <w:tr>
        <w:tc>
          <w:tcPr>
            <w:vAlign w:val="center"/>
          </w:tcPr>
          <w:p>
            <w:pPr>
              <w:jc w:val="center"/>
            </w:pPr>
            <w:r>
              <w:rPr>
                <w:color w:val="000000"/>
                <w:sz w:val="24"/>
              </w:rPr>
              <w:t>8</w:t>
            </w:r>
          </w:p>
        </w:tc>
        <w:tc>
          <w:tcPr>
            <w:vAlign w:val="center"/>
          </w:tcPr>
          <w:p>
            <w:pPr>
              <w:jc w:val="center"/>
            </w:pPr>
            <w:r>
              <w:rPr>
                <w:color w:val="000000"/>
                <w:sz w:val="24"/>
              </w:rPr>
              <w:t>603359</w:t>
            </w:r>
          </w:p>
        </w:tc>
        <w:tc>
          <w:tcPr>
            <w:vAlign w:val="center"/>
          </w:tcPr>
          <w:p>
            <w:pPr>
              <w:jc w:val="center"/>
            </w:pPr>
            <w:r>
              <w:rPr>
                <w:color w:val="000000"/>
                <w:sz w:val="24"/>
              </w:rPr>
              <w:t>东珠生态</w:t>
            </w:r>
          </w:p>
        </w:tc>
        <w:tc>
          <w:tcPr>
            <w:vAlign w:val="center"/>
          </w:tcPr>
          <w:p>
            <w:pPr>
              <w:jc w:val="right"/>
            </w:pPr>
            <w:r>
              <w:rPr>
                <w:color w:val="000000"/>
                <w:sz w:val="24"/>
              </w:rPr>
              <w:t>6,209,096</w:t>
            </w:r>
          </w:p>
        </w:tc>
        <w:tc>
          <w:tcPr>
            <w:vAlign w:val="center"/>
          </w:tcPr>
          <w:p>
            <w:pPr>
              <w:jc w:val="right"/>
            </w:pPr>
            <w:r>
              <w:rPr>
                <w:color w:val="000000"/>
                <w:sz w:val="24"/>
              </w:rPr>
              <w:t>105,244,177.20</w:t>
            </w:r>
          </w:p>
        </w:tc>
        <w:tc>
          <w:tcPr>
            <w:vAlign w:val="center"/>
          </w:tcPr>
          <w:p>
            <w:pPr>
              <w:jc w:val="right"/>
            </w:pPr>
            <w:r>
              <w:rPr>
                <w:color w:val="000000"/>
                <w:sz w:val="24"/>
              </w:rPr>
              <w:t>3.54</w:t>
            </w:r>
          </w:p>
        </w:tc>
      </w:tr>
      <w:tr>
        <w:tc>
          <w:tcPr>
            <w:vAlign w:val="center"/>
          </w:tcPr>
          <w:p>
            <w:pPr>
              <w:jc w:val="center"/>
            </w:pPr>
            <w:r>
              <w:rPr>
                <w:color w:val="000000"/>
                <w:sz w:val="24"/>
              </w:rPr>
              <w:t>9</w:t>
            </w:r>
          </w:p>
        </w:tc>
        <w:tc>
          <w:tcPr>
            <w:vAlign w:val="center"/>
          </w:tcPr>
          <w:p>
            <w:pPr>
              <w:jc w:val="center"/>
            </w:pPr>
            <w:r>
              <w:rPr>
                <w:color w:val="000000"/>
                <w:sz w:val="24"/>
              </w:rPr>
              <w:t>600216</w:t>
            </w:r>
          </w:p>
        </w:tc>
        <w:tc>
          <w:tcPr>
            <w:vAlign w:val="center"/>
          </w:tcPr>
          <w:p>
            <w:pPr>
              <w:jc w:val="center"/>
            </w:pPr>
            <w:r>
              <w:rPr>
                <w:color w:val="000000"/>
                <w:sz w:val="24"/>
              </w:rPr>
              <w:t>浙江医药</w:t>
            </w:r>
          </w:p>
        </w:tc>
        <w:tc>
          <w:tcPr>
            <w:vAlign w:val="center"/>
          </w:tcPr>
          <w:p>
            <w:pPr>
              <w:jc w:val="right"/>
            </w:pPr>
            <w:r>
              <w:rPr>
                <w:color w:val="000000"/>
                <w:sz w:val="24"/>
              </w:rPr>
              <w:t>9,999,955</w:t>
            </w:r>
          </w:p>
        </w:tc>
        <w:tc>
          <w:tcPr>
            <w:vAlign w:val="center"/>
          </w:tcPr>
          <w:p>
            <w:pPr>
              <w:jc w:val="right"/>
            </w:pPr>
            <w:r>
              <w:rPr>
                <w:color w:val="000000"/>
                <w:sz w:val="24"/>
              </w:rPr>
              <w:t>102,399,539.20</w:t>
            </w:r>
          </w:p>
        </w:tc>
        <w:tc>
          <w:tcPr>
            <w:vAlign w:val="center"/>
          </w:tcPr>
          <w:p>
            <w:pPr>
              <w:jc w:val="right"/>
            </w:pPr>
            <w:r>
              <w:rPr>
                <w:color w:val="000000"/>
                <w:sz w:val="24"/>
              </w:rPr>
              <w:t>3.44</w:t>
            </w:r>
          </w:p>
        </w:tc>
      </w:tr>
      <w:tr>
        <w:tc>
          <w:tcPr>
            <w:vAlign w:val="center"/>
          </w:tcPr>
          <w:p>
            <w:pPr>
              <w:jc w:val="center"/>
            </w:pPr>
            <w:r>
              <w:rPr>
                <w:color w:val="000000"/>
                <w:sz w:val="24"/>
              </w:rPr>
              <w:t>10</w:t>
            </w:r>
          </w:p>
        </w:tc>
        <w:tc>
          <w:tcPr>
            <w:vAlign w:val="center"/>
          </w:tcPr>
          <w:p>
            <w:pPr>
              <w:jc w:val="center"/>
            </w:pPr>
            <w:r>
              <w:rPr>
                <w:color w:val="000000"/>
                <w:sz w:val="24"/>
              </w:rPr>
              <w:t>600887</w:t>
            </w:r>
          </w:p>
        </w:tc>
        <w:tc>
          <w:tcPr>
            <w:vAlign w:val="center"/>
          </w:tcPr>
          <w:p>
            <w:pPr>
              <w:jc w:val="center"/>
            </w:pPr>
            <w:r>
              <w:rPr>
                <w:color w:val="000000"/>
                <w:sz w:val="24"/>
              </w:rPr>
              <w:t>伊利股份</w:t>
            </w:r>
          </w:p>
        </w:tc>
        <w:tc>
          <w:tcPr>
            <w:vAlign w:val="center"/>
          </w:tcPr>
          <w:p>
            <w:pPr>
              <w:jc w:val="right"/>
            </w:pPr>
            <w:r>
              <w:rPr>
                <w:color w:val="000000"/>
                <w:sz w:val="24"/>
              </w:rPr>
              <w:t>3,000,000</w:t>
            </w:r>
          </w:p>
        </w:tc>
        <w:tc>
          <w:tcPr>
            <w:vAlign w:val="center"/>
          </w:tcPr>
          <w:p>
            <w:pPr>
              <w:jc w:val="right"/>
            </w:pPr>
            <w:r>
              <w:rPr>
                <w:color w:val="000000"/>
                <w:sz w:val="24"/>
              </w:rPr>
              <w:t>100,230,000.00</w:t>
            </w:r>
          </w:p>
        </w:tc>
        <w:tc>
          <w:tcPr>
            <w:vAlign w:val="center"/>
          </w:tcPr>
          <w:p>
            <w:pPr>
              <w:jc w:val="right"/>
            </w:pPr>
            <w:r>
              <w:rPr>
                <w:color w:val="000000"/>
                <w:sz w:val="24"/>
              </w:rPr>
              <w:t>3.37</w:t>
            </w:r>
          </w:p>
        </w:tc>
      </w:tr>
    </w:tbl>
    <w:p w:rsidP="00AC6DDA" w:rsidR="001548F9" w:rsidRDefault="00712A78" w:rsidRPr="005C672D">
      <w:pPr>
        <w:tabs>
          <w:tab w:pos="426" w:val="left"/>
        </w:tabs>
        <w:spacing w:before="29" w:line="288" w:lineRule="auto"/>
        <w:jc w:val="left"/>
        <w:rPr>
          <w:kern w:val="0"/>
          <w:sz w:val="24"/>
        </w:rPr>
      </w:pPr>
      <w:r w:rsidRPr="005C672D">
        <w:rPr>
          <w:kern w:val="0"/>
          <w:sz w:val="24"/>
        </w:rPr>
        <w:t/>
      </w:r>
      <w:r w:rsidR="00DD0E90" w:rsidRPr="005C672D">
        <w:rPr>
          <w:kern w:val="0"/>
          <w:sz w:val="24"/>
        </w:rPr>
        <w:t/>
      </w:r>
      <w:r w:rsidR="00216EAA" w:rsidRPr="005C672D">
        <w:rPr>
          <w:kern w:val="0"/>
          <w:sz w:val="24"/>
        </w:rPr>
        <w:t/>
      </w:r>
      <w:r w:rsidR="00A37F12" w:rsidRPr="005C672D">
        <w:rPr>
          <w:kern w:val="0"/>
          <w:sz w:val="24"/>
        </w:rPr>
        <w:t/>
      </w:r>
      <w:r w:rsidR="00762050" w:rsidRPr="005C672D">
        <w:rPr>
          <w:kern w:val="0"/>
          <w:sz w:val="24"/>
        </w:rPr>
        <w:t/>
      </w:r>
      <w:r w:rsidR="00A37F12" w:rsidRPr="005C672D">
        <w:rPr>
          <w:kern w:val="0"/>
          <w:sz w:val="24"/>
        </w:rPr>
        <w:t/>
      </w:r>
      <w:r w:rsidR="00216EAA" w:rsidRPr="005C672D">
        <w:rPr>
          <w:kern w:val="0"/>
          <w:sz w:val="24"/>
        </w:rPr>
        <w:t/>
      </w:r>
      <w:r w:rsidR="00762050" w:rsidRPr="005C672D">
        <w:rPr>
          <w:kern w:val="0"/>
          <w:sz w:val="24"/>
        </w:rPr>
        <w:t/>
      </w:r>
      <w:r w:rsidR="00216EAA" w:rsidRPr="005C672D">
        <w:rPr>
          <w:kern w:val="0"/>
          <w:sz w:val="24"/>
        </w:rPr>
        <w:t/>
      </w:r>
      <w:r w:rsidR="001548F9" w:rsidRPr="005C672D">
        <w:rPr>
          <w:kern w:val="0"/>
          <w:sz w:val="24"/>
        </w:rPr>
        <w:t/>
      </w:r>
      <w:r w:rsidR="00216EAA" w:rsidRPr="005C672D">
        <w:rPr>
          <w:kern w:val="0"/>
          <w:sz w:val="24"/>
        </w:rPr>
        <w:t/>
      </w:r>
      <w:r w:rsidR="00216EAA" w:rsidRPr="005C672D">
        <w:rPr>
          <w:kern w:val="0"/>
          <w:sz w:val="24"/>
        </w:rPr>
        <w:t/>
      </w:r>
      <w:r w:rsidR="00216EAA" w:rsidRPr="005C672D">
        <w:rPr>
          <w:kern w:val="0"/>
          <w:sz w:val="24"/>
        </w:rPr>
        <w:t/>
      </w:r>
      <w:r w:rsidR="00DD0E90" w:rsidRPr="005C672D">
        <w:rPr>
          <w:kern w:val="0"/>
          <w:sz w:val="24"/>
        </w:rPr>
        <w:t xml:space="preserve">注：投资者欲了解本报告期末基金投资的所有股票明细，应阅读登载于基金管理人网站的半年度报告正文。</w:t>
      </w:r>
    </w:p>
    <w:p w:rsidP="00AC6DDA" w:rsidR="006B15EE" w:rsidRDefault="006B15EE"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82" w:name="_Toc331410105"/>
      <w:r w:rsidRPr="005C672D">
        <w:rPr>
          <w:rFonts w:ascii="Times New Roman" w:hAnsi="Times New Roman"/>
          <w:kern w:val="0"/>
          <w:szCs w:val="24"/>
        </w:rPr>
        <w:lastRenderedPageBreak/>
        <w:t>7.4</w:t>
      </w:r>
      <w:bookmarkStart w:id="83" w:name="_Toc234814103"/>
      <w:r w:rsidRPr="005C672D">
        <w:rPr>
          <w:rFonts w:ascii="Times New Roman" w:hAnsi="Times New Roman"/>
          <w:kern w:val="0"/>
          <w:szCs w:val="24"/>
        </w:rPr>
        <w:t>报告期内股票投资组合的重大变动</w:t>
      </w:r>
      <w:bookmarkEnd w:id="82"/>
      <w:bookmarkEnd w:id="83"/>
    </w:p>
    <w:p w:rsidP="00AC6DDA" w:rsidR="001548F9" w:rsidRDefault="001548F9" w:rsidRPr="005C672D">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869"/>
        <w:gridCol w:w="1650"/>
        <w:gridCol w:w="1980"/>
        <w:gridCol w:w="2879"/>
        <w:gridCol w:w="1620"/>
      </w:tblGrid>
      <w:tr w:rsidR="001548F9" w:rsidRPr="005C672D" w:rsidTr="006720EB">
        <w:tc>
          <w:tcPr>
            <w:tcW w:type="dxa" w:w="870"/>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1650"/>
            <w:vAlign w:val="center"/>
          </w:tcPr>
          <w:p w:rsidP="00AC6DDA" w:rsidR="001548F9" w:rsidRDefault="001548F9" w:rsidRPr="005C672D">
            <w:pPr>
              <w:spacing w:before="29" w:line="288" w:lineRule="auto"/>
              <w:jc w:val="center"/>
              <w:rPr>
                <w:color w:val="000000"/>
                <w:sz w:val="24"/>
              </w:rPr>
            </w:pPr>
            <w:r w:rsidRPr="005C672D">
              <w:rPr>
                <w:color w:val="000000"/>
                <w:sz w:val="24"/>
              </w:rPr>
              <w:t>股票代码</w:t>
            </w:r>
          </w:p>
        </w:tc>
        <w:tc>
          <w:tcPr>
            <w:tcW w:type="dxa" w:w="1980"/>
            <w:vAlign w:val="center"/>
          </w:tcPr>
          <w:p w:rsidP="00AC6DDA" w:rsidR="001548F9" w:rsidRDefault="001548F9" w:rsidRPr="005C672D">
            <w:pPr>
              <w:spacing w:before="29" w:line="288" w:lineRule="auto"/>
              <w:jc w:val="center"/>
              <w:rPr>
                <w:color w:val="000000"/>
                <w:sz w:val="24"/>
              </w:rPr>
            </w:pPr>
            <w:r w:rsidRPr="005C672D">
              <w:rPr>
                <w:color w:val="000000"/>
                <w:sz w:val="24"/>
              </w:rPr>
              <w:t>股票名称</w:t>
            </w:r>
          </w:p>
        </w:tc>
        <w:tc>
          <w:tcPr>
            <w:tcW w:type="dxa" w:w="2880"/>
            <w:vAlign w:val="center"/>
          </w:tcPr>
          <w:p w:rsidP="00AC6DDA" w:rsidR="001548F9" w:rsidRDefault="001548F9" w:rsidRPr="005C672D">
            <w:pPr>
              <w:spacing w:before="29" w:line="288" w:lineRule="auto"/>
              <w:jc w:val="center"/>
              <w:rPr>
                <w:color w:val="000000"/>
                <w:sz w:val="24"/>
              </w:rPr>
            </w:pPr>
            <w:r w:rsidRPr="005C672D">
              <w:rPr>
                <w:color w:val="000000"/>
                <w:sz w:val="24"/>
              </w:rPr>
              <w:t>本期累计买入金额</w:t>
            </w:r>
          </w:p>
        </w:tc>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占期初基金资产净值比例（％）</w:t>
            </w:r>
          </w:p>
        </w:tc>
      </w:tr>
      <w:tr>
        <w:tc>
          <w:tcPr>
            <w:vAlign w:val="center"/>
          </w:tcPr>
          <w:p>
            <w:pPr>
              <w:jc w:val="center"/>
            </w:pPr>
            <w:r>
              <w:rPr>
                <w:sz w:val="24"/>
              </w:rPr>
              <w:t>1</w:t>
            </w:r>
          </w:p>
        </w:tc>
        <w:tc>
          <w:tcPr>
            <w:vAlign w:val="center"/>
          </w:tcPr>
          <w:p>
            <w:pPr>
              <w:jc w:val="center"/>
            </w:pPr>
            <w:r>
              <w:rPr>
                <w:sz w:val="24"/>
              </w:rPr>
              <w:t>600570</w:t>
            </w:r>
          </w:p>
        </w:tc>
        <w:tc>
          <w:tcPr>
            <w:vAlign w:val="center"/>
          </w:tcPr>
          <w:p>
            <w:pPr>
              <w:jc w:val="center"/>
            </w:pPr>
            <w:r>
              <w:rPr>
                <w:sz w:val="24"/>
              </w:rPr>
              <w:t>恒生电子</w:t>
            </w:r>
          </w:p>
        </w:tc>
        <w:tc>
          <w:tcPr>
            <w:vAlign w:val="center"/>
          </w:tcPr>
          <w:p>
            <w:pPr>
              <w:jc w:val="right"/>
            </w:pPr>
            <w:r>
              <w:rPr>
                <w:sz w:val="24"/>
              </w:rPr>
              <w:t>171,411,022.65</w:t>
            </w:r>
          </w:p>
        </w:tc>
        <w:tc>
          <w:tcPr>
            <w:vAlign w:val="center"/>
          </w:tcPr>
          <w:p>
            <w:pPr>
              <w:jc w:val="right"/>
            </w:pPr>
            <w:r>
              <w:rPr>
                <w:sz w:val="24"/>
              </w:rPr>
              <w:t>5.54</w:t>
            </w:r>
          </w:p>
        </w:tc>
      </w:tr>
      <w:tr>
        <w:tc>
          <w:tcPr>
            <w:vAlign w:val="center"/>
          </w:tcPr>
          <w:p>
            <w:pPr>
              <w:jc w:val="center"/>
            </w:pPr>
            <w:r>
              <w:rPr>
                <w:sz w:val="24"/>
              </w:rPr>
              <w:t>2</w:t>
            </w:r>
          </w:p>
        </w:tc>
        <w:tc>
          <w:tcPr>
            <w:vAlign w:val="center"/>
          </w:tcPr>
          <w:p>
            <w:pPr>
              <w:jc w:val="center"/>
            </w:pPr>
            <w:r>
              <w:rPr>
                <w:sz w:val="24"/>
              </w:rPr>
              <w:t>002230</w:t>
            </w:r>
          </w:p>
        </w:tc>
        <w:tc>
          <w:tcPr>
            <w:vAlign w:val="center"/>
          </w:tcPr>
          <w:p>
            <w:pPr>
              <w:jc w:val="center"/>
            </w:pPr>
            <w:r>
              <w:rPr>
                <w:sz w:val="24"/>
              </w:rPr>
              <w:t>科大讯飞</w:t>
            </w:r>
          </w:p>
        </w:tc>
        <w:tc>
          <w:tcPr>
            <w:vAlign w:val="center"/>
          </w:tcPr>
          <w:p>
            <w:pPr>
              <w:jc w:val="right"/>
            </w:pPr>
            <w:r>
              <w:rPr>
                <w:sz w:val="24"/>
              </w:rPr>
              <w:t>149,998,777.92</w:t>
            </w:r>
          </w:p>
        </w:tc>
        <w:tc>
          <w:tcPr>
            <w:vAlign w:val="center"/>
          </w:tcPr>
          <w:p>
            <w:pPr>
              <w:jc w:val="right"/>
            </w:pPr>
            <w:r>
              <w:rPr>
                <w:sz w:val="24"/>
              </w:rPr>
              <w:t>4.85</w:t>
            </w:r>
          </w:p>
        </w:tc>
      </w:tr>
      <w:tr>
        <w:tc>
          <w:tcPr>
            <w:vAlign w:val="center"/>
          </w:tcPr>
          <w:p>
            <w:pPr>
              <w:jc w:val="center"/>
            </w:pPr>
            <w:r>
              <w:rPr>
                <w:sz w:val="24"/>
              </w:rPr>
              <w:t>3</w:t>
            </w:r>
          </w:p>
        </w:tc>
        <w:tc>
          <w:tcPr>
            <w:vAlign w:val="center"/>
          </w:tcPr>
          <w:p>
            <w:pPr>
              <w:jc w:val="center"/>
            </w:pPr>
            <w:r>
              <w:rPr>
                <w:sz w:val="24"/>
              </w:rPr>
              <w:t>601933</w:t>
            </w:r>
          </w:p>
        </w:tc>
        <w:tc>
          <w:tcPr>
            <w:vAlign w:val="center"/>
          </w:tcPr>
          <w:p>
            <w:pPr>
              <w:jc w:val="center"/>
            </w:pPr>
            <w:r>
              <w:rPr>
                <w:sz w:val="24"/>
              </w:rPr>
              <w:t>永辉超市</w:t>
            </w:r>
          </w:p>
        </w:tc>
        <w:tc>
          <w:tcPr>
            <w:vAlign w:val="center"/>
          </w:tcPr>
          <w:p>
            <w:pPr>
              <w:jc w:val="right"/>
            </w:pPr>
            <w:r>
              <w:rPr>
                <w:sz w:val="24"/>
              </w:rPr>
              <w:t>146,702,141.97</w:t>
            </w:r>
          </w:p>
        </w:tc>
        <w:tc>
          <w:tcPr>
            <w:vAlign w:val="center"/>
          </w:tcPr>
          <w:p>
            <w:pPr>
              <w:jc w:val="right"/>
            </w:pPr>
            <w:r>
              <w:rPr>
                <w:sz w:val="24"/>
              </w:rPr>
              <w:t>4.74</w:t>
            </w:r>
          </w:p>
        </w:tc>
      </w:tr>
      <w:tr>
        <w:tc>
          <w:tcPr>
            <w:vAlign w:val="center"/>
          </w:tcPr>
          <w:p>
            <w:pPr>
              <w:jc w:val="center"/>
            </w:pPr>
            <w:r>
              <w:rPr>
                <w:sz w:val="24"/>
              </w:rPr>
              <w:t>4</w:t>
            </w:r>
          </w:p>
        </w:tc>
        <w:tc>
          <w:tcPr>
            <w:vAlign w:val="center"/>
          </w:tcPr>
          <w:p>
            <w:pPr>
              <w:jc w:val="center"/>
            </w:pPr>
            <w:r>
              <w:rPr>
                <w:sz w:val="24"/>
              </w:rPr>
              <w:t>000651</w:t>
            </w:r>
          </w:p>
        </w:tc>
        <w:tc>
          <w:tcPr>
            <w:vAlign w:val="center"/>
          </w:tcPr>
          <w:p>
            <w:pPr>
              <w:jc w:val="center"/>
            </w:pPr>
            <w:r>
              <w:rPr>
                <w:sz w:val="24"/>
              </w:rPr>
              <w:t>格力电器</w:t>
            </w:r>
          </w:p>
        </w:tc>
        <w:tc>
          <w:tcPr>
            <w:vAlign w:val="center"/>
          </w:tcPr>
          <w:p>
            <w:pPr>
              <w:jc w:val="right"/>
            </w:pPr>
            <w:r>
              <w:rPr>
                <w:sz w:val="24"/>
              </w:rPr>
              <w:t>131,176,233.90</w:t>
            </w:r>
          </w:p>
        </w:tc>
        <w:tc>
          <w:tcPr>
            <w:vAlign w:val="center"/>
          </w:tcPr>
          <w:p>
            <w:pPr>
              <w:jc w:val="right"/>
            </w:pPr>
            <w:r>
              <w:rPr>
                <w:sz w:val="24"/>
              </w:rPr>
              <w:t>4.24</w:t>
            </w:r>
          </w:p>
        </w:tc>
      </w:tr>
      <w:tr>
        <w:tc>
          <w:tcPr>
            <w:vAlign w:val="center"/>
          </w:tcPr>
          <w:p>
            <w:pPr>
              <w:jc w:val="center"/>
            </w:pPr>
            <w:r>
              <w:rPr>
                <w:sz w:val="24"/>
              </w:rPr>
              <w:t>5</w:t>
            </w:r>
          </w:p>
        </w:tc>
        <w:tc>
          <w:tcPr>
            <w:vAlign w:val="center"/>
          </w:tcPr>
          <w:p>
            <w:pPr>
              <w:jc w:val="center"/>
            </w:pPr>
            <w:r>
              <w:rPr>
                <w:sz w:val="24"/>
              </w:rPr>
              <w:t>300413</w:t>
            </w:r>
          </w:p>
        </w:tc>
        <w:tc>
          <w:tcPr>
            <w:vAlign w:val="center"/>
          </w:tcPr>
          <w:p>
            <w:pPr>
              <w:jc w:val="center"/>
            </w:pPr>
            <w:r>
              <w:rPr>
                <w:sz w:val="24"/>
              </w:rPr>
              <w:t>芒果超媒</w:t>
            </w:r>
          </w:p>
        </w:tc>
        <w:tc>
          <w:tcPr>
            <w:vAlign w:val="center"/>
          </w:tcPr>
          <w:p>
            <w:pPr>
              <w:jc w:val="right"/>
            </w:pPr>
            <w:r>
              <w:rPr>
                <w:sz w:val="24"/>
              </w:rPr>
              <w:t>130,515,782.24</w:t>
            </w:r>
          </w:p>
        </w:tc>
        <w:tc>
          <w:tcPr>
            <w:vAlign w:val="center"/>
          </w:tcPr>
          <w:p>
            <w:pPr>
              <w:jc w:val="right"/>
            </w:pPr>
            <w:r>
              <w:rPr>
                <w:sz w:val="24"/>
              </w:rPr>
              <w:t>4.22</w:t>
            </w:r>
          </w:p>
        </w:tc>
      </w:tr>
      <w:tr>
        <w:tc>
          <w:tcPr>
            <w:vAlign w:val="center"/>
          </w:tcPr>
          <w:p>
            <w:pPr>
              <w:jc w:val="center"/>
            </w:pPr>
            <w:r>
              <w:rPr>
                <w:sz w:val="24"/>
              </w:rPr>
              <w:t>6</w:t>
            </w:r>
          </w:p>
        </w:tc>
        <w:tc>
          <w:tcPr>
            <w:vAlign w:val="center"/>
          </w:tcPr>
          <w:p>
            <w:pPr>
              <w:jc w:val="center"/>
            </w:pPr>
            <w:r>
              <w:rPr>
                <w:sz w:val="24"/>
              </w:rPr>
              <w:t>600383</w:t>
            </w:r>
          </w:p>
        </w:tc>
        <w:tc>
          <w:tcPr>
            <w:vAlign w:val="center"/>
          </w:tcPr>
          <w:p>
            <w:pPr>
              <w:jc w:val="center"/>
            </w:pPr>
            <w:r>
              <w:rPr>
                <w:sz w:val="24"/>
              </w:rPr>
              <w:t>金地集团</w:t>
            </w:r>
          </w:p>
        </w:tc>
        <w:tc>
          <w:tcPr>
            <w:vAlign w:val="center"/>
          </w:tcPr>
          <w:p>
            <w:pPr>
              <w:jc w:val="right"/>
            </w:pPr>
            <w:r>
              <w:rPr>
                <w:sz w:val="24"/>
              </w:rPr>
              <w:t>123,744,087.97</w:t>
            </w:r>
          </w:p>
        </w:tc>
        <w:tc>
          <w:tcPr>
            <w:vAlign w:val="center"/>
          </w:tcPr>
          <w:p>
            <w:pPr>
              <w:jc w:val="right"/>
            </w:pPr>
            <w:r>
              <w:rPr>
                <w:sz w:val="24"/>
              </w:rPr>
              <w:t>4.00</w:t>
            </w:r>
          </w:p>
        </w:tc>
      </w:tr>
      <w:tr>
        <w:tc>
          <w:tcPr>
            <w:vAlign w:val="center"/>
          </w:tcPr>
          <w:p>
            <w:pPr>
              <w:jc w:val="center"/>
            </w:pPr>
            <w:r>
              <w:rPr>
                <w:sz w:val="24"/>
              </w:rPr>
              <w:t>7</w:t>
            </w:r>
          </w:p>
        </w:tc>
        <w:tc>
          <w:tcPr>
            <w:vAlign w:val="center"/>
          </w:tcPr>
          <w:p>
            <w:pPr>
              <w:jc w:val="center"/>
            </w:pPr>
            <w:r>
              <w:rPr>
                <w:sz w:val="24"/>
              </w:rPr>
              <w:t>000671</w:t>
            </w:r>
          </w:p>
        </w:tc>
        <w:tc>
          <w:tcPr>
            <w:vAlign w:val="center"/>
          </w:tcPr>
          <w:p>
            <w:pPr>
              <w:jc w:val="center"/>
            </w:pPr>
            <w:r>
              <w:rPr>
                <w:sz w:val="24"/>
              </w:rPr>
              <w:t>阳光城</w:t>
            </w:r>
          </w:p>
        </w:tc>
        <w:tc>
          <w:tcPr>
            <w:vAlign w:val="center"/>
          </w:tcPr>
          <w:p>
            <w:pPr>
              <w:jc w:val="right"/>
            </w:pPr>
            <w:r>
              <w:rPr>
                <w:sz w:val="24"/>
              </w:rPr>
              <w:t>120,501,472.75</w:t>
            </w:r>
          </w:p>
        </w:tc>
        <w:tc>
          <w:tcPr>
            <w:vAlign w:val="center"/>
          </w:tcPr>
          <w:p>
            <w:pPr>
              <w:jc w:val="right"/>
            </w:pPr>
            <w:r>
              <w:rPr>
                <w:sz w:val="24"/>
              </w:rPr>
              <w:t>3.89</w:t>
            </w:r>
          </w:p>
        </w:tc>
      </w:tr>
      <w:tr>
        <w:tc>
          <w:tcPr>
            <w:vAlign w:val="center"/>
          </w:tcPr>
          <w:p>
            <w:pPr>
              <w:jc w:val="center"/>
            </w:pPr>
            <w:r>
              <w:rPr>
                <w:sz w:val="24"/>
              </w:rPr>
              <w:t>8</w:t>
            </w:r>
          </w:p>
        </w:tc>
        <w:tc>
          <w:tcPr>
            <w:vAlign w:val="center"/>
          </w:tcPr>
          <w:p>
            <w:pPr>
              <w:jc w:val="center"/>
            </w:pPr>
            <w:r>
              <w:rPr>
                <w:sz w:val="24"/>
              </w:rPr>
              <w:t>600115</w:t>
            </w:r>
          </w:p>
        </w:tc>
        <w:tc>
          <w:tcPr>
            <w:vAlign w:val="center"/>
          </w:tcPr>
          <w:p>
            <w:pPr>
              <w:jc w:val="center"/>
            </w:pPr>
            <w:r>
              <w:rPr>
                <w:sz w:val="24"/>
              </w:rPr>
              <w:t>东方航空</w:t>
            </w:r>
          </w:p>
        </w:tc>
        <w:tc>
          <w:tcPr>
            <w:vAlign w:val="center"/>
          </w:tcPr>
          <w:p>
            <w:pPr>
              <w:jc w:val="right"/>
            </w:pPr>
            <w:r>
              <w:rPr>
                <w:sz w:val="24"/>
              </w:rPr>
              <w:t>119,578,880.78</w:t>
            </w:r>
          </w:p>
        </w:tc>
        <w:tc>
          <w:tcPr>
            <w:vAlign w:val="center"/>
          </w:tcPr>
          <w:p>
            <w:pPr>
              <w:jc w:val="right"/>
            </w:pPr>
            <w:r>
              <w:rPr>
                <w:sz w:val="24"/>
              </w:rPr>
              <w:t>3.86</w:t>
            </w:r>
          </w:p>
        </w:tc>
      </w:tr>
      <w:tr>
        <w:tc>
          <w:tcPr>
            <w:vAlign w:val="center"/>
          </w:tcPr>
          <w:p>
            <w:pPr>
              <w:jc w:val="center"/>
            </w:pPr>
            <w:r>
              <w:rPr>
                <w:sz w:val="24"/>
              </w:rPr>
              <w:t>9</w:t>
            </w:r>
          </w:p>
        </w:tc>
        <w:tc>
          <w:tcPr>
            <w:vAlign w:val="center"/>
          </w:tcPr>
          <w:p>
            <w:pPr>
              <w:jc w:val="center"/>
            </w:pPr>
            <w:r>
              <w:rPr>
                <w:sz w:val="24"/>
              </w:rPr>
              <w:t>603359</w:t>
            </w:r>
          </w:p>
        </w:tc>
        <w:tc>
          <w:tcPr>
            <w:vAlign w:val="center"/>
          </w:tcPr>
          <w:p>
            <w:pPr>
              <w:jc w:val="center"/>
            </w:pPr>
            <w:r>
              <w:rPr>
                <w:sz w:val="24"/>
              </w:rPr>
              <w:t>东珠生态</w:t>
            </w:r>
          </w:p>
        </w:tc>
        <w:tc>
          <w:tcPr>
            <w:vAlign w:val="center"/>
          </w:tcPr>
          <w:p>
            <w:pPr>
              <w:jc w:val="right"/>
            </w:pPr>
            <w:r>
              <w:rPr>
                <w:sz w:val="24"/>
              </w:rPr>
              <w:t>113,324,470.76</w:t>
            </w:r>
          </w:p>
        </w:tc>
        <w:tc>
          <w:tcPr>
            <w:vAlign w:val="center"/>
          </w:tcPr>
          <w:p>
            <w:pPr>
              <w:jc w:val="right"/>
            </w:pPr>
            <w:r>
              <w:rPr>
                <w:sz w:val="24"/>
              </w:rPr>
              <w:t>3.66</w:t>
            </w:r>
          </w:p>
        </w:tc>
      </w:tr>
      <w:tr>
        <w:tc>
          <w:tcPr>
            <w:vAlign w:val="center"/>
          </w:tcPr>
          <w:p>
            <w:pPr>
              <w:jc w:val="center"/>
            </w:pPr>
            <w:r>
              <w:rPr>
                <w:sz w:val="24"/>
              </w:rPr>
              <w:t>10</w:t>
            </w:r>
          </w:p>
        </w:tc>
        <w:tc>
          <w:tcPr>
            <w:vAlign w:val="center"/>
          </w:tcPr>
          <w:p>
            <w:pPr>
              <w:jc w:val="center"/>
            </w:pPr>
            <w:r>
              <w:rPr>
                <w:sz w:val="24"/>
              </w:rPr>
              <w:t>300122</w:t>
            </w:r>
          </w:p>
        </w:tc>
        <w:tc>
          <w:tcPr>
            <w:vAlign w:val="center"/>
          </w:tcPr>
          <w:p>
            <w:pPr>
              <w:jc w:val="center"/>
            </w:pPr>
            <w:r>
              <w:rPr>
                <w:sz w:val="24"/>
              </w:rPr>
              <w:t>智飞生物</w:t>
            </w:r>
          </w:p>
        </w:tc>
        <w:tc>
          <w:tcPr>
            <w:vAlign w:val="center"/>
          </w:tcPr>
          <w:p>
            <w:pPr>
              <w:jc w:val="right"/>
            </w:pPr>
            <w:r>
              <w:rPr>
                <w:sz w:val="24"/>
              </w:rPr>
              <w:t>110,882,798.00</w:t>
            </w:r>
          </w:p>
        </w:tc>
        <w:tc>
          <w:tcPr>
            <w:vAlign w:val="center"/>
          </w:tcPr>
          <w:p>
            <w:pPr>
              <w:jc w:val="right"/>
            </w:pPr>
            <w:r>
              <w:rPr>
                <w:sz w:val="24"/>
              </w:rPr>
              <w:t>3.58</w:t>
            </w:r>
          </w:p>
        </w:tc>
      </w:tr>
      <w:tr>
        <w:tc>
          <w:tcPr>
            <w:vAlign w:val="center"/>
          </w:tcPr>
          <w:p>
            <w:pPr>
              <w:jc w:val="center"/>
            </w:pPr>
            <w:r>
              <w:rPr>
                <w:sz w:val="24"/>
              </w:rPr>
              <w:t>11</w:t>
            </w:r>
          </w:p>
        </w:tc>
        <w:tc>
          <w:tcPr>
            <w:vAlign w:val="center"/>
          </w:tcPr>
          <w:p>
            <w:pPr>
              <w:jc w:val="center"/>
            </w:pPr>
            <w:r>
              <w:rPr>
                <w:sz w:val="24"/>
              </w:rPr>
              <w:t>600216</w:t>
            </w:r>
          </w:p>
        </w:tc>
        <w:tc>
          <w:tcPr>
            <w:vAlign w:val="center"/>
          </w:tcPr>
          <w:p>
            <w:pPr>
              <w:jc w:val="center"/>
            </w:pPr>
            <w:r>
              <w:rPr>
                <w:sz w:val="24"/>
              </w:rPr>
              <w:t>浙江医药</w:t>
            </w:r>
          </w:p>
        </w:tc>
        <w:tc>
          <w:tcPr>
            <w:vAlign w:val="center"/>
          </w:tcPr>
          <w:p>
            <w:pPr>
              <w:jc w:val="right"/>
            </w:pPr>
            <w:r>
              <w:rPr>
                <w:sz w:val="24"/>
              </w:rPr>
              <w:t>107,774,234.41</w:t>
            </w:r>
          </w:p>
        </w:tc>
        <w:tc>
          <w:tcPr>
            <w:vAlign w:val="center"/>
          </w:tcPr>
          <w:p>
            <w:pPr>
              <w:jc w:val="right"/>
            </w:pPr>
            <w:r>
              <w:rPr>
                <w:sz w:val="24"/>
              </w:rPr>
              <w:t>3.48</w:t>
            </w:r>
          </w:p>
        </w:tc>
      </w:tr>
      <w:tr>
        <w:tc>
          <w:tcPr>
            <w:vAlign w:val="center"/>
          </w:tcPr>
          <w:p>
            <w:pPr>
              <w:jc w:val="center"/>
            </w:pPr>
            <w:r>
              <w:rPr>
                <w:sz w:val="24"/>
              </w:rPr>
              <w:t>12</w:t>
            </w:r>
          </w:p>
        </w:tc>
        <w:tc>
          <w:tcPr>
            <w:vAlign w:val="center"/>
          </w:tcPr>
          <w:p>
            <w:pPr>
              <w:jc w:val="center"/>
            </w:pPr>
            <w:r>
              <w:rPr>
                <w:sz w:val="24"/>
              </w:rPr>
              <w:t>002607</w:t>
            </w:r>
          </w:p>
        </w:tc>
        <w:tc>
          <w:tcPr>
            <w:vAlign w:val="center"/>
          </w:tcPr>
          <w:p>
            <w:pPr>
              <w:jc w:val="center"/>
            </w:pPr>
            <w:r>
              <w:rPr>
                <w:sz w:val="24"/>
              </w:rPr>
              <w:t>中公教育</w:t>
            </w:r>
          </w:p>
        </w:tc>
        <w:tc>
          <w:tcPr>
            <w:vAlign w:val="center"/>
          </w:tcPr>
          <w:p>
            <w:pPr>
              <w:jc w:val="right"/>
            </w:pPr>
            <w:r>
              <w:rPr>
                <w:sz w:val="24"/>
              </w:rPr>
              <w:t>102,324,505.20</w:t>
            </w:r>
          </w:p>
        </w:tc>
        <w:tc>
          <w:tcPr>
            <w:vAlign w:val="center"/>
          </w:tcPr>
          <w:p>
            <w:pPr>
              <w:jc w:val="right"/>
            </w:pPr>
            <w:r>
              <w:rPr>
                <w:sz w:val="24"/>
              </w:rPr>
              <w:t>3.31</w:t>
            </w:r>
          </w:p>
        </w:tc>
      </w:tr>
      <w:tr>
        <w:tc>
          <w:tcPr>
            <w:vAlign w:val="center"/>
          </w:tcPr>
          <w:p>
            <w:pPr>
              <w:jc w:val="center"/>
            </w:pPr>
            <w:r>
              <w:rPr>
                <w:sz w:val="24"/>
              </w:rPr>
              <w:t>13</w:t>
            </w:r>
          </w:p>
        </w:tc>
        <w:tc>
          <w:tcPr>
            <w:vAlign w:val="center"/>
          </w:tcPr>
          <w:p>
            <w:pPr>
              <w:jc w:val="center"/>
            </w:pPr>
            <w:r>
              <w:rPr>
                <w:sz w:val="24"/>
              </w:rPr>
              <w:t>002410</w:t>
            </w:r>
          </w:p>
        </w:tc>
        <w:tc>
          <w:tcPr>
            <w:vAlign w:val="center"/>
          </w:tcPr>
          <w:p>
            <w:pPr>
              <w:jc w:val="center"/>
            </w:pPr>
            <w:r>
              <w:rPr>
                <w:sz w:val="24"/>
              </w:rPr>
              <w:t>广联达</w:t>
            </w:r>
          </w:p>
        </w:tc>
        <w:tc>
          <w:tcPr>
            <w:vAlign w:val="center"/>
          </w:tcPr>
          <w:p>
            <w:pPr>
              <w:jc w:val="right"/>
            </w:pPr>
            <w:r>
              <w:rPr>
                <w:sz w:val="24"/>
              </w:rPr>
              <w:t>101,433,926.43</w:t>
            </w:r>
          </w:p>
        </w:tc>
        <w:tc>
          <w:tcPr>
            <w:vAlign w:val="center"/>
          </w:tcPr>
          <w:p>
            <w:pPr>
              <w:jc w:val="right"/>
            </w:pPr>
            <w:r>
              <w:rPr>
                <w:sz w:val="24"/>
              </w:rPr>
              <w:t>3.28</w:t>
            </w:r>
          </w:p>
        </w:tc>
      </w:tr>
      <w:tr>
        <w:tc>
          <w:tcPr>
            <w:vAlign w:val="center"/>
          </w:tcPr>
          <w:p>
            <w:pPr>
              <w:jc w:val="center"/>
            </w:pPr>
            <w:r>
              <w:rPr>
                <w:sz w:val="24"/>
              </w:rPr>
              <w:t>14</w:t>
            </w:r>
          </w:p>
        </w:tc>
        <w:tc>
          <w:tcPr>
            <w:vAlign w:val="center"/>
          </w:tcPr>
          <w:p>
            <w:pPr>
              <w:jc w:val="center"/>
            </w:pPr>
            <w:r>
              <w:rPr>
                <w:sz w:val="24"/>
              </w:rPr>
              <w:t>600029</w:t>
            </w:r>
          </w:p>
        </w:tc>
        <w:tc>
          <w:tcPr>
            <w:vAlign w:val="center"/>
          </w:tcPr>
          <w:p>
            <w:pPr>
              <w:jc w:val="center"/>
            </w:pPr>
            <w:r>
              <w:rPr>
                <w:sz w:val="24"/>
              </w:rPr>
              <w:t>南方航空</w:t>
            </w:r>
          </w:p>
        </w:tc>
        <w:tc>
          <w:tcPr>
            <w:vAlign w:val="center"/>
          </w:tcPr>
          <w:p>
            <w:pPr>
              <w:jc w:val="right"/>
            </w:pPr>
            <w:r>
              <w:rPr>
                <w:sz w:val="24"/>
              </w:rPr>
              <w:t>94,115,996.77</w:t>
            </w:r>
          </w:p>
        </w:tc>
        <w:tc>
          <w:tcPr>
            <w:vAlign w:val="center"/>
          </w:tcPr>
          <w:p>
            <w:pPr>
              <w:jc w:val="right"/>
            </w:pPr>
            <w:r>
              <w:rPr>
                <w:sz w:val="24"/>
              </w:rPr>
              <w:t>3.04</w:t>
            </w:r>
          </w:p>
        </w:tc>
      </w:tr>
      <w:tr>
        <w:tc>
          <w:tcPr>
            <w:vAlign w:val="center"/>
          </w:tcPr>
          <w:p>
            <w:pPr>
              <w:jc w:val="center"/>
            </w:pPr>
            <w:r>
              <w:rPr>
                <w:sz w:val="24"/>
              </w:rPr>
              <w:t>15</w:t>
            </w:r>
          </w:p>
        </w:tc>
        <w:tc>
          <w:tcPr>
            <w:vAlign w:val="center"/>
          </w:tcPr>
          <w:p>
            <w:pPr>
              <w:jc w:val="center"/>
            </w:pPr>
            <w:r>
              <w:rPr>
                <w:sz w:val="24"/>
              </w:rPr>
              <w:t>300146</w:t>
            </w:r>
          </w:p>
        </w:tc>
        <w:tc>
          <w:tcPr>
            <w:vAlign w:val="center"/>
          </w:tcPr>
          <w:p>
            <w:pPr>
              <w:jc w:val="center"/>
            </w:pPr>
            <w:r>
              <w:rPr>
                <w:sz w:val="24"/>
              </w:rPr>
              <w:t>汤臣倍健</w:t>
            </w:r>
          </w:p>
        </w:tc>
        <w:tc>
          <w:tcPr>
            <w:vAlign w:val="center"/>
          </w:tcPr>
          <w:p>
            <w:pPr>
              <w:jc w:val="right"/>
            </w:pPr>
            <w:r>
              <w:rPr>
                <w:sz w:val="24"/>
              </w:rPr>
              <w:t>89,672,884.71</w:t>
            </w:r>
          </w:p>
        </w:tc>
        <w:tc>
          <w:tcPr>
            <w:vAlign w:val="center"/>
          </w:tcPr>
          <w:p>
            <w:pPr>
              <w:jc w:val="right"/>
            </w:pPr>
            <w:r>
              <w:rPr>
                <w:sz w:val="24"/>
              </w:rPr>
              <w:t>2.90</w:t>
            </w:r>
          </w:p>
        </w:tc>
      </w:tr>
      <w:tr>
        <w:tc>
          <w:tcPr>
            <w:vAlign w:val="center"/>
          </w:tcPr>
          <w:p>
            <w:pPr>
              <w:jc w:val="center"/>
            </w:pPr>
            <w:r>
              <w:rPr>
                <w:sz w:val="24"/>
              </w:rPr>
              <w:t>16</w:t>
            </w:r>
          </w:p>
        </w:tc>
        <w:tc>
          <w:tcPr>
            <w:vAlign w:val="center"/>
          </w:tcPr>
          <w:p>
            <w:pPr>
              <w:jc w:val="center"/>
            </w:pPr>
            <w:r>
              <w:rPr>
                <w:sz w:val="24"/>
              </w:rPr>
              <w:t>601186</w:t>
            </w:r>
          </w:p>
        </w:tc>
        <w:tc>
          <w:tcPr>
            <w:vAlign w:val="center"/>
          </w:tcPr>
          <w:p>
            <w:pPr>
              <w:jc w:val="center"/>
            </w:pPr>
            <w:r>
              <w:rPr>
                <w:sz w:val="24"/>
              </w:rPr>
              <w:t>中国铁建</w:t>
            </w:r>
          </w:p>
        </w:tc>
        <w:tc>
          <w:tcPr>
            <w:vAlign w:val="center"/>
          </w:tcPr>
          <w:p>
            <w:pPr>
              <w:jc w:val="right"/>
            </w:pPr>
            <w:r>
              <w:rPr>
                <w:sz w:val="24"/>
              </w:rPr>
              <w:t>87,923,349.14</w:t>
            </w:r>
          </w:p>
        </w:tc>
        <w:tc>
          <w:tcPr>
            <w:vAlign w:val="center"/>
          </w:tcPr>
          <w:p>
            <w:pPr>
              <w:jc w:val="right"/>
            </w:pPr>
            <w:r>
              <w:rPr>
                <w:sz w:val="24"/>
              </w:rPr>
              <w:t>2.84</w:t>
            </w:r>
          </w:p>
        </w:tc>
      </w:tr>
      <w:tr>
        <w:tc>
          <w:tcPr>
            <w:vAlign w:val="center"/>
          </w:tcPr>
          <w:p>
            <w:pPr>
              <w:jc w:val="center"/>
            </w:pPr>
            <w:r>
              <w:rPr>
                <w:sz w:val="24"/>
              </w:rPr>
              <w:t>17</w:t>
            </w:r>
          </w:p>
        </w:tc>
        <w:tc>
          <w:tcPr>
            <w:vAlign w:val="center"/>
          </w:tcPr>
          <w:p>
            <w:pPr>
              <w:jc w:val="center"/>
            </w:pPr>
            <w:r>
              <w:rPr>
                <w:sz w:val="24"/>
              </w:rPr>
              <w:t>603707</w:t>
            </w:r>
          </w:p>
        </w:tc>
        <w:tc>
          <w:tcPr>
            <w:vAlign w:val="center"/>
          </w:tcPr>
          <w:p>
            <w:pPr>
              <w:jc w:val="center"/>
            </w:pPr>
            <w:r>
              <w:rPr>
                <w:sz w:val="24"/>
              </w:rPr>
              <w:t>健友股份</w:t>
            </w:r>
          </w:p>
        </w:tc>
        <w:tc>
          <w:tcPr>
            <w:vAlign w:val="center"/>
          </w:tcPr>
          <w:p>
            <w:pPr>
              <w:jc w:val="right"/>
            </w:pPr>
            <w:r>
              <w:rPr>
                <w:sz w:val="24"/>
              </w:rPr>
              <w:t>85,707,424.18</w:t>
            </w:r>
          </w:p>
        </w:tc>
        <w:tc>
          <w:tcPr>
            <w:vAlign w:val="center"/>
          </w:tcPr>
          <w:p>
            <w:pPr>
              <w:jc w:val="right"/>
            </w:pPr>
            <w:r>
              <w:rPr>
                <w:sz w:val="24"/>
              </w:rPr>
              <w:t>2.77</w:t>
            </w:r>
          </w:p>
        </w:tc>
      </w:tr>
      <w:tr>
        <w:tc>
          <w:tcPr>
            <w:vAlign w:val="center"/>
          </w:tcPr>
          <w:p>
            <w:pPr>
              <w:jc w:val="center"/>
            </w:pPr>
            <w:r>
              <w:rPr>
                <w:sz w:val="24"/>
              </w:rPr>
              <w:t>18</w:t>
            </w:r>
          </w:p>
        </w:tc>
        <w:tc>
          <w:tcPr>
            <w:vAlign w:val="center"/>
          </w:tcPr>
          <w:p>
            <w:pPr>
              <w:jc w:val="center"/>
            </w:pPr>
            <w:r>
              <w:rPr>
                <w:sz w:val="24"/>
              </w:rPr>
              <w:t>600887</w:t>
            </w:r>
          </w:p>
        </w:tc>
        <w:tc>
          <w:tcPr>
            <w:vAlign w:val="center"/>
          </w:tcPr>
          <w:p>
            <w:pPr>
              <w:jc w:val="center"/>
            </w:pPr>
            <w:r>
              <w:rPr>
                <w:sz w:val="24"/>
              </w:rPr>
              <w:t>伊利股份</w:t>
            </w:r>
          </w:p>
        </w:tc>
        <w:tc>
          <w:tcPr>
            <w:vAlign w:val="center"/>
          </w:tcPr>
          <w:p>
            <w:pPr>
              <w:jc w:val="right"/>
            </w:pPr>
            <w:r>
              <w:rPr>
                <w:sz w:val="24"/>
              </w:rPr>
              <w:t>71,328,923.00</w:t>
            </w:r>
          </w:p>
        </w:tc>
        <w:tc>
          <w:tcPr>
            <w:vAlign w:val="center"/>
          </w:tcPr>
          <w:p>
            <w:pPr>
              <w:jc w:val="right"/>
            </w:pPr>
            <w:r>
              <w:rPr>
                <w:sz w:val="24"/>
              </w:rPr>
              <w:t>2.30</w:t>
            </w:r>
          </w:p>
        </w:tc>
      </w:tr>
      <w:tr>
        <w:tc>
          <w:tcPr>
            <w:vAlign w:val="center"/>
          </w:tcPr>
          <w:p>
            <w:pPr>
              <w:jc w:val="center"/>
            </w:pPr>
            <w:r>
              <w:rPr>
                <w:sz w:val="24"/>
              </w:rPr>
              <w:t>19</w:t>
            </w:r>
          </w:p>
        </w:tc>
        <w:tc>
          <w:tcPr>
            <w:vAlign w:val="center"/>
          </w:tcPr>
          <w:p>
            <w:pPr>
              <w:jc w:val="center"/>
            </w:pPr>
            <w:r>
              <w:rPr>
                <w:sz w:val="24"/>
              </w:rPr>
              <w:t>002555</w:t>
            </w:r>
          </w:p>
        </w:tc>
        <w:tc>
          <w:tcPr>
            <w:vAlign w:val="center"/>
          </w:tcPr>
          <w:p>
            <w:pPr>
              <w:jc w:val="center"/>
            </w:pPr>
            <w:r>
              <w:rPr>
                <w:sz w:val="24"/>
              </w:rPr>
              <w:t>三七互娱</w:t>
            </w:r>
          </w:p>
        </w:tc>
        <w:tc>
          <w:tcPr>
            <w:vAlign w:val="center"/>
          </w:tcPr>
          <w:p>
            <w:pPr>
              <w:jc w:val="right"/>
            </w:pPr>
            <w:r>
              <w:rPr>
                <w:sz w:val="24"/>
              </w:rPr>
              <w:t>67,734,225.93</w:t>
            </w:r>
          </w:p>
        </w:tc>
        <w:tc>
          <w:tcPr>
            <w:vAlign w:val="center"/>
          </w:tcPr>
          <w:p>
            <w:pPr>
              <w:jc w:val="right"/>
            </w:pPr>
            <w:r>
              <w:rPr>
                <w:sz w:val="24"/>
              </w:rPr>
              <w:t>2.19</w:t>
            </w:r>
          </w:p>
        </w:tc>
      </w:tr>
      <w:tr>
        <w:tc>
          <w:tcPr>
            <w:vAlign w:val="center"/>
          </w:tcPr>
          <w:p>
            <w:pPr>
              <w:jc w:val="center"/>
            </w:pPr>
            <w:r>
              <w:rPr>
                <w:sz w:val="24"/>
              </w:rPr>
              <w:t>20</w:t>
            </w:r>
          </w:p>
        </w:tc>
        <w:tc>
          <w:tcPr>
            <w:vAlign w:val="center"/>
          </w:tcPr>
          <w:p>
            <w:pPr>
              <w:jc w:val="center"/>
            </w:pPr>
            <w:r>
              <w:rPr>
                <w:sz w:val="24"/>
              </w:rPr>
              <w:t>601390</w:t>
            </w:r>
          </w:p>
        </w:tc>
        <w:tc>
          <w:tcPr>
            <w:vAlign w:val="center"/>
          </w:tcPr>
          <w:p>
            <w:pPr>
              <w:jc w:val="center"/>
            </w:pPr>
            <w:r>
              <w:rPr>
                <w:sz w:val="24"/>
              </w:rPr>
              <w:t>中国中铁</w:t>
            </w:r>
          </w:p>
        </w:tc>
        <w:tc>
          <w:tcPr>
            <w:vAlign w:val="center"/>
          </w:tcPr>
          <w:p>
            <w:pPr>
              <w:jc w:val="right"/>
            </w:pPr>
            <w:r>
              <w:rPr>
                <w:sz w:val="24"/>
              </w:rPr>
              <w:t>66,683,453.13</w:t>
            </w:r>
          </w:p>
        </w:tc>
        <w:tc>
          <w:tcPr>
            <w:vAlign w:val="center"/>
          </w:tcPr>
          <w:p>
            <w:pPr>
              <w:jc w:val="right"/>
            </w:pPr>
            <w:r>
              <w:rPr>
                <w:sz w:val="24"/>
              </w:rPr>
              <w:t>2.15</w:t>
            </w:r>
          </w:p>
        </w:tc>
      </w:tr>
      <w:tr>
        <w:tc>
          <w:tcPr>
            <w:vAlign w:val="center"/>
          </w:tcPr>
          <w:p>
            <w:pPr>
              <w:jc w:val="center"/>
            </w:pPr>
            <w:r>
              <w:rPr>
                <w:sz w:val="24"/>
              </w:rPr>
              <w:t>21</w:t>
            </w:r>
          </w:p>
        </w:tc>
        <w:tc>
          <w:tcPr>
            <w:vAlign w:val="center"/>
          </w:tcPr>
          <w:p>
            <w:pPr>
              <w:jc w:val="center"/>
            </w:pPr>
            <w:r>
              <w:rPr>
                <w:sz w:val="24"/>
              </w:rPr>
              <w:t>600048</w:t>
            </w:r>
          </w:p>
        </w:tc>
        <w:tc>
          <w:tcPr>
            <w:vAlign w:val="center"/>
          </w:tcPr>
          <w:p>
            <w:pPr>
              <w:jc w:val="center"/>
            </w:pPr>
            <w:r>
              <w:rPr>
                <w:sz w:val="24"/>
              </w:rPr>
              <w:t>保利地产</w:t>
            </w:r>
          </w:p>
        </w:tc>
        <w:tc>
          <w:tcPr>
            <w:vAlign w:val="center"/>
          </w:tcPr>
          <w:p>
            <w:pPr>
              <w:jc w:val="right"/>
            </w:pPr>
            <w:r>
              <w:rPr>
                <w:sz w:val="24"/>
              </w:rPr>
              <w:t>65,738,508.66</w:t>
            </w:r>
          </w:p>
        </w:tc>
        <w:tc>
          <w:tcPr>
            <w:vAlign w:val="center"/>
          </w:tcPr>
          <w:p>
            <w:pPr>
              <w:jc w:val="right"/>
            </w:pPr>
            <w:r>
              <w:rPr>
                <w:sz w:val="24"/>
              </w:rPr>
              <w:t>2.12</w:t>
            </w:r>
          </w:p>
        </w:tc>
      </w:tr>
      <w:tr>
        <w:tc>
          <w:tcPr>
            <w:vAlign w:val="center"/>
          </w:tcPr>
          <w:p>
            <w:pPr>
              <w:jc w:val="center"/>
            </w:pPr>
            <w:r>
              <w:rPr>
                <w:sz w:val="24"/>
              </w:rPr>
              <w:t>22</w:t>
            </w:r>
          </w:p>
        </w:tc>
        <w:tc>
          <w:tcPr>
            <w:vAlign w:val="center"/>
          </w:tcPr>
          <w:p>
            <w:pPr>
              <w:jc w:val="center"/>
            </w:pPr>
            <w:r>
              <w:rPr>
                <w:sz w:val="24"/>
              </w:rPr>
              <w:t>603886</w:t>
            </w:r>
          </w:p>
        </w:tc>
        <w:tc>
          <w:tcPr>
            <w:vAlign w:val="center"/>
          </w:tcPr>
          <w:p>
            <w:pPr>
              <w:jc w:val="center"/>
            </w:pPr>
            <w:r>
              <w:rPr>
                <w:sz w:val="24"/>
              </w:rPr>
              <w:t>元祖股份</w:t>
            </w:r>
          </w:p>
        </w:tc>
        <w:tc>
          <w:tcPr>
            <w:vAlign w:val="center"/>
          </w:tcPr>
          <w:p>
            <w:pPr>
              <w:jc w:val="right"/>
            </w:pPr>
            <w:r>
              <w:rPr>
                <w:sz w:val="24"/>
              </w:rPr>
              <w:t>65,026,485.54</w:t>
            </w:r>
          </w:p>
        </w:tc>
        <w:tc>
          <w:tcPr>
            <w:vAlign w:val="center"/>
          </w:tcPr>
          <w:p>
            <w:pPr>
              <w:jc w:val="right"/>
            </w:pPr>
            <w:r>
              <w:rPr>
                <w:sz w:val="24"/>
              </w:rPr>
              <w:t>2.10</w:t>
            </w:r>
          </w:p>
        </w:tc>
      </w:tr>
      <w:tr>
        <w:tc>
          <w:tcPr>
            <w:vAlign w:val="center"/>
          </w:tcPr>
          <w:p>
            <w:pPr>
              <w:jc w:val="center"/>
            </w:pPr>
            <w:r>
              <w:rPr>
                <w:sz w:val="24"/>
              </w:rPr>
              <w:t>23</w:t>
            </w:r>
          </w:p>
        </w:tc>
        <w:tc>
          <w:tcPr>
            <w:vAlign w:val="center"/>
          </w:tcPr>
          <w:p>
            <w:pPr>
              <w:jc w:val="center"/>
            </w:pPr>
            <w:r>
              <w:rPr>
                <w:sz w:val="24"/>
              </w:rPr>
              <w:t>603018</w:t>
            </w:r>
          </w:p>
        </w:tc>
        <w:tc>
          <w:tcPr>
            <w:vAlign w:val="center"/>
          </w:tcPr>
          <w:p>
            <w:pPr>
              <w:jc w:val="center"/>
            </w:pPr>
            <w:r>
              <w:rPr>
                <w:sz w:val="24"/>
              </w:rPr>
              <w:t>中设集团</w:t>
            </w:r>
          </w:p>
        </w:tc>
        <w:tc>
          <w:tcPr>
            <w:vAlign w:val="center"/>
          </w:tcPr>
          <w:p>
            <w:pPr>
              <w:jc w:val="right"/>
            </w:pPr>
            <w:r>
              <w:rPr>
                <w:sz w:val="24"/>
              </w:rPr>
              <w:t>64,894,246.26</w:t>
            </w:r>
          </w:p>
        </w:tc>
        <w:tc>
          <w:tcPr>
            <w:vAlign w:val="center"/>
          </w:tcPr>
          <w:p>
            <w:pPr>
              <w:jc w:val="right"/>
            </w:pPr>
            <w:r>
              <w:rPr>
                <w:sz w:val="24"/>
              </w:rPr>
              <w:t>2.10</w:t>
            </w:r>
          </w:p>
        </w:tc>
      </w:tr>
      <w:tr>
        <w:tc>
          <w:tcPr>
            <w:vAlign w:val="center"/>
          </w:tcPr>
          <w:p>
            <w:pPr>
              <w:jc w:val="center"/>
            </w:pPr>
            <w:r>
              <w:rPr>
                <w:sz w:val="24"/>
              </w:rPr>
              <w:t>24</w:t>
            </w:r>
          </w:p>
        </w:tc>
        <w:tc>
          <w:tcPr>
            <w:vAlign w:val="center"/>
          </w:tcPr>
          <w:p>
            <w:pPr>
              <w:jc w:val="center"/>
            </w:pPr>
            <w:r>
              <w:rPr>
                <w:sz w:val="24"/>
              </w:rPr>
              <w:t>300207</w:t>
            </w:r>
          </w:p>
        </w:tc>
        <w:tc>
          <w:tcPr>
            <w:vAlign w:val="center"/>
          </w:tcPr>
          <w:p>
            <w:pPr>
              <w:jc w:val="center"/>
            </w:pPr>
            <w:r>
              <w:rPr>
                <w:sz w:val="24"/>
              </w:rPr>
              <w:t>欣旺达</w:t>
            </w:r>
          </w:p>
        </w:tc>
        <w:tc>
          <w:tcPr>
            <w:vAlign w:val="center"/>
          </w:tcPr>
          <w:p>
            <w:pPr>
              <w:jc w:val="right"/>
            </w:pPr>
            <w:r>
              <w:rPr>
                <w:sz w:val="24"/>
              </w:rPr>
              <w:t>62,674,463.61</w:t>
            </w:r>
          </w:p>
        </w:tc>
        <w:tc>
          <w:tcPr>
            <w:vAlign w:val="center"/>
          </w:tcPr>
          <w:p>
            <w:pPr>
              <w:jc w:val="right"/>
            </w:pPr>
            <w:r>
              <w:rPr>
                <w:sz w:val="24"/>
              </w:rPr>
              <w:t>2.03</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注：“本期累计买入金额”按买入成交金额（成交单价乘以成交数量）填列，不考虑相关交易费用。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869"/>
        <w:gridCol w:w="1650"/>
        <w:gridCol w:w="1980"/>
        <w:gridCol w:w="2879"/>
        <w:gridCol w:w="1620"/>
      </w:tblGrid>
      <w:tr w:rsidR="001548F9" w:rsidRPr="005C672D" w:rsidTr="00EA03D3">
        <w:tc>
          <w:tcPr>
            <w:tcW w:type="dxa" w:w="870"/>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1650"/>
            <w:vAlign w:val="center"/>
          </w:tcPr>
          <w:p w:rsidP="00AC6DDA" w:rsidR="001548F9" w:rsidRDefault="001548F9" w:rsidRPr="005C672D">
            <w:pPr>
              <w:spacing w:before="29" w:line="288" w:lineRule="auto"/>
              <w:jc w:val="center"/>
              <w:rPr>
                <w:color w:val="000000"/>
                <w:sz w:val="24"/>
              </w:rPr>
            </w:pPr>
            <w:r w:rsidRPr="005C672D">
              <w:rPr>
                <w:color w:val="000000"/>
                <w:sz w:val="24"/>
              </w:rPr>
              <w:t>股票代码</w:t>
            </w:r>
          </w:p>
        </w:tc>
        <w:tc>
          <w:tcPr>
            <w:tcW w:type="dxa" w:w="1980"/>
            <w:vAlign w:val="center"/>
          </w:tcPr>
          <w:p w:rsidP="00AC6DDA" w:rsidR="001548F9" w:rsidRDefault="001548F9" w:rsidRPr="005C672D">
            <w:pPr>
              <w:spacing w:before="29" w:line="288" w:lineRule="auto"/>
              <w:jc w:val="center"/>
              <w:rPr>
                <w:color w:val="000000"/>
                <w:sz w:val="24"/>
              </w:rPr>
            </w:pPr>
            <w:r w:rsidRPr="005C672D">
              <w:rPr>
                <w:color w:val="000000"/>
                <w:sz w:val="24"/>
              </w:rPr>
              <w:t>股票名称</w:t>
            </w:r>
          </w:p>
        </w:tc>
        <w:tc>
          <w:tcPr>
            <w:tcW w:type="dxa" w:w="2880"/>
            <w:vAlign w:val="center"/>
          </w:tcPr>
          <w:p w:rsidP="00AC6DDA" w:rsidR="001548F9" w:rsidRDefault="001548F9" w:rsidRPr="005C672D">
            <w:pPr>
              <w:spacing w:before="29" w:line="288" w:lineRule="auto"/>
              <w:jc w:val="center"/>
              <w:rPr>
                <w:color w:val="000000"/>
                <w:sz w:val="24"/>
              </w:rPr>
            </w:pPr>
            <w:r w:rsidRPr="005C672D">
              <w:rPr>
                <w:color w:val="000000"/>
                <w:sz w:val="24"/>
              </w:rPr>
              <w:t>本期累计卖出金额</w:t>
            </w:r>
          </w:p>
        </w:tc>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占期初基金资产净值比例（％）</w:t>
            </w:r>
          </w:p>
        </w:tc>
      </w:tr>
      <w:tr>
        <w:tc>
          <w:tcPr>
            <w:vAlign w:val="center"/>
          </w:tcPr>
          <w:p>
            <w:pPr>
              <w:jc w:val="center"/>
            </w:pPr>
            <w:r>
              <w:rPr>
                <w:rFonts w:ascii="Times New Roman" w:hAnsi="Times New Roman"/>
                <w:kern w:val="2"/>
              </w:rPr>
              <w:t>1</w:t>
            </w:r>
          </w:p>
        </w:tc>
        <w:tc>
          <w:tcPr>
            <w:vAlign w:val="center"/>
          </w:tcPr>
          <w:p>
            <w:pPr>
              <w:jc w:val="center"/>
            </w:pPr>
            <w:r>
              <w:rPr>
                <w:rFonts w:ascii="Times New Roman" w:hAnsi="Times New Roman"/>
                <w:kern w:val="2"/>
              </w:rPr>
              <w:t>601155</w:t>
            </w:r>
          </w:p>
        </w:tc>
        <w:tc>
          <w:tcPr>
            <w:vAlign w:val="center"/>
          </w:tcPr>
          <w:p>
            <w:pPr>
              <w:jc w:val="center"/>
            </w:pPr>
            <w:r>
              <w:rPr>
                <w:rFonts w:ascii="Times New Roman" w:hAnsi="Times New Roman"/>
                <w:kern w:val="2"/>
              </w:rPr>
              <w:t>新城控股</w:t>
            </w:r>
          </w:p>
        </w:tc>
        <w:tc>
          <w:tcPr>
            <w:vAlign w:val="center"/>
          </w:tcPr>
          <w:p>
            <w:pPr>
              <w:jc w:val="right"/>
            </w:pPr>
            <w:r>
              <w:rPr>
                <w:rFonts w:ascii="Times New Roman" w:hAnsi="Times New Roman"/>
                <w:kern w:val="2"/>
              </w:rPr>
              <w:t>277,011,666.78</w:t>
            </w:r>
          </w:p>
        </w:tc>
        <w:tc>
          <w:tcPr>
            <w:vAlign w:val="center"/>
          </w:tcPr>
          <w:p>
            <w:pPr>
              <w:jc w:val="right"/>
            </w:pPr>
            <w:r>
              <w:rPr>
                <w:rFonts w:ascii="Times New Roman" w:hAnsi="Times New Roman"/>
                <w:kern w:val="2"/>
              </w:rPr>
              <w:t>8.95</w:t>
            </w:r>
          </w:p>
        </w:tc>
      </w:tr>
      <w:tr>
        <w:tc>
          <w:tcPr>
            <w:vAlign w:val="center"/>
          </w:tcPr>
          <w:p>
            <w:pPr>
              <w:jc w:val="center"/>
            </w:pPr>
            <w:r>
              <w:rPr>
                <w:rFonts w:ascii="Times New Roman" w:hAnsi="Times New Roman"/>
                <w:kern w:val="2"/>
              </w:rPr>
              <w:t>2</w:t>
            </w:r>
          </w:p>
        </w:tc>
        <w:tc>
          <w:tcPr>
            <w:vAlign w:val="center"/>
          </w:tcPr>
          <w:p>
            <w:pPr>
              <w:jc w:val="center"/>
            </w:pPr>
            <w:r>
              <w:rPr>
                <w:rFonts w:ascii="Times New Roman" w:hAnsi="Times New Roman"/>
                <w:kern w:val="2"/>
              </w:rPr>
              <w:t>600570</w:t>
            </w:r>
          </w:p>
        </w:tc>
        <w:tc>
          <w:tcPr>
            <w:vAlign w:val="center"/>
          </w:tcPr>
          <w:p>
            <w:pPr>
              <w:jc w:val="center"/>
            </w:pPr>
            <w:r>
              <w:rPr>
                <w:rFonts w:ascii="Times New Roman" w:hAnsi="Times New Roman"/>
                <w:kern w:val="2"/>
              </w:rPr>
              <w:t>恒生电子</w:t>
            </w:r>
          </w:p>
        </w:tc>
        <w:tc>
          <w:tcPr>
            <w:vAlign w:val="center"/>
          </w:tcPr>
          <w:p>
            <w:pPr>
              <w:jc w:val="right"/>
            </w:pPr>
            <w:r>
              <w:rPr>
                <w:rFonts w:ascii="Times New Roman" w:hAnsi="Times New Roman"/>
                <w:kern w:val="2"/>
              </w:rPr>
              <w:t>169,568,179.45</w:t>
            </w:r>
          </w:p>
        </w:tc>
        <w:tc>
          <w:tcPr>
            <w:vAlign w:val="center"/>
          </w:tcPr>
          <w:p>
            <w:pPr>
              <w:jc w:val="right"/>
            </w:pPr>
            <w:r>
              <w:rPr>
                <w:rFonts w:ascii="Times New Roman" w:hAnsi="Times New Roman"/>
                <w:kern w:val="2"/>
              </w:rPr>
              <w:t>5.48</w:t>
            </w:r>
          </w:p>
        </w:tc>
      </w:tr>
      <w:tr>
        <w:tc>
          <w:tcPr>
            <w:vAlign w:val="center"/>
          </w:tcPr>
          <w:p>
            <w:pPr>
              <w:jc w:val="center"/>
            </w:pPr>
            <w:r>
              <w:rPr>
                <w:rFonts w:ascii="Times New Roman" w:hAnsi="Times New Roman"/>
                <w:kern w:val="2"/>
              </w:rPr>
              <w:t>3</w:t>
            </w:r>
          </w:p>
        </w:tc>
        <w:tc>
          <w:tcPr>
            <w:vAlign w:val="center"/>
          </w:tcPr>
          <w:p>
            <w:pPr>
              <w:jc w:val="center"/>
            </w:pPr>
            <w:r>
              <w:rPr>
                <w:rFonts w:ascii="Times New Roman" w:hAnsi="Times New Roman"/>
                <w:kern w:val="2"/>
              </w:rPr>
              <w:t>300059</w:t>
            </w:r>
          </w:p>
        </w:tc>
        <w:tc>
          <w:tcPr>
            <w:vAlign w:val="center"/>
          </w:tcPr>
          <w:p>
            <w:pPr>
              <w:jc w:val="center"/>
            </w:pPr>
            <w:r>
              <w:rPr>
                <w:rFonts w:ascii="Times New Roman" w:hAnsi="Times New Roman"/>
                <w:kern w:val="2"/>
              </w:rPr>
              <w:t>东方财富</w:t>
            </w:r>
          </w:p>
        </w:tc>
        <w:tc>
          <w:tcPr>
            <w:vAlign w:val="center"/>
          </w:tcPr>
          <w:p>
            <w:pPr>
              <w:jc w:val="right"/>
            </w:pPr>
            <w:r>
              <w:rPr>
                <w:rFonts w:ascii="Times New Roman" w:hAnsi="Times New Roman"/>
                <w:kern w:val="2"/>
              </w:rPr>
              <w:t>139,583,113.35</w:t>
            </w:r>
          </w:p>
        </w:tc>
        <w:tc>
          <w:tcPr>
            <w:vAlign w:val="center"/>
          </w:tcPr>
          <w:p>
            <w:pPr>
              <w:jc w:val="right"/>
            </w:pPr>
            <w:r>
              <w:rPr>
                <w:rFonts w:ascii="Times New Roman" w:hAnsi="Times New Roman"/>
                <w:kern w:val="2"/>
              </w:rPr>
              <w:t>4.51</w:t>
            </w:r>
          </w:p>
        </w:tc>
      </w:tr>
      <w:tr>
        <w:tc>
          <w:tcPr>
            <w:vAlign w:val="center"/>
          </w:tcPr>
          <w:p>
            <w:pPr>
              <w:jc w:val="center"/>
            </w:pPr>
            <w:r>
              <w:rPr>
                <w:rFonts w:ascii="Times New Roman" w:hAnsi="Times New Roman"/>
                <w:kern w:val="2"/>
              </w:rPr>
              <w:t>4</w:t>
            </w:r>
          </w:p>
        </w:tc>
        <w:tc>
          <w:tcPr>
            <w:vAlign w:val="center"/>
          </w:tcPr>
          <w:p>
            <w:pPr>
              <w:jc w:val="center"/>
            </w:pPr>
            <w:r>
              <w:rPr>
                <w:rFonts w:ascii="Times New Roman" w:hAnsi="Times New Roman"/>
                <w:kern w:val="2"/>
              </w:rPr>
              <w:t>300003</w:t>
            </w:r>
          </w:p>
        </w:tc>
        <w:tc>
          <w:tcPr>
            <w:vAlign w:val="center"/>
          </w:tcPr>
          <w:p>
            <w:pPr>
              <w:jc w:val="center"/>
            </w:pPr>
            <w:r>
              <w:rPr>
                <w:rFonts w:ascii="Times New Roman" w:hAnsi="Times New Roman"/>
                <w:kern w:val="2"/>
              </w:rPr>
              <w:t>乐普医疗</w:t>
            </w:r>
          </w:p>
        </w:tc>
        <w:tc>
          <w:tcPr>
            <w:vAlign w:val="center"/>
          </w:tcPr>
          <w:p>
            <w:pPr>
              <w:jc w:val="right"/>
            </w:pPr>
            <w:r>
              <w:rPr>
                <w:rFonts w:ascii="Times New Roman" w:hAnsi="Times New Roman"/>
                <w:kern w:val="2"/>
              </w:rPr>
              <w:t>139,384,111.11</w:t>
            </w:r>
          </w:p>
        </w:tc>
        <w:tc>
          <w:tcPr>
            <w:vAlign w:val="center"/>
          </w:tcPr>
          <w:p>
            <w:pPr>
              <w:jc w:val="right"/>
            </w:pPr>
            <w:r>
              <w:rPr>
                <w:rFonts w:ascii="Times New Roman" w:hAnsi="Times New Roman"/>
                <w:kern w:val="2"/>
              </w:rPr>
              <w:t>4.50</w:t>
            </w:r>
          </w:p>
        </w:tc>
      </w:tr>
      <w:tr>
        <w:tc>
          <w:tcPr>
            <w:vAlign w:val="center"/>
          </w:tcPr>
          <w:p>
            <w:pPr>
              <w:jc w:val="center"/>
            </w:pPr>
            <w:r>
              <w:rPr>
                <w:rFonts w:ascii="Times New Roman" w:hAnsi="Times New Roman"/>
                <w:kern w:val="2"/>
              </w:rPr>
              <w:t>5</w:t>
            </w:r>
          </w:p>
        </w:tc>
        <w:tc>
          <w:tcPr>
            <w:vAlign w:val="center"/>
          </w:tcPr>
          <w:p>
            <w:pPr>
              <w:jc w:val="center"/>
            </w:pPr>
            <w:r>
              <w:rPr>
                <w:rFonts w:ascii="Times New Roman" w:hAnsi="Times New Roman"/>
                <w:kern w:val="2"/>
              </w:rPr>
              <w:t>601601</w:t>
            </w:r>
          </w:p>
        </w:tc>
        <w:tc>
          <w:tcPr>
            <w:vAlign w:val="center"/>
          </w:tcPr>
          <w:p>
            <w:pPr>
              <w:jc w:val="center"/>
            </w:pPr>
            <w:r>
              <w:rPr>
                <w:rFonts w:ascii="Times New Roman" w:hAnsi="Times New Roman"/>
                <w:kern w:val="2"/>
              </w:rPr>
              <w:t>中国太保</w:t>
            </w:r>
          </w:p>
        </w:tc>
        <w:tc>
          <w:tcPr>
            <w:vAlign w:val="center"/>
          </w:tcPr>
          <w:p>
            <w:pPr>
              <w:jc w:val="right"/>
            </w:pPr>
            <w:r>
              <w:rPr>
                <w:rFonts w:ascii="Times New Roman" w:hAnsi="Times New Roman"/>
                <w:kern w:val="2"/>
              </w:rPr>
              <w:t>134,987,523.82</w:t>
            </w:r>
          </w:p>
        </w:tc>
        <w:tc>
          <w:tcPr>
            <w:vAlign w:val="center"/>
          </w:tcPr>
          <w:p>
            <w:pPr>
              <w:jc w:val="right"/>
            </w:pPr>
            <w:r>
              <w:rPr>
                <w:rFonts w:ascii="Times New Roman" w:hAnsi="Times New Roman"/>
                <w:kern w:val="2"/>
              </w:rPr>
              <w:t>4.36</w:t>
            </w:r>
          </w:p>
        </w:tc>
      </w:tr>
      <w:tr>
        <w:tc>
          <w:tcPr>
            <w:vAlign w:val="center"/>
          </w:tcPr>
          <w:p>
            <w:pPr>
              <w:jc w:val="center"/>
            </w:pPr>
            <w:r>
              <w:rPr>
                <w:rFonts w:ascii="Times New Roman" w:hAnsi="Times New Roman"/>
                <w:kern w:val="2"/>
              </w:rPr>
              <w:t>6</w:t>
            </w:r>
          </w:p>
        </w:tc>
        <w:tc>
          <w:tcPr>
            <w:vAlign w:val="center"/>
          </w:tcPr>
          <w:p>
            <w:pPr>
              <w:jc w:val="center"/>
            </w:pPr>
            <w:r>
              <w:rPr>
                <w:rFonts w:ascii="Times New Roman" w:hAnsi="Times New Roman"/>
                <w:kern w:val="2"/>
              </w:rPr>
              <w:t>002415</w:t>
            </w:r>
          </w:p>
        </w:tc>
        <w:tc>
          <w:tcPr>
            <w:vAlign w:val="center"/>
          </w:tcPr>
          <w:p>
            <w:pPr>
              <w:jc w:val="center"/>
            </w:pPr>
            <w:r>
              <w:rPr>
                <w:rFonts w:ascii="Times New Roman" w:hAnsi="Times New Roman"/>
                <w:kern w:val="2"/>
              </w:rPr>
              <w:t>海康威视</w:t>
            </w:r>
          </w:p>
        </w:tc>
        <w:tc>
          <w:tcPr>
            <w:vAlign w:val="center"/>
          </w:tcPr>
          <w:p>
            <w:pPr>
              <w:jc w:val="right"/>
            </w:pPr>
            <w:r>
              <w:rPr>
                <w:rFonts w:ascii="Times New Roman" w:hAnsi="Times New Roman"/>
                <w:kern w:val="2"/>
              </w:rPr>
              <w:t>133,237,961.92</w:t>
            </w:r>
          </w:p>
        </w:tc>
        <w:tc>
          <w:tcPr>
            <w:vAlign w:val="center"/>
          </w:tcPr>
          <w:p>
            <w:pPr>
              <w:jc w:val="right"/>
            </w:pPr>
            <w:r>
              <w:rPr>
                <w:rFonts w:ascii="Times New Roman" w:hAnsi="Times New Roman"/>
                <w:kern w:val="2"/>
              </w:rPr>
              <w:t>4.31</w:t>
            </w:r>
          </w:p>
        </w:tc>
      </w:tr>
      <w:tr>
        <w:tc>
          <w:tcPr>
            <w:vAlign w:val="center"/>
          </w:tcPr>
          <w:p>
            <w:pPr>
              <w:jc w:val="center"/>
            </w:pPr>
            <w:r>
              <w:rPr>
                <w:rFonts w:ascii="Times New Roman" w:hAnsi="Times New Roman"/>
                <w:kern w:val="2"/>
              </w:rPr>
              <w:t>7</w:t>
            </w:r>
          </w:p>
        </w:tc>
        <w:tc>
          <w:tcPr>
            <w:vAlign w:val="center"/>
          </w:tcPr>
          <w:p>
            <w:pPr>
              <w:jc w:val="center"/>
            </w:pPr>
            <w:r>
              <w:rPr>
                <w:rFonts w:ascii="Times New Roman" w:hAnsi="Times New Roman"/>
                <w:kern w:val="2"/>
              </w:rPr>
              <w:t>600115</w:t>
            </w:r>
          </w:p>
        </w:tc>
        <w:tc>
          <w:tcPr>
            <w:vAlign w:val="center"/>
          </w:tcPr>
          <w:p>
            <w:pPr>
              <w:jc w:val="center"/>
            </w:pPr>
            <w:r>
              <w:rPr>
                <w:rFonts w:ascii="Times New Roman" w:hAnsi="Times New Roman"/>
                <w:kern w:val="2"/>
              </w:rPr>
              <w:t>东方航空</w:t>
            </w:r>
          </w:p>
        </w:tc>
        <w:tc>
          <w:tcPr>
            <w:vAlign w:val="center"/>
          </w:tcPr>
          <w:p>
            <w:pPr>
              <w:jc w:val="right"/>
            </w:pPr>
            <w:r>
              <w:rPr>
                <w:rFonts w:ascii="Times New Roman" w:hAnsi="Times New Roman"/>
                <w:kern w:val="2"/>
              </w:rPr>
              <w:t>116,183,912.79</w:t>
            </w:r>
          </w:p>
        </w:tc>
        <w:tc>
          <w:tcPr>
            <w:vAlign w:val="center"/>
          </w:tcPr>
          <w:p>
            <w:pPr>
              <w:jc w:val="right"/>
            </w:pPr>
            <w:r>
              <w:rPr>
                <w:rFonts w:ascii="Times New Roman" w:hAnsi="Times New Roman"/>
                <w:kern w:val="2"/>
              </w:rPr>
              <w:t>3.75</w:t>
            </w:r>
          </w:p>
        </w:tc>
      </w:tr>
      <w:tr>
        <w:tc>
          <w:tcPr>
            <w:vAlign w:val="center"/>
          </w:tcPr>
          <w:p>
            <w:pPr>
              <w:jc w:val="center"/>
            </w:pPr>
            <w:r>
              <w:rPr>
                <w:rFonts w:ascii="Times New Roman" w:hAnsi="Times New Roman"/>
                <w:kern w:val="2"/>
              </w:rPr>
              <w:t>8</w:t>
            </w:r>
          </w:p>
        </w:tc>
        <w:tc>
          <w:tcPr>
            <w:vAlign w:val="center"/>
          </w:tcPr>
          <w:p>
            <w:pPr>
              <w:jc w:val="center"/>
            </w:pPr>
            <w:r>
              <w:rPr>
                <w:rFonts w:ascii="Times New Roman" w:hAnsi="Times New Roman"/>
                <w:kern w:val="2"/>
              </w:rPr>
              <w:t>300122</w:t>
            </w:r>
          </w:p>
        </w:tc>
        <w:tc>
          <w:tcPr>
            <w:vAlign w:val="center"/>
          </w:tcPr>
          <w:p>
            <w:pPr>
              <w:jc w:val="center"/>
            </w:pPr>
            <w:r>
              <w:rPr>
                <w:rFonts w:ascii="Times New Roman" w:hAnsi="Times New Roman"/>
                <w:kern w:val="2"/>
              </w:rPr>
              <w:t>智飞生物</w:t>
            </w:r>
          </w:p>
        </w:tc>
        <w:tc>
          <w:tcPr>
            <w:vAlign w:val="center"/>
          </w:tcPr>
          <w:p>
            <w:pPr>
              <w:jc w:val="right"/>
            </w:pPr>
            <w:r>
              <w:rPr>
                <w:rFonts w:ascii="Times New Roman" w:hAnsi="Times New Roman"/>
                <w:kern w:val="2"/>
              </w:rPr>
              <w:t>107,151,831.43</w:t>
            </w:r>
          </w:p>
        </w:tc>
        <w:tc>
          <w:tcPr>
            <w:vAlign w:val="center"/>
          </w:tcPr>
          <w:p>
            <w:pPr>
              <w:jc w:val="right"/>
            </w:pPr>
            <w:r>
              <w:rPr>
                <w:rFonts w:ascii="Times New Roman" w:hAnsi="Times New Roman"/>
                <w:kern w:val="2"/>
              </w:rPr>
              <w:t>3.46</w:t>
            </w:r>
          </w:p>
        </w:tc>
      </w:tr>
      <w:tr>
        <w:tc>
          <w:tcPr>
            <w:vAlign w:val="center"/>
          </w:tcPr>
          <w:p>
            <w:pPr>
              <w:jc w:val="center"/>
            </w:pPr>
            <w:r>
              <w:rPr>
                <w:rFonts w:ascii="Times New Roman" w:hAnsi="Times New Roman"/>
                <w:kern w:val="2"/>
              </w:rPr>
              <w:t>9</w:t>
            </w:r>
          </w:p>
        </w:tc>
        <w:tc>
          <w:tcPr>
            <w:vAlign w:val="center"/>
          </w:tcPr>
          <w:p>
            <w:pPr>
              <w:jc w:val="center"/>
            </w:pPr>
            <w:r>
              <w:rPr>
                <w:rFonts w:ascii="Times New Roman" w:hAnsi="Times New Roman"/>
                <w:kern w:val="2"/>
              </w:rPr>
              <w:t>601100</w:t>
            </w:r>
          </w:p>
        </w:tc>
        <w:tc>
          <w:tcPr>
            <w:vAlign w:val="center"/>
          </w:tcPr>
          <w:p>
            <w:pPr>
              <w:jc w:val="center"/>
            </w:pPr>
            <w:r>
              <w:rPr>
                <w:rFonts w:ascii="Times New Roman" w:hAnsi="Times New Roman"/>
                <w:kern w:val="2"/>
              </w:rPr>
              <w:t>恒立液压</w:t>
            </w:r>
          </w:p>
        </w:tc>
        <w:tc>
          <w:tcPr>
            <w:vAlign w:val="center"/>
          </w:tcPr>
          <w:p>
            <w:pPr>
              <w:jc w:val="right"/>
            </w:pPr>
            <w:r>
              <w:rPr>
                <w:rFonts w:ascii="Times New Roman" w:hAnsi="Times New Roman"/>
                <w:kern w:val="2"/>
              </w:rPr>
              <w:t>105,457,406.34</w:t>
            </w:r>
          </w:p>
        </w:tc>
        <w:tc>
          <w:tcPr>
            <w:vAlign w:val="center"/>
          </w:tcPr>
          <w:p>
            <w:pPr>
              <w:jc w:val="right"/>
            </w:pPr>
            <w:r>
              <w:rPr>
                <w:rFonts w:ascii="Times New Roman" w:hAnsi="Times New Roman"/>
                <w:kern w:val="2"/>
              </w:rPr>
              <w:t>3.41</w:t>
            </w:r>
          </w:p>
        </w:tc>
      </w:tr>
      <w:tr>
        <w:tc>
          <w:tcPr>
            <w:vAlign w:val="center"/>
          </w:tcPr>
          <w:p>
            <w:pPr>
              <w:jc w:val="center"/>
            </w:pPr>
            <w:r>
              <w:rPr>
                <w:rFonts w:ascii="Times New Roman" w:hAnsi="Times New Roman"/>
                <w:kern w:val="2"/>
              </w:rPr>
              <w:t>10</w:t>
            </w:r>
          </w:p>
        </w:tc>
        <w:tc>
          <w:tcPr>
            <w:vAlign w:val="center"/>
          </w:tcPr>
          <w:p>
            <w:pPr>
              <w:jc w:val="center"/>
            </w:pPr>
            <w:r>
              <w:rPr>
                <w:rFonts w:ascii="Times New Roman" w:hAnsi="Times New Roman"/>
                <w:kern w:val="2"/>
              </w:rPr>
              <w:t>600029</w:t>
            </w:r>
          </w:p>
        </w:tc>
        <w:tc>
          <w:tcPr>
            <w:vAlign w:val="center"/>
          </w:tcPr>
          <w:p>
            <w:pPr>
              <w:jc w:val="center"/>
            </w:pPr>
            <w:r>
              <w:rPr>
                <w:rFonts w:ascii="Times New Roman" w:hAnsi="Times New Roman"/>
                <w:kern w:val="2"/>
              </w:rPr>
              <w:t>南方航空</w:t>
            </w:r>
          </w:p>
        </w:tc>
        <w:tc>
          <w:tcPr>
            <w:vAlign w:val="center"/>
          </w:tcPr>
          <w:p>
            <w:pPr>
              <w:jc w:val="right"/>
            </w:pPr>
            <w:r>
              <w:rPr>
                <w:rFonts w:ascii="Times New Roman" w:hAnsi="Times New Roman"/>
                <w:kern w:val="2"/>
              </w:rPr>
              <w:t>97,411,048.61</w:t>
            </w:r>
          </w:p>
        </w:tc>
        <w:tc>
          <w:tcPr>
            <w:vAlign w:val="center"/>
          </w:tcPr>
          <w:p>
            <w:pPr>
              <w:jc w:val="right"/>
            </w:pPr>
            <w:r>
              <w:rPr>
                <w:rFonts w:ascii="Times New Roman" w:hAnsi="Times New Roman"/>
                <w:kern w:val="2"/>
              </w:rPr>
              <w:t>3.15</w:t>
            </w:r>
          </w:p>
        </w:tc>
      </w:tr>
      <w:tr>
        <w:tc>
          <w:tcPr>
            <w:vAlign w:val="center"/>
          </w:tcPr>
          <w:p>
            <w:pPr>
              <w:jc w:val="center"/>
            </w:pPr>
            <w:r>
              <w:rPr>
                <w:rFonts w:ascii="Times New Roman" w:hAnsi="Times New Roman"/>
                <w:kern w:val="2"/>
              </w:rPr>
              <w:t>11</w:t>
            </w:r>
          </w:p>
        </w:tc>
        <w:tc>
          <w:tcPr>
            <w:vAlign w:val="center"/>
          </w:tcPr>
          <w:p>
            <w:pPr>
              <w:jc w:val="center"/>
            </w:pPr>
            <w:r>
              <w:rPr>
                <w:rFonts w:ascii="Times New Roman" w:hAnsi="Times New Roman"/>
                <w:kern w:val="2"/>
              </w:rPr>
              <w:t>600276</w:t>
            </w:r>
          </w:p>
        </w:tc>
        <w:tc>
          <w:tcPr>
            <w:vAlign w:val="center"/>
          </w:tcPr>
          <w:p>
            <w:pPr>
              <w:jc w:val="center"/>
            </w:pPr>
            <w:r>
              <w:rPr>
                <w:rFonts w:ascii="Times New Roman" w:hAnsi="Times New Roman"/>
                <w:kern w:val="2"/>
              </w:rPr>
              <w:t>恒瑞医药</w:t>
            </w:r>
          </w:p>
        </w:tc>
        <w:tc>
          <w:tcPr>
            <w:vAlign w:val="center"/>
          </w:tcPr>
          <w:p>
            <w:pPr>
              <w:jc w:val="right"/>
            </w:pPr>
            <w:r>
              <w:rPr>
                <w:rFonts w:ascii="Times New Roman" w:hAnsi="Times New Roman"/>
                <w:kern w:val="2"/>
              </w:rPr>
              <w:t>87,331,194.65</w:t>
            </w:r>
          </w:p>
        </w:tc>
        <w:tc>
          <w:tcPr>
            <w:vAlign w:val="center"/>
          </w:tcPr>
          <w:p>
            <w:pPr>
              <w:jc w:val="right"/>
            </w:pPr>
            <w:r>
              <w:rPr>
                <w:rFonts w:ascii="Times New Roman" w:hAnsi="Times New Roman"/>
                <w:kern w:val="2"/>
              </w:rPr>
              <w:t>2.82</w:t>
            </w:r>
          </w:p>
        </w:tc>
      </w:tr>
      <w:tr>
        <w:tc>
          <w:tcPr>
            <w:vAlign w:val="center"/>
          </w:tcPr>
          <w:p>
            <w:pPr>
              <w:jc w:val="center"/>
            </w:pPr>
            <w:r>
              <w:rPr>
                <w:rFonts w:ascii="Times New Roman" w:hAnsi="Times New Roman"/>
                <w:kern w:val="2"/>
              </w:rPr>
              <w:t>12</w:t>
            </w:r>
          </w:p>
        </w:tc>
        <w:tc>
          <w:tcPr>
            <w:vAlign w:val="center"/>
          </w:tcPr>
          <w:p>
            <w:pPr>
              <w:jc w:val="center"/>
            </w:pPr>
            <w:r>
              <w:rPr>
                <w:rFonts w:ascii="Times New Roman" w:hAnsi="Times New Roman"/>
                <w:kern w:val="2"/>
              </w:rPr>
              <w:t>600340</w:t>
            </w:r>
          </w:p>
        </w:tc>
        <w:tc>
          <w:tcPr>
            <w:vAlign w:val="center"/>
          </w:tcPr>
          <w:p>
            <w:pPr>
              <w:jc w:val="center"/>
            </w:pPr>
            <w:r>
              <w:rPr>
                <w:rFonts w:ascii="Times New Roman" w:hAnsi="Times New Roman"/>
                <w:kern w:val="2"/>
              </w:rPr>
              <w:t>华夏幸福</w:t>
            </w:r>
          </w:p>
        </w:tc>
        <w:tc>
          <w:tcPr>
            <w:vAlign w:val="center"/>
          </w:tcPr>
          <w:p>
            <w:pPr>
              <w:jc w:val="right"/>
            </w:pPr>
            <w:r>
              <w:rPr>
                <w:rFonts w:ascii="Times New Roman" w:hAnsi="Times New Roman"/>
                <w:kern w:val="2"/>
              </w:rPr>
              <w:t>86,551,079.06</w:t>
            </w:r>
          </w:p>
        </w:tc>
        <w:tc>
          <w:tcPr>
            <w:vAlign w:val="center"/>
          </w:tcPr>
          <w:p>
            <w:pPr>
              <w:jc w:val="right"/>
            </w:pPr>
            <w:r>
              <w:rPr>
                <w:rFonts w:ascii="Times New Roman" w:hAnsi="Times New Roman"/>
                <w:kern w:val="2"/>
              </w:rPr>
              <w:t>2.80</w:t>
            </w:r>
          </w:p>
        </w:tc>
      </w:tr>
      <w:tr>
        <w:tc>
          <w:tcPr>
            <w:vAlign w:val="center"/>
          </w:tcPr>
          <w:p>
            <w:pPr>
              <w:jc w:val="center"/>
            </w:pPr>
            <w:r>
              <w:rPr>
                <w:rFonts w:ascii="Times New Roman" w:hAnsi="Times New Roman"/>
                <w:kern w:val="2"/>
              </w:rPr>
              <w:t>13</w:t>
            </w:r>
          </w:p>
        </w:tc>
        <w:tc>
          <w:tcPr>
            <w:vAlign w:val="center"/>
          </w:tcPr>
          <w:p>
            <w:pPr>
              <w:jc w:val="center"/>
            </w:pPr>
            <w:r>
              <w:rPr>
                <w:rFonts w:ascii="Times New Roman" w:hAnsi="Times New Roman"/>
                <w:kern w:val="2"/>
              </w:rPr>
              <w:t>601872</w:t>
            </w:r>
          </w:p>
        </w:tc>
        <w:tc>
          <w:tcPr>
            <w:vAlign w:val="center"/>
          </w:tcPr>
          <w:p>
            <w:pPr>
              <w:jc w:val="center"/>
            </w:pPr>
            <w:r>
              <w:rPr>
                <w:rFonts w:ascii="Times New Roman" w:hAnsi="Times New Roman"/>
                <w:kern w:val="2"/>
              </w:rPr>
              <w:t>招商轮船</w:t>
            </w:r>
          </w:p>
        </w:tc>
        <w:tc>
          <w:tcPr>
            <w:vAlign w:val="center"/>
          </w:tcPr>
          <w:p>
            <w:pPr>
              <w:jc w:val="right"/>
            </w:pPr>
            <w:r>
              <w:rPr>
                <w:rFonts w:ascii="Times New Roman" w:hAnsi="Times New Roman"/>
                <w:kern w:val="2"/>
              </w:rPr>
              <w:t>85,957,258.78</w:t>
            </w:r>
          </w:p>
        </w:tc>
        <w:tc>
          <w:tcPr>
            <w:vAlign w:val="center"/>
          </w:tcPr>
          <w:p>
            <w:pPr>
              <w:jc w:val="right"/>
            </w:pPr>
            <w:r>
              <w:rPr>
                <w:rFonts w:ascii="Times New Roman" w:hAnsi="Times New Roman"/>
                <w:kern w:val="2"/>
              </w:rPr>
              <w:t>2.78</w:t>
            </w:r>
          </w:p>
        </w:tc>
      </w:tr>
      <w:tr>
        <w:tc>
          <w:tcPr>
            <w:vAlign w:val="center"/>
          </w:tcPr>
          <w:p>
            <w:pPr>
              <w:jc w:val="center"/>
            </w:pPr>
            <w:r>
              <w:rPr>
                <w:rFonts w:ascii="Times New Roman" w:hAnsi="Times New Roman"/>
                <w:kern w:val="2"/>
              </w:rPr>
              <w:t>14</w:t>
            </w:r>
          </w:p>
        </w:tc>
        <w:tc>
          <w:tcPr>
            <w:vAlign w:val="center"/>
          </w:tcPr>
          <w:p>
            <w:pPr>
              <w:jc w:val="center"/>
            </w:pPr>
            <w:r>
              <w:rPr>
                <w:rFonts w:ascii="Times New Roman" w:hAnsi="Times New Roman"/>
                <w:kern w:val="2"/>
              </w:rPr>
              <w:t>000681</w:t>
            </w:r>
          </w:p>
        </w:tc>
        <w:tc>
          <w:tcPr>
            <w:vAlign w:val="center"/>
          </w:tcPr>
          <w:p>
            <w:pPr>
              <w:jc w:val="center"/>
            </w:pPr>
            <w:r>
              <w:rPr>
                <w:rFonts w:ascii="Times New Roman" w:hAnsi="Times New Roman"/>
                <w:kern w:val="2"/>
              </w:rPr>
              <w:t>视觉中国</w:t>
            </w:r>
          </w:p>
        </w:tc>
        <w:tc>
          <w:tcPr>
            <w:vAlign w:val="center"/>
          </w:tcPr>
          <w:p>
            <w:pPr>
              <w:jc w:val="right"/>
            </w:pPr>
            <w:r>
              <w:rPr>
                <w:rFonts w:ascii="Times New Roman" w:hAnsi="Times New Roman"/>
                <w:kern w:val="2"/>
              </w:rPr>
              <w:t>85,305,850.42</w:t>
            </w:r>
          </w:p>
        </w:tc>
        <w:tc>
          <w:tcPr>
            <w:vAlign w:val="center"/>
          </w:tcPr>
          <w:p>
            <w:pPr>
              <w:jc w:val="right"/>
            </w:pPr>
            <w:r>
              <w:rPr>
                <w:rFonts w:ascii="Times New Roman" w:hAnsi="Times New Roman"/>
                <w:kern w:val="2"/>
              </w:rPr>
              <w:t>2.76</w:t>
            </w:r>
          </w:p>
        </w:tc>
      </w:tr>
      <w:tr>
        <w:tc>
          <w:tcPr>
            <w:vAlign w:val="center"/>
          </w:tcPr>
          <w:p>
            <w:pPr>
              <w:jc w:val="center"/>
            </w:pPr>
            <w:r>
              <w:rPr>
                <w:rFonts w:ascii="Times New Roman" w:hAnsi="Times New Roman"/>
                <w:kern w:val="2"/>
              </w:rPr>
              <w:t>15</w:t>
            </w:r>
          </w:p>
        </w:tc>
        <w:tc>
          <w:tcPr>
            <w:vAlign w:val="center"/>
          </w:tcPr>
          <w:p>
            <w:pPr>
              <w:jc w:val="center"/>
            </w:pPr>
            <w:r>
              <w:rPr>
                <w:rFonts w:ascii="Times New Roman" w:hAnsi="Times New Roman"/>
                <w:kern w:val="2"/>
              </w:rPr>
              <w:t>600048</w:t>
            </w:r>
          </w:p>
        </w:tc>
        <w:tc>
          <w:tcPr>
            <w:vAlign w:val="center"/>
          </w:tcPr>
          <w:p>
            <w:pPr>
              <w:jc w:val="center"/>
            </w:pPr>
            <w:r>
              <w:rPr>
                <w:rFonts w:ascii="Times New Roman" w:hAnsi="Times New Roman"/>
                <w:kern w:val="2"/>
              </w:rPr>
              <w:t>保利地产</w:t>
            </w:r>
          </w:p>
        </w:tc>
        <w:tc>
          <w:tcPr>
            <w:vAlign w:val="center"/>
          </w:tcPr>
          <w:p>
            <w:pPr>
              <w:jc w:val="right"/>
            </w:pPr>
            <w:r>
              <w:rPr>
                <w:rFonts w:ascii="Times New Roman" w:hAnsi="Times New Roman"/>
                <w:kern w:val="2"/>
              </w:rPr>
              <w:t>84,608,400.27</w:t>
            </w:r>
          </w:p>
        </w:tc>
        <w:tc>
          <w:tcPr>
            <w:vAlign w:val="center"/>
          </w:tcPr>
          <w:p>
            <w:pPr>
              <w:jc w:val="right"/>
            </w:pPr>
            <w:r>
              <w:rPr>
                <w:rFonts w:ascii="Times New Roman" w:hAnsi="Times New Roman"/>
                <w:kern w:val="2"/>
              </w:rPr>
              <w:t>2.73</w:t>
            </w:r>
          </w:p>
        </w:tc>
      </w:tr>
      <w:tr>
        <w:tc>
          <w:tcPr>
            <w:vAlign w:val="center"/>
          </w:tcPr>
          <w:p>
            <w:pPr>
              <w:jc w:val="center"/>
            </w:pPr>
            <w:r>
              <w:rPr>
                <w:rFonts w:ascii="Times New Roman" w:hAnsi="Times New Roman"/>
                <w:kern w:val="2"/>
              </w:rPr>
              <w:t>16</w:t>
            </w:r>
          </w:p>
        </w:tc>
        <w:tc>
          <w:tcPr>
            <w:vAlign w:val="center"/>
          </w:tcPr>
          <w:p>
            <w:pPr>
              <w:jc w:val="center"/>
            </w:pPr>
            <w:r>
              <w:rPr>
                <w:rFonts w:ascii="Times New Roman" w:hAnsi="Times New Roman"/>
                <w:kern w:val="2"/>
              </w:rPr>
              <w:t>300413</w:t>
            </w:r>
          </w:p>
        </w:tc>
        <w:tc>
          <w:tcPr>
            <w:vAlign w:val="center"/>
          </w:tcPr>
          <w:p>
            <w:pPr>
              <w:jc w:val="center"/>
            </w:pPr>
            <w:r>
              <w:rPr>
                <w:rFonts w:ascii="Times New Roman" w:hAnsi="Times New Roman"/>
                <w:kern w:val="2"/>
              </w:rPr>
              <w:t>芒果超媒</w:t>
            </w:r>
          </w:p>
        </w:tc>
        <w:tc>
          <w:tcPr>
            <w:vAlign w:val="center"/>
          </w:tcPr>
          <w:p>
            <w:pPr>
              <w:jc w:val="right"/>
            </w:pPr>
            <w:r>
              <w:rPr>
                <w:rFonts w:ascii="Times New Roman" w:hAnsi="Times New Roman"/>
                <w:kern w:val="2"/>
              </w:rPr>
              <w:t>84,375,007.96</w:t>
            </w:r>
          </w:p>
        </w:tc>
        <w:tc>
          <w:tcPr>
            <w:vAlign w:val="center"/>
          </w:tcPr>
          <w:p>
            <w:pPr>
              <w:jc w:val="right"/>
            </w:pPr>
            <w:r>
              <w:rPr>
                <w:rFonts w:ascii="Times New Roman" w:hAnsi="Times New Roman"/>
                <w:kern w:val="2"/>
              </w:rPr>
              <w:t>2.73</w:t>
            </w:r>
          </w:p>
        </w:tc>
      </w:tr>
      <w:tr>
        <w:tc>
          <w:tcPr>
            <w:vAlign w:val="center"/>
          </w:tcPr>
          <w:p>
            <w:pPr>
              <w:jc w:val="center"/>
            </w:pPr>
            <w:r>
              <w:rPr>
                <w:rFonts w:ascii="Times New Roman" w:hAnsi="Times New Roman"/>
                <w:kern w:val="2"/>
              </w:rPr>
              <w:t>17</w:t>
            </w:r>
          </w:p>
        </w:tc>
        <w:tc>
          <w:tcPr>
            <w:vAlign w:val="center"/>
          </w:tcPr>
          <w:p>
            <w:pPr>
              <w:jc w:val="center"/>
            </w:pPr>
            <w:r>
              <w:rPr>
                <w:rFonts w:ascii="Times New Roman" w:hAnsi="Times New Roman"/>
                <w:kern w:val="2"/>
              </w:rPr>
              <w:t>600705</w:t>
            </w:r>
          </w:p>
        </w:tc>
        <w:tc>
          <w:tcPr>
            <w:vAlign w:val="center"/>
          </w:tcPr>
          <w:p>
            <w:pPr>
              <w:jc w:val="center"/>
            </w:pPr>
            <w:r>
              <w:rPr>
                <w:rFonts w:ascii="Times New Roman" w:hAnsi="Times New Roman"/>
                <w:kern w:val="2"/>
              </w:rPr>
              <w:t>中航资本</w:t>
            </w:r>
          </w:p>
        </w:tc>
        <w:tc>
          <w:tcPr>
            <w:vAlign w:val="center"/>
          </w:tcPr>
          <w:p>
            <w:pPr>
              <w:jc w:val="right"/>
            </w:pPr>
            <w:r>
              <w:rPr>
                <w:rFonts w:ascii="Times New Roman" w:hAnsi="Times New Roman"/>
                <w:kern w:val="2"/>
              </w:rPr>
              <w:t>83,483,437.24</w:t>
            </w:r>
          </w:p>
        </w:tc>
        <w:tc>
          <w:tcPr>
            <w:vAlign w:val="center"/>
          </w:tcPr>
          <w:p>
            <w:pPr>
              <w:jc w:val="right"/>
            </w:pPr>
            <w:r>
              <w:rPr>
                <w:rFonts w:ascii="Times New Roman" w:hAnsi="Times New Roman"/>
                <w:kern w:val="2"/>
              </w:rPr>
              <w:t>2.70</w:t>
            </w:r>
          </w:p>
        </w:tc>
      </w:tr>
      <w:tr>
        <w:tc>
          <w:tcPr>
            <w:vAlign w:val="center"/>
          </w:tcPr>
          <w:p>
            <w:pPr>
              <w:jc w:val="center"/>
            </w:pPr>
            <w:r>
              <w:rPr>
                <w:rFonts w:ascii="Times New Roman" w:hAnsi="Times New Roman"/>
                <w:kern w:val="2"/>
              </w:rPr>
              <w:t>18</w:t>
            </w:r>
          </w:p>
        </w:tc>
        <w:tc>
          <w:tcPr>
            <w:vAlign w:val="center"/>
          </w:tcPr>
          <w:p>
            <w:pPr>
              <w:jc w:val="center"/>
            </w:pPr>
            <w:r>
              <w:rPr>
                <w:rFonts w:ascii="Times New Roman" w:hAnsi="Times New Roman"/>
                <w:kern w:val="2"/>
              </w:rPr>
              <w:t>601186</w:t>
            </w:r>
          </w:p>
        </w:tc>
        <w:tc>
          <w:tcPr>
            <w:vAlign w:val="center"/>
          </w:tcPr>
          <w:p>
            <w:pPr>
              <w:jc w:val="center"/>
            </w:pPr>
            <w:r>
              <w:rPr>
                <w:rFonts w:ascii="Times New Roman" w:hAnsi="Times New Roman"/>
                <w:kern w:val="2"/>
              </w:rPr>
              <w:t>中国铁建</w:t>
            </w:r>
          </w:p>
        </w:tc>
        <w:tc>
          <w:tcPr>
            <w:vAlign w:val="center"/>
          </w:tcPr>
          <w:p>
            <w:pPr>
              <w:jc w:val="right"/>
            </w:pPr>
            <w:r>
              <w:rPr>
                <w:rFonts w:ascii="Times New Roman" w:hAnsi="Times New Roman"/>
                <w:kern w:val="2"/>
              </w:rPr>
              <w:t>81,824,005.77</w:t>
            </w:r>
          </w:p>
        </w:tc>
        <w:tc>
          <w:tcPr>
            <w:vAlign w:val="center"/>
          </w:tcPr>
          <w:p>
            <w:pPr>
              <w:jc w:val="right"/>
            </w:pPr>
            <w:r>
              <w:rPr>
                <w:rFonts w:ascii="Times New Roman" w:hAnsi="Times New Roman"/>
                <w:kern w:val="2"/>
              </w:rPr>
              <w:t>2.64</w:t>
            </w:r>
          </w:p>
        </w:tc>
      </w:tr>
      <w:tr>
        <w:tc>
          <w:tcPr>
            <w:vAlign w:val="center"/>
          </w:tcPr>
          <w:p>
            <w:pPr>
              <w:jc w:val="center"/>
            </w:pPr>
            <w:r>
              <w:rPr>
                <w:rFonts w:ascii="Times New Roman" w:hAnsi="Times New Roman"/>
                <w:kern w:val="2"/>
              </w:rPr>
              <w:t>19</w:t>
            </w:r>
          </w:p>
        </w:tc>
        <w:tc>
          <w:tcPr>
            <w:vAlign w:val="center"/>
          </w:tcPr>
          <w:p>
            <w:pPr>
              <w:jc w:val="center"/>
            </w:pPr>
            <w:r>
              <w:rPr>
                <w:rFonts w:ascii="Times New Roman" w:hAnsi="Times New Roman"/>
                <w:kern w:val="2"/>
              </w:rPr>
              <w:t>600426</w:t>
            </w:r>
          </w:p>
        </w:tc>
        <w:tc>
          <w:tcPr>
            <w:vAlign w:val="center"/>
          </w:tcPr>
          <w:p>
            <w:pPr>
              <w:jc w:val="center"/>
            </w:pPr>
            <w:r>
              <w:rPr>
                <w:rFonts w:ascii="Times New Roman" w:hAnsi="Times New Roman"/>
                <w:kern w:val="2"/>
              </w:rPr>
              <w:t>华鲁恒升</w:t>
            </w:r>
          </w:p>
        </w:tc>
        <w:tc>
          <w:tcPr>
            <w:vAlign w:val="center"/>
          </w:tcPr>
          <w:p>
            <w:pPr>
              <w:jc w:val="right"/>
            </w:pPr>
            <w:r>
              <w:rPr>
                <w:rFonts w:ascii="Times New Roman" w:hAnsi="Times New Roman"/>
                <w:kern w:val="2"/>
              </w:rPr>
              <w:t>75,057,343.60</w:t>
            </w:r>
          </w:p>
        </w:tc>
        <w:tc>
          <w:tcPr>
            <w:vAlign w:val="center"/>
          </w:tcPr>
          <w:p>
            <w:pPr>
              <w:jc w:val="right"/>
            </w:pPr>
            <w:r>
              <w:rPr>
                <w:rFonts w:ascii="Times New Roman" w:hAnsi="Times New Roman"/>
                <w:kern w:val="2"/>
              </w:rPr>
              <w:t>2.43</w:t>
            </w:r>
          </w:p>
        </w:tc>
      </w:tr>
      <w:tr>
        <w:tc>
          <w:tcPr>
            <w:vAlign w:val="center"/>
          </w:tcPr>
          <w:p>
            <w:pPr>
              <w:jc w:val="center"/>
            </w:pPr>
            <w:r>
              <w:rPr>
                <w:rFonts w:ascii="Times New Roman" w:hAnsi="Times New Roman"/>
                <w:kern w:val="2"/>
              </w:rPr>
              <w:t>20</w:t>
            </w:r>
          </w:p>
        </w:tc>
        <w:tc>
          <w:tcPr>
            <w:vAlign w:val="center"/>
          </w:tcPr>
          <w:p>
            <w:pPr>
              <w:jc w:val="center"/>
            </w:pPr>
            <w:r>
              <w:rPr>
                <w:rFonts w:ascii="Times New Roman" w:hAnsi="Times New Roman"/>
                <w:kern w:val="2"/>
              </w:rPr>
              <w:t>600383</w:t>
            </w:r>
          </w:p>
        </w:tc>
        <w:tc>
          <w:tcPr>
            <w:vAlign w:val="center"/>
          </w:tcPr>
          <w:p>
            <w:pPr>
              <w:jc w:val="center"/>
            </w:pPr>
            <w:r>
              <w:rPr>
                <w:rFonts w:ascii="Times New Roman" w:hAnsi="Times New Roman"/>
                <w:kern w:val="2"/>
              </w:rPr>
              <w:t>金地集团</w:t>
            </w:r>
          </w:p>
        </w:tc>
        <w:tc>
          <w:tcPr>
            <w:vAlign w:val="center"/>
          </w:tcPr>
          <w:p>
            <w:pPr>
              <w:jc w:val="right"/>
            </w:pPr>
            <w:r>
              <w:rPr>
                <w:rFonts w:ascii="Times New Roman" w:hAnsi="Times New Roman"/>
                <w:kern w:val="2"/>
              </w:rPr>
              <w:t>71,231,197.56</w:t>
            </w:r>
          </w:p>
        </w:tc>
        <w:tc>
          <w:tcPr>
            <w:vAlign w:val="center"/>
          </w:tcPr>
          <w:p>
            <w:pPr>
              <w:jc w:val="right"/>
            </w:pPr>
            <w:r>
              <w:rPr>
                <w:rFonts w:ascii="Times New Roman" w:hAnsi="Times New Roman"/>
                <w:kern w:val="2"/>
              </w:rPr>
              <w:t>2.30</w:t>
            </w:r>
          </w:p>
        </w:tc>
      </w:tr>
      <w:tr>
        <w:tc>
          <w:tcPr>
            <w:vAlign w:val="center"/>
          </w:tcPr>
          <w:p>
            <w:pPr>
              <w:jc w:val="center"/>
            </w:pPr>
            <w:r>
              <w:rPr>
                <w:rFonts w:ascii="Times New Roman" w:hAnsi="Times New Roman"/>
                <w:kern w:val="2"/>
              </w:rPr>
              <w:t>21</w:t>
            </w:r>
          </w:p>
        </w:tc>
        <w:tc>
          <w:tcPr>
            <w:vAlign w:val="center"/>
          </w:tcPr>
          <w:p>
            <w:pPr>
              <w:jc w:val="center"/>
            </w:pPr>
            <w:r>
              <w:rPr>
                <w:rFonts w:ascii="Times New Roman" w:hAnsi="Times New Roman"/>
                <w:kern w:val="2"/>
              </w:rPr>
              <w:t>000671</w:t>
            </w:r>
          </w:p>
        </w:tc>
        <w:tc>
          <w:tcPr>
            <w:vAlign w:val="center"/>
          </w:tcPr>
          <w:p>
            <w:pPr>
              <w:jc w:val="center"/>
            </w:pPr>
            <w:r>
              <w:rPr>
                <w:rFonts w:ascii="Times New Roman" w:hAnsi="Times New Roman"/>
                <w:kern w:val="2"/>
              </w:rPr>
              <w:t>阳光城</w:t>
            </w:r>
          </w:p>
        </w:tc>
        <w:tc>
          <w:tcPr>
            <w:vAlign w:val="center"/>
          </w:tcPr>
          <w:p>
            <w:pPr>
              <w:jc w:val="right"/>
            </w:pPr>
            <w:r>
              <w:rPr>
                <w:rFonts w:ascii="Times New Roman" w:hAnsi="Times New Roman"/>
                <w:kern w:val="2"/>
              </w:rPr>
              <w:t>68,401,431.50</w:t>
            </w:r>
          </w:p>
        </w:tc>
        <w:tc>
          <w:tcPr>
            <w:vAlign w:val="center"/>
          </w:tcPr>
          <w:p>
            <w:pPr>
              <w:jc w:val="right"/>
            </w:pPr>
            <w:r>
              <w:rPr>
                <w:rFonts w:ascii="Times New Roman" w:hAnsi="Times New Roman"/>
                <w:kern w:val="2"/>
              </w:rPr>
              <w:t>2.21</w:t>
            </w:r>
          </w:p>
        </w:tc>
      </w:tr>
      <w:tr>
        <w:tc>
          <w:tcPr>
            <w:vAlign w:val="center"/>
          </w:tcPr>
          <w:p>
            <w:pPr>
              <w:jc w:val="center"/>
            </w:pPr>
            <w:r>
              <w:rPr>
                <w:rFonts w:ascii="Times New Roman" w:hAnsi="Times New Roman"/>
                <w:kern w:val="2"/>
              </w:rPr>
              <w:t>22</w:t>
            </w:r>
          </w:p>
        </w:tc>
        <w:tc>
          <w:tcPr>
            <w:vAlign w:val="center"/>
          </w:tcPr>
          <w:p>
            <w:pPr>
              <w:jc w:val="center"/>
            </w:pPr>
            <w:r>
              <w:rPr>
                <w:rFonts w:ascii="Times New Roman" w:hAnsi="Times New Roman"/>
                <w:kern w:val="2"/>
              </w:rPr>
              <w:t>601390</w:t>
            </w:r>
          </w:p>
        </w:tc>
        <w:tc>
          <w:tcPr>
            <w:vAlign w:val="center"/>
          </w:tcPr>
          <w:p>
            <w:pPr>
              <w:jc w:val="center"/>
            </w:pPr>
            <w:r>
              <w:rPr>
                <w:rFonts w:ascii="Times New Roman" w:hAnsi="Times New Roman"/>
                <w:kern w:val="2"/>
              </w:rPr>
              <w:t>中国中铁</w:t>
            </w:r>
          </w:p>
        </w:tc>
        <w:tc>
          <w:tcPr>
            <w:vAlign w:val="center"/>
          </w:tcPr>
          <w:p>
            <w:pPr>
              <w:jc w:val="right"/>
            </w:pPr>
            <w:r>
              <w:rPr>
                <w:rFonts w:ascii="Times New Roman" w:hAnsi="Times New Roman"/>
                <w:kern w:val="2"/>
              </w:rPr>
              <w:t>65,978,070.40</w:t>
            </w:r>
          </w:p>
        </w:tc>
        <w:tc>
          <w:tcPr>
            <w:vAlign w:val="center"/>
          </w:tcPr>
          <w:p>
            <w:pPr>
              <w:jc w:val="right"/>
            </w:pPr>
            <w:r>
              <w:rPr>
                <w:rFonts w:ascii="Times New Roman" w:hAnsi="Times New Roman"/>
                <w:kern w:val="2"/>
              </w:rPr>
              <w:t>2.13</w:t>
            </w:r>
          </w:p>
        </w:tc>
      </w:tr>
      <w:tr>
        <w:tc>
          <w:tcPr>
            <w:vAlign w:val="center"/>
          </w:tcPr>
          <w:p>
            <w:pPr>
              <w:jc w:val="center"/>
            </w:pPr>
            <w:r>
              <w:rPr>
                <w:rFonts w:ascii="Times New Roman" w:hAnsi="Times New Roman"/>
                <w:kern w:val="2"/>
              </w:rPr>
              <w:t>23</w:t>
            </w:r>
          </w:p>
        </w:tc>
        <w:tc>
          <w:tcPr>
            <w:vAlign w:val="center"/>
          </w:tcPr>
          <w:p>
            <w:pPr>
              <w:jc w:val="center"/>
            </w:pPr>
            <w:r>
              <w:rPr>
                <w:rFonts w:ascii="Times New Roman" w:hAnsi="Times New Roman"/>
                <w:kern w:val="2"/>
              </w:rPr>
              <w:t>603305</w:t>
            </w:r>
          </w:p>
        </w:tc>
        <w:tc>
          <w:tcPr>
            <w:vAlign w:val="center"/>
          </w:tcPr>
          <w:p>
            <w:pPr>
              <w:jc w:val="center"/>
            </w:pPr>
            <w:r>
              <w:rPr>
                <w:rFonts w:ascii="Times New Roman" w:hAnsi="Times New Roman"/>
                <w:kern w:val="2"/>
              </w:rPr>
              <w:t>旭升股份</w:t>
            </w:r>
          </w:p>
        </w:tc>
        <w:tc>
          <w:tcPr>
            <w:vAlign w:val="center"/>
          </w:tcPr>
          <w:p>
            <w:pPr>
              <w:jc w:val="right"/>
            </w:pPr>
            <w:r>
              <w:rPr>
                <w:rFonts w:ascii="Times New Roman" w:hAnsi="Times New Roman"/>
                <w:kern w:val="2"/>
              </w:rPr>
              <w:t>62,680,727.98</w:t>
            </w:r>
          </w:p>
        </w:tc>
        <w:tc>
          <w:tcPr>
            <w:vAlign w:val="center"/>
          </w:tcPr>
          <w:p>
            <w:pPr>
              <w:jc w:val="right"/>
            </w:pPr>
            <w:r>
              <w:rPr>
                <w:rFonts w:ascii="Times New Roman" w:hAnsi="Times New Roman"/>
                <w:kern w:val="2"/>
              </w:rPr>
              <w:t>2.03</w:t>
            </w:r>
          </w:p>
        </w:tc>
      </w:tr>
      <w:tr>
        <w:tc>
          <w:tcPr>
            <w:vAlign w:val="center"/>
          </w:tcPr>
          <w:p>
            <w:pPr>
              <w:jc w:val="center"/>
            </w:pPr>
            <w:r>
              <w:rPr>
                <w:rFonts w:ascii="Times New Roman" w:hAnsi="Times New Roman"/>
                <w:kern w:val="2"/>
              </w:rPr>
              <w:t>24</w:t>
            </w:r>
          </w:p>
        </w:tc>
        <w:tc>
          <w:tcPr>
            <w:vAlign w:val="center"/>
          </w:tcPr>
          <w:p>
            <w:pPr>
              <w:jc w:val="center"/>
            </w:pPr>
            <w:r>
              <w:rPr>
                <w:rFonts w:ascii="Times New Roman" w:hAnsi="Times New Roman"/>
                <w:kern w:val="2"/>
              </w:rPr>
              <w:t>002371</w:t>
            </w:r>
          </w:p>
        </w:tc>
        <w:tc>
          <w:tcPr>
            <w:vAlign w:val="center"/>
          </w:tcPr>
          <w:p>
            <w:pPr>
              <w:jc w:val="center"/>
            </w:pPr>
            <w:r>
              <w:rPr>
                <w:rFonts w:ascii="Times New Roman" w:hAnsi="Times New Roman"/>
                <w:kern w:val="2"/>
              </w:rPr>
              <w:t>北方华创</w:t>
            </w:r>
          </w:p>
        </w:tc>
        <w:tc>
          <w:tcPr>
            <w:vAlign w:val="center"/>
          </w:tcPr>
          <w:p>
            <w:pPr>
              <w:jc w:val="right"/>
            </w:pPr>
            <w:r>
              <w:rPr>
                <w:rFonts w:ascii="Times New Roman" w:hAnsi="Times New Roman"/>
                <w:kern w:val="2"/>
              </w:rPr>
              <w:t>62,576,366.90</w:t>
            </w:r>
          </w:p>
        </w:tc>
        <w:tc>
          <w:tcPr>
            <w:vAlign w:val="center"/>
          </w:tcPr>
          <w:p>
            <w:pPr>
              <w:jc w:val="right"/>
            </w:pPr>
            <w:r>
              <w:rPr>
                <w:rFonts w:ascii="Times New Roman" w:hAnsi="Times New Roman"/>
                <w:kern w:val="2"/>
              </w:rPr>
              <w:t>2.02</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注：“本期累计卖出金额”按卖出成交金额（成交单价乘以成交数量）填列，不考虑相关交易费用。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kern w:val="2"/>
        </w:rPr>
      </w:pPr>
    </w:p>
    <w:p w:rsidP="00AC6DDA" w:rsidR="001548F9" w:rsidRDefault="001548F9" w:rsidRPr="005C672D">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499"/>
        <w:gridCol w:w="4499"/>
      </w:tblGrid>
      <w:tr w:rsidR="001548F9" w:rsidRPr="005C672D" w:rsidTr="001C6B1B">
        <w:tc>
          <w:tcPr>
            <w:tcW w:type="dxa" w:w="4500"/>
            <w:vAlign w:val="center"/>
          </w:tcPr>
          <w:p w:rsidP="00AC6DDA" w:rsidR="001548F9" w:rsidRDefault="001548F9" w:rsidRPr="005C672D">
            <w:pPr>
              <w:spacing w:before="29" w:line="288" w:lineRule="auto"/>
              <w:rPr>
                <w:color w:val="000000"/>
                <w:sz w:val="24"/>
              </w:rPr>
            </w:pPr>
            <w:r w:rsidRPr="005C672D">
              <w:rPr>
                <w:color w:val="000000"/>
                <w:sz w:val="24"/>
              </w:rPr>
              <w:lastRenderedPageBreak/>
              <w:t>买入股票的成本（成交）总额</w:t>
            </w:r>
            <w:r w:rsidRPr="005C672D">
              <w:rPr>
                <w:color w:val="000000"/>
                <w:sz w:val="24"/>
              </w:rPr>
              <w:t/>
            </w:r>
          </w:p>
        </w:tc>
        <w:tc>
          <w:tcPr>
            <w:tcW w:type="dxa" w:w="4500"/>
            <w:vAlign w:val="center"/>
          </w:tcPr>
          <w:p w:rsidP="00AC6DDA" w:rsidR="001548F9" w:rsidRDefault="001548F9" w:rsidRPr="005C672D">
            <w:pPr>
              <w:spacing w:before="29" w:line="288" w:lineRule="auto"/>
              <w:jc w:val="right"/>
              <w:rPr>
                <w:sz w:val="24"/>
              </w:rPr>
            </w:pPr>
            <w:r w:rsidRPr="005C672D">
              <w:rPr>
                <w:sz w:val="24"/>
              </w:rPr>
              <w:t>3,639,149,331.38</w:t>
            </w:r>
          </w:p>
        </w:tc>
      </w:tr>
      <w:tr w:rsidR="001548F9" w:rsidRPr="005C672D" w:rsidTr="001C6B1B">
        <w:tc>
          <w:tcPr>
            <w:tcW w:type="dxa" w:w="4500"/>
            <w:vAlign w:val="center"/>
          </w:tcPr>
          <w:p w:rsidP="00AC6DDA" w:rsidR="001548F9" w:rsidRDefault="001548F9" w:rsidRPr="005C672D">
            <w:pPr>
              <w:spacing w:before="29" w:line="288" w:lineRule="auto"/>
              <w:rPr>
                <w:color w:val="000000"/>
                <w:sz w:val="24"/>
              </w:rPr>
            </w:pPr>
            <w:r w:rsidRPr="005C672D">
              <w:rPr>
                <w:color w:val="000000"/>
                <w:sz w:val="24"/>
              </w:rPr>
              <w:t>卖出股票的收入（成交）总额</w:t>
            </w:r>
          </w:p>
        </w:tc>
        <w:tc>
          <w:tcPr>
            <w:tcW w:type="dxa" w:w="4500"/>
            <w:vAlign w:val="center"/>
          </w:tcPr>
          <w:p w:rsidP="00AC6DDA" w:rsidR="001548F9" w:rsidRDefault="001548F9" w:rsidRPr="005C672D">
            <w:pPr>
              <w:spacing w:before="29" w:line="288" w:lineRule="auto"/>
              <w:jc w:val="right"/>
              <w:rPr>
                <w:sz w:val="24"/>
              </w:rPr>
            </w:pPr>
            <w:r w:rsidRPr="005C672D">
              <w:rPr>
                <w:sz w:val="24"/>
              </w:rPr>
              <w:t>4,045,538,660.51</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注：“买入股票成本”或“卖出股票收入”均按买卖成交金额（成交单价乘以成交数量）填列，不考虑相关交易费用。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4" w:name="_Toc331410106"/>
      <w:bookmarkStart w:id="8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84"/>
      <w:bookmarkEnd w:id="85"/>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62"/>
        <w:gridCol w:w="3440"/>
        <w:gridCol w:w="2543"/>
        <w:gridCol w:w="2153"/>
      </w:tblGrid>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序号</w:t>
            </w:r>
            <w:r w:rsidRPr="005C672D">
              <w:rPr>
                <w:color w:val="000000"/>
                <w:sz w:val="24"/>
              </w:rPr>
              <w:t/>
            </w:r>
          </w:p>
        </w:tc>
        <w:tc>
          <w:tcPr>
            <w:tcW w:type="dxa" w:w="3440"/>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债券品种</w:t>
            </w:r>
          </w:p>
        </w:tc>
        <w:tc>
          <w:tcPr>
            <w:tcW w:type="dxa" w:w="2543"/>
            <w:vAlign w:val="center"/>
          </w:tcPr>
          <w:p w:rsidP="00AC6DDA" w:rsidR="001548F9" w:rsidRDefault="001548F9" w:rsidRPr="005C672D">
            <w:pPr>
              <w:spacing w:before="29" w:line="288" w:lineRule="auto"/>
              <w:ind w:left="17"/>
              <w:jc w:val="center"/>
              <w:rPr>
                <w:color w:val="000000"/>
                <w:sz w:val="24"/>
              </w:rPr>
            </w:pPr>
            <w:r w:rsidRPr="005C672D">
              <w:rPr>
                <w:color w:val="000000"/>
                <w:sz w:val="24"/>
              </w:rPr>
              <w:t>公允价值</w:t>
            </w:r>
          </w:p>
        </w:tc>
        <w:tc>
          <w:tcPr>
            <w:tcW w:type="dxa" w:w="2153"/>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1</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国家债券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2</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央行票据</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3</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金融债券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其中：政策性金融债</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4</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企业债券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
            </w:r>
            <w:r w:rsidRPr="005C672D">
              <w:rPr>
                <w:sz w:val="24"/>
              </w:rPr>
              <w:lastRenderedPageBreak/>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lastRenderedPageBreak/>
              <w:t>5</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6</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中期票据</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C16A1" w:rsidRPr="005C672D" w:rsidTr="00986F4D">
        <w:tc>
          <w:tcPr>
            <w:tcW w:type="dxa" w:w="862"/>
            <w:vAlign w:val="center"/>
          </w:tcPr>
          <w:p w:rsidP="00986F4D" w:rsidR="001C16A1" w:rsidRDefault="001C16A1" w:rsidRPr="005C672D">
            <w:pPr>
              <w:spacing w:before="29" w:line="288" w:lineRule="auto"/>
              <w:ind w:left="17"/>
              <w:jc w:val="center"/>
              <w:rPr>
                <w:color w:val="000000"/>
                <w:sz w:val="24"/>
              </w:rPr>
            </w:pPr>
            <w:r w:rsidRPr="005C672D">
              <w:rPr>
                <w:color w:val="000000"/>
                <w:sz w:val="24"/>
              </w:rPr>
              <w:t>7</w:t>
            </w:r>
          </w:p>
        </w:tc>
        <w:tc>
          <w:tcPr>
            <w:tcW w:type="dxa" w:w="3440"/>
            <w:vAlign w:val="center"/>
          </w:tcPr>
          <w:p w:rsidP="00986F4D" w:rsidR="001C16A1" w:rsidRDefault="001C16A1" w:rsidRPr="005C672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type="dxa" w:w="2543"/>
            <w:vAlign w:val="center"/>
          </w:tcPr>
          <w:p w:rsidP="00986F4D" w:rsidR="001C16A1" w:rsidRDefault="001C16A1" w:rsidRPr="005C672D">
            <w:pPr>
              <w:spacing w:before="29" w:line="288" w:lineRule="auto"/>
              <w:ind w:left="17"/>
              <w:jc w:val="right"/>
              <w:rPr>
                <w:sz w:val="24"/>
              </w:rPr>
            </w:pPr>
            <w:r w:rsidRPr="005C672D">
              <w:rPr>
                <w:sz w:val="24"/>
              </w:rPr>
              <w:t>3,259,688.92</w:t>
            </w:r>
          </w:p>
        </w:tc>
        <w:tc>
          <w:tcPr>
            <w:tcW w:type="dxa" w:w="2153"/>
            <w:vAlign w:val="center"/>
          </w:tcPr>
          <w:p w:rsidP="00986F4D" w:rsidR="001C16A1" w:rsidRDefault="001C16A1" w:rsidRPr="005C672D">
            <w:pPr>
              <w:spacing w:before="29" w:line="288" w:lineRule="auto"/>
              <w:ind w:left="17"/>
              <w:jc w:val="right"/>
              <w:rPr>
                <w:sz w:val="24"/>
              </w:rPr>
            </w:pPr>
            <w:r w:rsidRPr="005C672D">
              <w:rPr>
                <w:sz w:val="24"/>
              </w:rPr>
              <w:t>0.11</w:t>
            </w:r>
          </w:p>
        </w:tc>
      </w:tr>
      <w:tr w:rsidR="001C16A1" w:rsidRPr="005C672D" w:rsidTr="00DF4815">
        <w:tc>
          <w:tcPr>
            <w:tcW w:type="dxa" w:w="862"/>
            <w:vAlign w:val="center"/>
          </w:tcPr>
          <w:p w:rsidP="001C16A1" w:rsidR="001C16A1" w:rsidRDefault="001C16A1" w:rsidRPr="004B6D45">
            <w:pPr>
              <w:spacing w:before="29" w:line="288" w:lineRule="auto"/>
              <w:ind w:left="17"/>
              <w:jc w:val="center"/>
              <w:rPr>
                <w:color w:val="000000"/>
                <w:sz w:val="24"/>
              </w:rPr>
            </w:pPr>
            <w:r w:rsidRPr="004B6D45">
              <w:rPr>
                <w:rFonts w:hint="eastAsia"/>
                <w:color w:val="000000"/>
                <w:sz w:val="24"/>
              </w:rPr>
              <w:t>8</w:t>
            </w:r>
          </w:p>
        </w:tc>
        <w:tc>
          <w:tcPr>
            <w:tcW w:type="dxa" w:w="3440"/>
            <w:vAlign w:val="center"/>
          </w:tcPr>
          <w:p w:rsidP="001C16A1" w:rsidR="001C16A1" w:rsidRDefault="001C16A1" w:rsidRPr="004B6D45">
            <w:pPr>
              <w:spacing w:before="29" w:line="288" w:lineRule="auto"/>
              <w:ind w:left="17"/>
              <w:jc w:val="left"/>
              <w:rPr>
                <w:color w:val="000000"/>
                <w:sz w:val="24"/>
              </w:rPr>
            </w:pPr>
            <w:r w:rsidRPr="004B6D45">
              <w:rPr>
                <w:rFonts w:hint="eastAsia"/>
                <w:color w:val="000000"/>
                <w:sz w:val="24"/>
              </w:rPr>
              <w:t>同业存单</w:t>
            </w:r>
          </w:p>
        </w:tc>
        <w:tc>
          <w:tcPr>
            <w:tcW w:type="dxa" w:w="2543"/>
            <w:vAlign w:val="center"/>
          </w:tcPr>
          <w:p w:rsidP="001C16A1" w:rsidR="001C16A1" w:rsidRDefault="001C16A1"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w:t>
            </w:r>
          </w:p>
        </w:tc>
        <w:tc>
          <w:tcPr>
            <w:tcW w:type="dxa" w:w="2153"/>
            <w:vAlign w:val="center"/>
          </w:tcPr>
          <w:p w:rsidP="001C16A1" w:rsidR="001C16A1" w:rsidRDefault="001C16A1"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w:t>
            </w:r>
          </w:p>
        </w:tc>
      </w:tr>
      <w:tr w:rsidR="001548F9" w:rsidRPr="005C672D" w:rsidTr="00DF4815">
        <w:tc>
          <w:tcPr>
            <w:tcW w:type="dxa" w:w="862"/>
            <w:vAlign w:val="center"/>
          </w:tcPr>
          <w:p w:rsidP="00AC6DDA" w:rsidR="001548F9" w:rsidRDefault="001C16A1" w:rsidRPr="005C672D">
            <w:pPr>
              <w:spacing w:before="29" w:line="288" w:lineRule="auto"/>
              <w:ind w:left="17"/>
              <w:jc w:val="center"/>
              <w:rPr>
                <w:color w:val="000000"/>
                <w:sz w:val="24"/>
              </w:rPr>
            </w:pPr>
            <w:r>
              <w:rPr>
                <w:color w:val="000000"/>
                <w:sz w:val="24"/>
              </w:rPr>
              <w:t/>
            </w:r>
            <w:r w:rsidR="001548F9" w:rsidRPr="005C672D">
              <w:rPr>
                <w:color w:val="000000"/>
                <w:sz w:val="24"/>
              </w:rPr>
              <w:t>9</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其他</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C16A1" w:rsidRPr="005C672D">
            <w:pPr>
              <w:spacing w:before="29" w:line="288" w:lineRule="auto"/>
              <w:ind w:left="17"/>
              <w:jc w:val="center"/>
              <w:rPr>
                <w:color w:val="000000"/>
                <w:sz w:val="24"/>
              </w:rPr>
            </w:pPr>
            <w:r>
              <w:rPr>
                <w:color w:val="000000"/>
                <w:sz w:val="24"/>
              </w:rPr>
              <w:t/>
            </w:r>
            <w:r w:rsidR="001548F9" w:rsidRPr="005C672D">
              <w:rPr>
                <w:color w:val="000000"/>
                <w:sz w:val="24"/>
              </w:rPr>
              <w:t>10</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合计</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3,259,688.92</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0.11</w:t>
            </w:r>
          </w:p>
        </w:tc>
      </w:tr>
    </w:tbl>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6" w:name="_Toc331410107"/>
      <w:r w:rsidRPr="005C672D">
        <w:rPr>
          <w:rFonts w:ascii="Times New Roman" w:hAnsi="Times New Roman"/>
          <w:kern w:val="0"/>
          <w:szCs w:val="24"/>
        </w:rPr>
        <w:t>7.6</w:t>
      </w:r>
      <w:bookmarkStart w:id="8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86"/>
      <w:bookmarkEnd w:id="87"/>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320"/>
        <w:gridCol w:w="1382"/>
        <w:gridCol w:w="1353"/>
        <w:gridCol w:w="1505"/>
        <w:gridCol w:w="1737"/>
        <w:gridCol w:w="1701"/>
      </w:tblGrid>
      <w:tr w:rsidR="001548F9" w:rsidRPr="005C672D" w:rsidTr="007A6E46">
        <w:tc>
          <w:tcPr>
            <w:tcW w:type="dxa" w:w="1320"/>
            <w:vAlign w:val="center"/>
          </w:tcPr>
          <w:p w:rsidP="00AC6DDA" w:rsidR="001548F9" w:rsidRDefault="001548F9" w:rsidRPr="005C672D">
            <w:pPr>
              <w:spacing w:before="29" w:line="288" w:lineRule="auto"/>
              <w:ind w:left="17"/>
              <w:jc w:val="center"/>
              <w:rPr>
                <w:color w:val="000000"/>
                <w:sz w:val="24"/>
              </w:rPr>
            </w:pPr>
            <w:r w:rsidRPr="005C672D">
              <w:rPr>
                <w:color w:val="000000"/>
                <w:sz w:val="24"/>
              </w:rPr>
              <w:t>序号</w:t>
            </w:r>
          </w:p>
        </w:tc>
        <w:tc>
          <w:tcPr>
            <w:tcW w:type="dxa" w:w="1382"/>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债券代码</w:t>
            </w:r>
          </w:p>
        </w:tc>
        <w:tc>
          <w:tcPr>
            <w:tcW w:type="dxa" w:w="1353"/>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债券名称</w:t>
            </w:r>
          </w:p>
        </w:tc>
        <w:tc>
          <w:tcPr>
            <w:tcW w:type="dxa" w:w="1505"/>
            <w:vAlign w:val="center"/>
          </w:tcPr>
          <w:p w:rsidP="00AC6DDA" w:rsidR="001548F9" w:rsidRDefault="001548F9" w:rsidRPr="005C672D">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type="dxa" w:w="1737"/>
            <w:vAlign w:val="center"/>
          </w:tcPr>
          <w:p w:rsidP="00AC6DDA" w:rsidR="001548F9" w:rsidRDefault="001548F9" w:rsidRPr="005C672D">
            <w:pPr>
              <w:spacing w:before="29" w:line="288" w:lineRule="auto"/>
              <w:ind w:left="17"/>
              <w:jc w:val="center"/>
              <w:rPr>
                <w:color w:val="000000"/>
                <w:sz w:val="24"/>
              </w:rPr>
            </w:pPr>
            <w:r w:rsidRPr="005C672D">
              <w:rPr>
                <w:color w:val="000000"/>
                <w:sz w:val="24"/>
              </w:rPr>
              <w:t>公允价值</w:t>
            </w:r>
          </w:p>
        </w:tc>
        <w:tc>
          <w:tcPr>
            <w:tcW w:type="dxa" w:w="1701"/>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tc>
          <w:tcPr>
            <w:vAlign w:val="center"/>
          </w:tcPr>
          <w:p>
            <w:pPr>
              <w:jc w:val="center"/>
            </w:pPr>
            <w:r>
              <w:rPr>
                <w:color w:val="000000"/>
                <w:sz w:val="24"/>
              </w:rPr>
              <w:t>1</w:t>
            </w:r>
          </w:p>
        </w:tc>
        <w:tc>
          <w:tcPr>
            <w:vAlign w:val="center"/>
          </w:tcPr>
          <w:p>
            <w:pPr>
              <w:jc w:val="center"/>
            </w:pPr>
            <w:r>
              <w:rPr>
                <w:color w:val="000000"/>
                <w:sz w:val="24"/>
              </w:rPr>
              <w:t>128035</w:t>
            </w:r>
          </w:p>
        </w:tc>
        <w:tc>
          <w:tcPr>
            <w:vAlign w:val="center"/>
          </w:tcPr>
          <w:p>
            <w:pPr>
              <w:jc w:val="center"/>
            </w:pPr>
            <w:r>
              <w:rPr>
                <w:color w:val="000000"/>
                <w:sz w:val="24"/>
              </w:rPr>
              <w:t>大族转债</w:t>
            </w:r>
          </w:p>
        </w:tc>
        <w:tc>
          <w:tcPr>
            <w:vAlign w:val="center"/>
          </w:tcPr>
          <w:p>
            <w:pPr>
              <w:jc w:val="right"/>
            </w:pPr>
            <w:r>
              <w:rPr>
                <w:color w:val="000000"/>
                <w:sz w:val="24"/>
              </w:rPr>
              <w:t>31,514</w:t>
            </w:r>
          </w:p>
        </w:tc>
        <w:tc>
          <w:tcPr>
            <w:vAlign w:val="center"/>
          </w:tcPr>
          <w:p>
            <w:pPr>
              <w:jc w:val="right"/>
            </w:pPr>
            <w:r>
              <w:rPr>
                <w:color w:val="000000"/>
                <w:sz w:val="24"/>
              </w:rPr>
              <w:t>3,257,287.04</w:t>
            </w:r>
          </w:p>
        </w:tc>
        <w:tc>
          <w:tcPr>
            <w:vAlign w:val="center"/>
          </w:tcPr>
          <w:p>
            <w:pPr>
              <w:jc w:val="right"/>
            </w:pPr>
            <w:r>
              <w:rPr>
                <w:color w:val="000000"/>
                <w:sz w:val="24"/>
              </w:rPr>
              <w:t>0.11</w:t>
            </w:r>
          </w:p>
        </w:tc>
      </w:tr>
      <w:tr>
        <w:tc>
          <w:tcPr>
            <w:vAlign w:val="center"/>
          </w:tcPr>
          <w:p>
            <w:pPr>
              <w:jc w:val="center"/>
            </w:pPr>
            <w:r>
              <w:rPr>
                <w:color w:val="000000"/>
                <w:sz w:val="24"/>
              </w:rPr>
              <w:t>2</w:t>
            </w:r>
          </w:p>
        </w:tc>
        <w:tc>
          <w:tcPr>
            <w:vAlign w:val="center"/>
          </w:tcPr>
          <w:p>
            <w:pPr>
              <w:jc w:val="center"/>
            </w:pPr>
            <w:r>
              <w:rPr>
                <w:color w:val="000000"/>
                <w:sz w:val="24"/>
              </w:rPr>
              <w:t>128023</w:t>
            </w:r>
          </w:p>
        </w:tc>
        <w:tc>
          <w:tcPr>
            <w:vAlign w:val="center"/>
          </w:tcPr>
          <w:p>
            <w:pPr>
              <w:jc w:val="center"/>
            </w:pPr>
            <w:r>
              <w:rPr>
                <w:color w:val="000000"/>
                <w:sz w:val="24"/>
              </w:rPr>
              <w:t>亚太转债</w:t>
            </w:r>
          </w:p>
        </w:tc>
        <w:tc>
          <w:tcPr>
            <w:vAlign w:val="center"/>
          </w:tcPr>
          <w:p>
            <w:pPr>
              <w:jc w:val="right"/>
            </w:pPr>
            <w:r>
              <w:rPr>
                <w:color w:val="000000"/>
                <w:sz w:val="24"/>
              </w:rPr>
              <w:t>26</w:t>
            </w:r>
          </w:p>
        </w:tc>
        <w:tc>
          <w:tcPr>
            <w:vAlign w:val="center"/>
          </w:tcPr>
          <w:p>
            <w:pPr>
              <w:jc w:val="right"/>
            </w:pPr>
            <w:r>
              <w:rPr>
                <w:color w:val="000000"/>
                <w:sz w:val="24"/>
              </w:rPr>
              <w:t>2,401.88</w:t>
            </w:r>
          </w:p>
        </w:tc>
        <w:tc>
          <w:tcPr>
            <w:vAlign w:val="center"/>
          </w:tcPr>
          <w:p>
            <w:pPr>
              <w:jc w:val="right"/>
            </w:pPr>
            <w:r>
              <w:rPr>
                <w:color w:val="000000"/>
                <w:sz w:val="24"/>
              </w:rPr>
              <w:t>0.00</w:t>
            </w:r>
          </w:p>
        </w:tc>
      </w:tr>
    </w:tbl>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88"/>
    </w:p>
    <w:p w:rsidP="00AC6DDA" w:rsidR="001548F9" w:rsidRDefault="001548F9" w:rsidRPr="005C672D">
      <w:pPr>
        <w:tabs>
          <w:tab w:pos="426" w:val="left"/>
        </w:tabs>
        <w:spacing w:before="29" w:line="288" w:lineRule="auto"/>
        <w:jc w:val="left"/>
        <w:rPr>
          <w:kern w:val="0"/>
          <w:sz w:val="24"/>
        </w:rPr>
      </w:pPr>
      <w:r w:rsidRPr="005C672D">
        <w:rPr>
          <w:kern w:val="0"/>
          <w:sz w:val="24"/>
        </w:rPr>
        <w:t/>
      </w:r>
      <w:r w:rsidR="007A373E" w:rsidRPr="005C672D">
        <w:rPr>
          <w:kern w:val="0"/>
          <w:sz w:val="24"/>
        </w:rPr>
        <w:t/>
      </w:r>
      <w:r w:rsidRPr="005C672D">
        <w:rPr>
          <w:kern w:val="0"/>
          <w:sz w:val="24"/>
        </w:rPr>
        <w:t>本基金本报告期末未持有资产支持证券。</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9D5807" w:rsidR="009D5807" w:rsidRDefault="009D5807" w:rsidRPr="005C672D">
      <w:pPr>
        <w:pStyle w:val="20"/>
        <w:spacing w:after="0" w:before="29" w:line="288" w:lineRule="auto"/>
        <w:rPr>
          <w:rFonts w:ascii="Times New Roman" w:hAnsi="Times New Roman"/>
          <w:kern w:val="0"/>
          <w:szCs w:val="24"/>
        </w:rPr>
      </w:pPr>
      <w:bookmarkStart w:id="8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89"/>
    </w:p>
    <w:p w:rsidP="00564DC2" w:rsidR="009D5807" w:rsidRDefault="009D5807" w:rsidRPr="005C672D">
      <w:pPr>
        <w:tabs>
          <w:tab w:pos="426" w:val="left"/>
        </w:tabs>
        <w:spacing w:before="29" w:line="288" w:lineRule="auto"/>
        <w:jc w:val="left"/>
        <w:rPr>
          <w:kern w:val="0"/>
          <w:sz w:val="24"/>
        </w:rPr>
      </w:pPr>
      <w:r w:rsidRPr="005C672D">
        <w:rPr>
          <w:kern w:val="0"/>
          <w:sz w:val="24"/>
        </w:rPr>
        <w:t/>
      </w:r>
      <w:r w:rsidR="00DC1A78">
        <w:rPr>
          <w:rFonts w:hint="eastAsia"/>
          <w:kern w:val="0"/>
          <w:sz w:val="24"/>
        </w:rPr>
        <w:t/>
      </w:r>
      <w:r w:rsidRPr="005C672D">
        <w:rPr>
          <w:kern w:val="0"/>
          <w:sz w:val="24"/>
        </w:rPr>
        <w:t>本基金本报告期末未持有贵金属。</w:t>
      </w:r>
    </w:p>
    <w:p w:rsidP="00AC6DDA" w:rsidR="009D5807" w:rsidRDefault="009D5807"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9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90"/>
    </w:p>
    <w:p w:rsidP="00AC6DDA" w:rsidR="001548F9" w:rsidRDefault="001548F9" w:rsidRPr="005C672D">
      <w:pPr>
        <w:tabs>
          <w:tab w:pos="426" w:val="left"/>
        </w:tabs>
        <w:spacing w:before="29" w:line="288" w:lineRule="auto"/>
        <w:jc w:val="left"/>
        <w:rPr>
          <w:kern w:val="0"/>
          <w:sz w:val="24"/>
        </w:rPr>
      </w:pPr>
      <w:r w:rsidRPr="005C672D">
        <w:rPr>
          <w:kern w:val="0"/>
          <w:sz w:val="24"/>
        </w:rPr>
        <w:t/>
      </w:r>
      <w:r w:rsidR="00913C22" w:rsidRPr="005C672D">
        <w:rPr>
          <w:kern w:val="0"/>
          <w:sz w:val="24"/>
        </w:rPr>
        <w:t/>
      </w:r>
      <w:r w:rsidRPr="005C672D">
        <w:rPr>
          <w:kern w:val="0"/>
          <w:sz w:val="24"/>
        </w:rPr>
        <w:t>本基金本报告期末未持有权证。</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lastRenderedPageBreak/>
        <w:t xml:space="preserve">7.10 </w:t>
      </w:r>
      <w:r w:rsidRPr="005C672D">
        <w:rPr>
          <w:rFonts w:ascii="Times New Roman" w:hAnsi="Times New Roman"/>
          <w:kern w:val="0"/>
          <w:szCs w:val="24"/>
        </w:rPr>
        <w:t>报告期末本基金投资的股指期货交易情况说明</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46208D" w:rsidRPr="005C672D">
        <w:rPr>
          <w:kern w:val="0"/>
          <w:sz w:val="24"/>
        </w:rPr>
        <w:t/>
      </w:r>
      <w:r w:rsidRPr="005C672D">
        <w:rPr>
          <w:kern w:val="0"/>
          <w:sz w:val="24"/>
        </w:rPr>
        <w:t>本基金本报告期末未持有股指期货。</w:t>
      </w:r>
    </w:p>
    <w:p w:rsidP="00AC6DDA" w:rsidR="001548F9" w:rsidRDefault="001548F9" w:rsidRPr="005C672D">
      <w:pPr>
        <w:adjustRightInd w:val="0"/>
        <w:snapToGrid w:val="0"/>
        <w:spacing w:before="29" w:line="288" w:lineRule="auto"/>
        <w:rPr>
          <w:sz w:val="24"/>
        </w:rPr>
      </w:pPr>
    </w:p>
    <w:p w:rsidP="00AC6DDA" w:rsidR="00FB427F" w:rsidRDefault="00FB427F"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P="00AC6DDA" w:rsidR="00FB427F" w:rsidRDefault="00FB427F">
      <w:pPr>
        <w:tabs>
          <w:tab w:pos="426" w:val="left"/>
        </w:tabs>
        <w:spacing w:before="29" w:line="288" w:lineRule="auto"/>
        <w:jc w:val="left"/>
        <w:rPr>
          <w:kern w:val="0"/>
          <w:sz w:val="24"/>
        </w:rPr>
      </w:pPr>
      <w:r w:rsidRPr="005C672D">
        <w:rPr>
          <w:kern w:val="0"/>
          <w:sz w:val="24"/>
        </w:rPr>
        <w:t>本基金本报告期末未持有国债期货。</w:t>
      </w:r>
    </w:p>
    <w:p w:rsidP="00AC6DDA" w:rsidR="00E80EB3" w:rsidRDefault="00E80EB3"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91" w:name="_Toc331410110"/>
      <w:r w:rsidRPr="005C672D">
        <w:rPr>
          <w:rFonts w:ascii="Times New Roman" w:hAnsi="Times New Roman"/>
          <w:szCs w:val="24"/>
        </w:rPr>
        <w:t/>
      </w:r>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91"/>
    </w:p>
    <w:p w:rsidP="00D0516B" w:rsidR="001548F9" w:rsidRDefault="001548F9" w:rsidRPr="005C672D">
      <w:pPr>
        <w:spacing w:before="29" w:line="288" w:lineRule="auto"/>
        <w:rPr>
          <w:color w:val="000000"/>
          <w:sz w:val="24"/>
        </w:rPr>
      </w:pPr>
      <w:r w:rsidRPr="005C672D">
        <w:rPr>
          <w:sz w:val="24"/>
        </w:rPr>
        <w:t/>
      </w:r>
      <w:r w:rsidRPr="005C672D">
        <w:rPr>
          <w:color w:val="000000"/>
          <w:sz w:val="24"/>
        </w:rPr>
        <w:t>7.12.1报告期内本基金投资的前十名证券的发行主体未被监管部门立案调查，在本报告编制日前一年内本基金投资的前十名证券的发行主体未受到公开谴责和处罚。</w:t>
      </w:r>
    </w:p>
    <w:p w:rsidP="00D0516B" w:rsidR="001548F9" w:rsidRDefault="001548F9" w:rsidRPr="005C672D">
      <w:pPr>
        <w:spacing w:before="29" w:line="288" w:lineRule="auto"/>
        <w:rPr>
          <w:color w:val="000000"/>
          <w:sz w:val="24"/>
        </w:rPr>
      </w:pPr>
      <w:r w:rsidRPr="005C672D">
        <w:rPr>
          <w:sz w:val="24"/>
        </w:rPr>
        <w:t/>
      </w:r>
      <w:r w:rsidRPr="005C672D">
        <w:rPr>
          <w:color w:val="000000"/>
          <w:sz w:val="24"/>
        </w:rPr>
        <w:t>7.12.2本基金投资的前十名股票中，没有超出基金合同规定的备选股票库之外的股票。</w:t>
      </w:r>
    </w:p>
    <w:p w:rsidP="00AC6DDA" w:rsidR="005E3D7E" w:rsidRDefault="005E3D7E"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765"/>
        <w:gridCol w:w="4116"/>
        <w:gridCol w:w="4117"/>
      </w:tblGrid>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4117"/>
            <w:vAlign w:val="center"/>
          </w:tcPr>
          <w:p w:rsidP="00AC6DDA" w:rsidR="001548F9" w:rsidRDefault="001548F9" w:rsidRPr="005C672D">
            <w:pPr>
              <w:spacing w:before="29" w:line="288" w:lineRule="auto"/>
              <w:jc w:val="center"/>
              <w:rPr>
                <w:color w:val="000000"/>
                <w:sz w:val="24"/>
              </w:rPr>
            </w:pPr>
            <w:r w:rsidRPr="005C672D">
              <w:rPr>
                <w:color w:val="000000"/>
                <w:sz w:val="24"/>
              </w:rPr>
              <w:t>名称</w:t>
            </w:r>
            <w:r w:rsidRPr="005C672D">
              <w:rPr>
                <w:color w:val="000000"/>
                <w:sz w:val="24"/>
              </w:rPr>
              <w:t/>
            </w:r>
          </w:p>
        </w:tc>
        <w:tc>
          <w:tcPr>
            <w:tcW w:type="dxa" w:w="4118"/>
            <w:vAlign w:val="center"/>
          </w:tcPr>
          <w:p w:rsidP="00AC6DDA" w:rsidR="001548F9" w:rsidRDefault="001548F9" w:rsidRPr="005C672D">
            <w:pPr>
              <w:spacing w:before="29" w:line="288" w:lineRule="auto"/>
              <w:jc w:val="center"/>
              <w:rPr>
                <w:color w:val="000000"/>
                <w:sz w:val="24"/>
              </w:rPr>
            </w:pPr>
            <w:r w:rsidRPr="005C672D">
              <w:rPr>
                <w:color w:val="000000"/>
                <w:sz w:val="24"/>
              </w:rPr>
              <w:t>金额</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1</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存出保证金</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1,584,420.58</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2</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应收证券清算款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7,164,646.97</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3</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应收股利</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4</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应收利息</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98,910.19</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5</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应收申购款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420,335.89</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6</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其他应收款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7</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待摊费用</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autoSpaceDE w:val="0"/>
              <w:autoSpaceDN w:val="0"/>
              <w:adjustRightInd w:val="0"/>
              <w:spacing w:before="29" w:line="288" w:lineRule="auto"/>
              <w:ind w:left="15"/>
              <w:jc w:val="center"/>
              <w:rPr>
                <w:color w:val="000000"/>
                <w:sz w:val="24"/>
              </w:rPr>
            </w:pPr>
            <w:r w:rsidRPr="005C672D">
              <w:rPr>
                <w:color w:val="000000"/>
                <w:sz w:val="24"/>
              </w:rPr>
              <w:t>8</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其他</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autoSpaceDE w:val="0"/>
              <w:autoSpaceDN w:val="0"/>
              <w:adjustRightInd w:val="0"/>
              <w:spacing w:before="29" w:line="288" w:lineRule="auto"/>
              <w:ind w:left="15"/>
              <w:jc w:val="center"/>
              <w:rPr>
                <w:color w:val="000000"/>
                <w:sz w:val="24"/>
              </w:rPr>
            </w:pPr>
            <w:r w:rsidRPr="005C672D">
              <w:rPr>
                <w:color w:val="000000"/>
                <w:sz w:val="24"/>
              </w:rPr>
              <w:t>9</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合计</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9,268,313.63</w:t>
            </w:r>
          </w:p>
        </w:tc>
      </w:tr>
    </w:tbl>
    <w:p w:rsidP="00AC6DDA" w:rsidR="001548F9" w:rsidRDefault="001548F9" w:rsidRPr="005C672D">
      <w:pPr>
        <w:pStyle w:val="af6"/>
        <w:spacing w:after="0" w:afterAutospacing="0" w:before="29" w:beforeAutospacing="0" w:line="288" w:lineRule="auto"/>
        <w:rPr>
          <w:rFonts w:ascii="Times New Roman" w:hAnsi="Times New Roman"/>
          <w:b/>
          <w:bCs/>
          <w:color w:val="000000"/>
        </w:rPr>
      </w:pPr>
    </w:p>
    <w:p w:rsidP="00AC6DDA" w:rsidR="001548F9" w:rsidRDefault="001548F9" w:rsidRPr="005C672D">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911"/>
        <w:gridCol w:w="1828"/>
        <w:gridCol w:w="1752"/>
        <w:gridCol w:w="1794"/>
        <w:gridCol w:w="1713"/>
      </w:tblGrid>
      <w:tr w:rsidR="001548F9" w:rsidRPr="005C672D" w:rsidTr="006F27D4">
        <w:tc>
          <w:tcPr>
            <w:tcW w:type="dxa" w:w="1911"/>
            <w:vAlign w:val="center"/>
          </w:tcPr>
          <w:p w:rsidP="00AC6DDA" w:rsidR="001548F9" w:rsidRDefault="001548F9" w:rsidRPr="005C672D">
            <w:pPr>
              <w:spacing w:before="29" w:line="288" w:lineRule="auto"/>
              <w:ind w:left="17"/>
              <w:jc w:val="center"/>
              <w:rPr>
                <w:color w:val="000000"/>
                <w:sz w:val="24"/>
              </w:rPr>
            </w:pPr>
            <w:r w:rsidRPr="005C672D">
              <w:rPr>
                <w:color w:val="000000"/>
                <w:sz w:val="24"/>
              </w:rPr>
              <w:t>序号</w:t>
            </w:r>
          </w:p>
        </w:tc>
        <w:tc>
          <w:tcPr>
            <w:tcW w:type="dxa" w:w="1828"/>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债券代码</w:t>
            </w:r>
          </w:p>
        </w:tc>
        <w:tc>
          <w:tcPr>
            <w:tcW w:type="dxa" w:w="1752"/>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债券名称</w:t>
            </w:r>
          </w:p>
        </w:tc>
        <w:tc>
          <w:tcPr>
            <w:tcW w:type="dxa" w:w="1794"/>
            <w:vAlign w:val="center"/>
          </w:tcPr>
          <w:p w:rsidP="00AC6DDA" w:rsidR="001548F9" w:rsidRDefault="001548F9" w:rsidRPr="005C672D">
            <w:pPr>
              <w:spacing w:before="29" w:line="288" w:lineRule="auto"/>
              <w:ind w:left="17"/>
              <w:jc w:val="center"/>
              <w:rPr>
                <w:color w:val="000000"/>
                <w:sz w:val="24"/>
              </w:rPr>
            </w:pPr>
            <w:r w:rsidRPr="005C672D">
              <w:rPr>
                <w:color w:val="000000"/>
                <w:sz w:val="24"/>
              </w:rPr>
              <w:t>公允价值</w:t>
            </w:r>
          </w:p>
        </w:tc>
        <w:tc>
          <w:tcPr>
            <w:tcW w:type="dxa" w:w="1713"/>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Pr="005C672D">
              <w:rPr>
                <w:color w:val="000000"/>
                <w:sz w:val="24"/>
              </w:rPr>
              <w:t>(%)</w:t>
            </w:r>
          </w:p>
        </w:tc>
      </w:tr>
      <w:tr>
        <w:tc>
          <w:tcPr>
            <w:vAlign w:val="center"/>
          </w:tcPr>
          <w:p>
            <w:pPr>
              <w:jc w:val="center"/>
            </w:pPr>
            <w:r>
              <w:rPr>
                <w:color w:val="000000"/>
                <w:sz w:val="24"/>
              </w:rPr>
              <w:t>1</w:t>
            </w:r>
          </w:p>
        </w:tc>
        <w:tc>
          <w:tcPr>
            <w:vAlign w:val="center"/>
          </w:tcPr>
          <w:p>
            <w:pPr>
              <w:jc w:val="center"/>
            </w:pPr>
            <w:r>
              <w:rPr>
                <w:color w:val="000000"/>
                <w:sz w:val="24"/>
              </w:rPr>
              <w:t>128035</w:t>
            </w:r>
          </w:p>
        </w:tc>
        <w:tc>
          <w:tcPr>
            <w:vAlign w:val="center"/>
          </w:tcPr>
          <w:p>
            <w:pPr>
              <w:jc w:val="center"/>
            </w:pPr>
            <w:r>
              <w:rPr>
                <w:color w:val="000000"/>
                <w:sz w:val="24"/>
              </w:rPr>
              <w:t>大族转债</w:t>
            </w:r>
          </w:p>
        </w:tc>
        <w:tc>
          <w:tcPr>
            <w:vAlign w:val="center"/>
          </w:tcPr>
          <w:p>
            <w:pPr>
              <w:jc w:val="right"/>
            </w:pPr>
            <w:r>
              <w:rPr>
                <w:color w:val="000000"/>
                <w:sz w:val="24"/>
              </w:rPr>
              <w:t>3,257,287.04</w:t>
            </w:r>
          </w:p>
        </w:tc>
        <w:tc>
          <w:tcPr>
            <w:vAlign w:val="center"/>
          </w:tcPr>
          <w:p>
            <w:pPr>
              <w:jc w:val="right"/>
            </w:pPr>
            <w:r>
              <w:rPr>
                <w:color w:val="000000"/>
                <w:sz w:val="24"/>
              </w:rPr>
              <w:t>0.11</w:t>
            </w:r>
          </w:p>
        </w:tc>
      </w:tr>
      <w:tr>
        <w:tc>
          <w:tcPr>
            <w:vAlign w:val="center"/>
          </w:tcPr>
          <w:p>
            <w:pPr>
              <w:jc w:val="center"/>
            </w:pPr>
            <w:r>
              <w:rPr>
                <w:color w:val="000000"/>
                <w:sz w:val="24"/>
              </w:rPr>
              <w:t>2</w:t>
            </w:r>
          </w:p>
        </w:tc>
        <w:tc>
          <w:tcPr>
            <w:vAlign w:val="center"/>
          </w:tcPr>
          <w:p>
            <w:pPr>
              <w:jc w:val="center"/>
            </w:pPr>
            <w:r>
              <w:rPr>
                <w:color w:val="000000"/>
                <w:sz w:val="24"/>
              </w:rPr>
              <w:t>128023</w:t>
            </w:r>
          </w:p>
        </w:tc>
        <w:tc>
          <w:tcPr>
            <w:vAlign w:val="center"/>
          </w:tcPr>
          <w:p>
            <w:pPr>
              <w:jc w:val="center"/>
            </w:pPr>
            <w:r>
              <w:rPr>
                <w:color w:val="000000"/>
                <w:sz w:val="24"/>
              </w:rPr>
              <w:t>亚太转债</w:t>
            </w:r>
          </w:p>
        </w:tc>
        <w:tc>
          <w:tcPr>
            <w:vAlign w:val="center"/>
          </w:tcPr>
          <w:p>
            <w:pPr>
              <w:jc w:val="right"/>
            </w:pPr>
            <w:r>
              <w:rPr>
                <w:color w:val="000000"/>
                <w:sz w:val="24"/>
              </w:rPr>
              <w:t>2,401.88</w:t>
            </w:r>
          </w:p>
        </w:tc>
        <w:tc>
          <w:tcPr>
            <w:vAlign w:val="center"/>
          </w:tcPr>
          <w:p>
            <w:pPr>
              <w:jc w:val="right"/>
            </w:pPr>
            <w:r>
              <w:rPr>
                <w:color w:val="000000"/>
                <w:sz w:val="24"/>
              </w:rPr>
              <w:t>0.00</w:t>
            </w:r>
          </w:p>
        </w:tc>
      </w:tr>
    </w:tbl>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9725D9" w:rsidRPr="005C672D">
        <w:rPr>
          <w:kern w:val="0"/>
          <w:sz w:val="24"/>
        </w:rPr>
        <w:t/>
      </w:r>
      <w:r w:rsidRPr="005C672D">
        <w:rPr>
          <w:kern w:val="0"/>
          <w:sz w:val="24"/>
        </w:rPr>
        <w:t>本基金本报告期末前十名股票中不存在流通受限情况。</w:t>
      </w:r>
    </w:p>
    <w:p w:rsidP="00AC6DDA" w:rsidR="00374080" w:rsidRDefault="00374080" w:rsidRPr="005C672D">
      <w:pPr>
        <w:tabs>
          <w:tab w:pos="426" w:val="left"/>
        </w:tabs>
        <w:spacing w:before="29" w:line="288" w:lineRule="auto"/>
        <w:jc w:val="left"/>
        <w:rPr>
          <w:kern w:val="0"/>
          <w:sz w:val="24"/>
        </w:rPr>
      </w:pPr>
    </w:p>
    <w:p w:rsidP="00AC6DDA" w:rsidR="001548F9" w:rsidRDefault="001548F9" w:rsidRPr="005C672D">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P="00AC6DDA" w:rsidR="001548F9" w:rsidRDefault="001548F9" w:rsidRPr="005C672D">
      <w:pPr>
        <w:spacing w:before="29" w:line="288" w:lineRule="auto"/>
        <w:ind w:firstLine="480" w:firstLineChars="200"/>
        <w:rPr>
          <w:color w:val="000000"/>
          <w:sz w:val="24"/>
        </w:rPr>
      </w:pPr>
      <w:r w:rsidRPr="005C672D">
        <w:rPr>
          <w:color w:val="000000"/>
          <w:sz w:val="24"/>
        </w:rPr>
        <w:t>由于四舍五入的原因，分项之和与合计项之间可能存在尾差。</w:t>
      </w:r>
    </w:p>
    <w:p w:rsidP="00AC6DDA" w:rsidR="005B771B" w:rsidRDefault="005B771B" w:rsidRPr="005C672D">
      <w:pPr>
        <w:spacing w:before="29" w:line="288" w:lineRule="auto"/>
        <w:ind w:firstLine="480" w:firstLineChars="200"/>
        <w:rPr>
          <w:color w:val="000000"/>
          <w:sz w:val="24"/>
        </w:rPr>
      </w:pPr>
    </w:p>
    <w:p w:rsidP="00EC259C" w:rsidR="001548F9" w:rsidRDefault="002C1EEF" w:rsidRPr="005C672D">
      <w:pPr>
        <w:pStyle w:val="1"/>
        <w:keepNext/>
        <w:keepLines/>
        <w:widowControl w:val="0"/>
        <w:spacing w:afterLines="100" w:beforeLines="100" w:line="288" w:lineRule="auto"/>
        <w:jc w:val="center"/>
        <w:rPr>
          <w:b/>
          <w:bCs/>
          <w:szCs w:val="24"/>
          <w:lang w:val="en-US"/>
        </w:rPr>
      </w:pPr>
      <w:bookmarkStart w:id="92" w:name="_Toc331410111"/>
      <w:bookmarkStart w:id="93" w:name="_Toc225500050"/>
      <w:r w:rsidRPr="005C672D">
        <w:rPr>
          <w:b/>
          <w:color w:val="000000"/>
          <w:szCs w:val="24"/>
        </w:rPr>
        <w:t/>
      </w:r>
      <w:r w:rsidR="001548F9" w:rsidRPr="005C672D">
        <w:rPr>
          <w:b/>
          <w:bCs/>
          <w:szCs w:val="24"/>
          <w:lang w:val="en-US"/>
        </w:rPr>
        <w:t/>
      </w:r>
      <w:r w:rsidR="00AE1199" w:rsidRPr="005C672D">
        <w:rPr>
          <w:b/>
          <w:bCs/>
          <w:szCs w:val="24"/>
          <w:lang w:val="en-US"/>
        </w:rPr>
        <w:t xml:space="preserve">8  </w:t>
      </w:r>
      <w:r w:rsidR="001548F9" w:rsidRPr="005C672D">
        <w:rPr>
          <w:b/>
          <w:bCs/>
          <w:szCs w:val="24"/>
          <w:lang w:val="en-US"/>
        </w:rPr>
        <w:t>基金份额持有人信息</w:t>
      </w:r>
      <w:bookmarkEnd w:id="92"/>
      <w:bookmarkEnd w:id="93"/>
    </w:p>
    <w:p w:rsidP="00AC6DDA" w:rsidR="001548F9" w:rsidRDefault="001548F9" w:rsidRPr="005C672D">
      <w:pPr>
        <w:pStyle w:val="20"/>
        <w:spacing w:after="0" w:before="29" w:line="288" w:lineRule="auto"/>
        <w:rPr>
          <w:rFonts w:ascii="Times New Roman" w:hAnsi="Times New Roman"/>
          <w:kern w:val="0"/>
          <w:szCs w:val="24"/>
        </w:rPr>
      </w:pPr>
      <w:bookmarkStart w:id="94" w:name="_Toc331410112"/>
      <w:bookmarkStart w:id="9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94"/>
      <w:bookmarkEnd w:id="95"/>
    </w:p>
    <w:p w:rsidP="00852F8B" w:rsidR="00852F8B" w:rsidRDefault="00852F8B" w:rsidRPr="005C672D">
      <w:pPr>
        <w:autoSpaceDE w:val="0"/>
        <w:autoSpaceDN w:val="0"/>
        <w:adjustRightInd w:val="0"/>
        <w:spacing w:before="29" w:line="288" w:lineRule="auto"/>
        <w:ind w:left="15"/>
        <w:jc w:val="right"/>
        <w:rPr>
          <w:color w:val="000000"/>
          <w:sz w:val="24"/>
        </w:rPr>
      </w:pPr>
      <w:r w:rsidRPr="005C672D">
        <w:rPr>
          <w:color w:val="000000"/>
          <w:sz w:val="24"/>
        </w:rPr>
        <w:t/>
      </w:r>
      <w:r w:rsidRPr="005C672D">
        <w:rPr>
          <w:color w:val="000000"/>
          <w:sz w:val="24"/>
        </w:rPr>
        <w:t>份额单位：份</w:t>
      </w:r>
    </w:p>
    <w:tbl>
      <w:tblPr>
        <w:tblW w:type="pct" w:w="4989"/>
        <w:jc w:val="center"/>
        <w:tblLook w:val="00A0"/>
      </w:tblPr>
      <w:tblGrid>
        <w:gridCol w:w="1648"/>
        <w:gridCol w:w="1209"/>
        <w:gridCol w:w="1310"/>
        <w:gridCol w:w="1108"/>
        <w:gridCol w:w="1438"/>
        <w:gridCol w:w="1122"/>
        <w:gridCol w:w="1451"/>
      </w:tblGrid>
      <w:tr w:rsidR="00852F8B" w:rsidRPr="005C672D" w:rsidTr="0033423B">
        <w:trPr>
          <w:jc w:val="center"/>
        </w:trPr>
        <w:tc>
          <w:tcPr>
            <w:tcW w:type="pct" w:w="846"/>
            <w:hMerge w:val="restart"/>
            <w:vMerge w:val="restart"/>
            <w:tcBorders>
              <w:top w:color="000000" w:space="0" w:sz="8" w:val="single"/>
              <w:left w:color="000000" w:space="0" w:sz="8" w:val="single"/>
              <w:bottom w:color="000000" w:space="0" w:sz="8" w:val="single"/>
              <w:right w:color="000000" w:space="0" w:sz="8" w:val="single"/>
            </w:tcBorders>
            <w:vAlign w:val="center"/>
            <w:hideMark/>
          </w:tcPr>
          <w:p>
            <w:pPr>
              <w:jc w:val="center"/>
            </w:pPr>
            <w:r>
              <w:t>持有人户数(户)</w:t>
            </w:r>
          </w:p>
        </w:tc>
        <w:tc>
          <w:tcPr>
            <w:tcW w:type="pct" w:w="658"/>
            <w:hMerge/>
            <w:vMerge w:val="restart"/>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持有人户数</w:t>
            </w:r>
            <w:r w:rsidRPr="005C672D">
              <w:rPr>
                <w:sz w:val="24"/>
              </w:rPr>
              <w:t>(</w:t>
            </w:r>
            <w:r w:rsidRPr="005C672D">
              <w:rPr>
                <w:sz w:val="24"/>
              </w:rPr>
              <w:t>户</w:t>
            </w:r>
            <w:r w:rsidRPr="005C672D">
              <w:rPr>
                <w:sz w:val="24"/>
              </w:rPr>
              <w:t>)</w:t>
            </w:r>
          </w:p>
        </w:tc>
        <w:tc>
          <w:tcPr>
            <w:tcW w:type="pct" w:w="712"/>
            <w:vMerge w:val="restart"/>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户均持有的基金份额</w:t>
            </w:r>
          </w:p>
        </w:tc>
        <w:tc>
          <w:tcPr>
            <w:tcW w:type="pct" w:w="2784"/>
            <w:gridSpan w:val="4"/>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spacing w:before="29" w:line="288" w:lineRule="auto"/>
              <w:jc w:val="center"/>
              <w:rPr>
                <w:sz w:val="24"/>
              </w:rPr>
            </w:pPr>
            <w:r w:rsidRPr="005C672D">
              <w:rPr>
                <w:sz w:val="24"/>
              </w:rPr>
              <w:t>持有人结构</w:t>
            </w:r>
          </w:p>
        </w:tc>
      </w:tr>
      <w:tr w:rsidR="00852F8B" w:rsidRPr="005C672D" w:rsidTr="0033423B">
        <w:trPr>
          <w:jc w:val="center"/>
        </w:trPr>
        <w:tc>
          <w:tcPr>
            <w:tcW w:type="pct" w:w="846"/>
            <w:hMerge w:val="restart"/>
            <w:vMerge/>
            <w:tcBorders>
              <w:top w:color="000000" w:space="0" w:sz="8" w:val="single"/>
              <w:left w:color="000000" w:space="0" w:sz="8" w:val="single"/>
              <w:bottom w:color="000000" w:space="0" w:sz="8" w:val="single"/>
              <w:right w:color="000000" w:space="0" w:sz="8" w:val="single"/>
            </w:tcBorders>
            <w:vAlign w:val="center"/>
            <w:hideMark/>
          </w:tcPr>
          <w:p>
            <w:pPr>
              <w:jc w:val="center"/>
            </w:pPr>
            <w:r>
              <w:t/>
            </w:r>
          </w:p>
        </w:tc>
        <w:tc>
          <w:tcPr>
            <w:tcW w:type="auto" w:w="0"/>
            <w:hMerge/>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auto" w:w="0"/>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pct" w:w="1385"/>
            <w:gridSpan w:val="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机构投资者</w:t>
            </w:r>
          </w:p>
        </w:tc>
        <w:tc>
          <w:tcPr>
            <w:tcW w:type="pct" w:w="1400"/>
            <w:gridSpan w:val="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个人投资者</w:t>
            </w:r>
          </w:p>
        </w:tc>
      </w:tr>
      <w:tr w:rsidR="00852F8B" w:rsidRPr="005C672D" w:rsidTr="0033423B">
        <w:trPr>
          <w:jc w:val="center"/>
        </w:trPr>
        <w:tc>
          <w:tcPr>
            <w:tcW w:type="pct" w:w="846"/>
            <w:hMerge w:val="restart"/>
            <w:vMerge/>
            <w:tcBorders>
              <w:top w:color="000000" w:space="0" w:sz="8" w:val="single"/>
              <w:left w:color="000000" w:space="0" w:sz="8" w:val="single"/>
              <w:bottom w:color="000000" w:space="0" w:sz="8" w:val="single"/>
              <w:right w:color="000000" w:space="0" w:sz="8" w:val="single"/>
            </w:tcBorders>
            <w:vAlign w:val="center"/>
            <w:hideMark/>
          </w:tcPr>
          <w:p>
            <w:pPr>
              <w:jc w:val="center"/>
            </w:pPr>
            <w:r>
              <w:rPr xsi:nil="true"/>
              <w:t/>
            </w:r>
          </w:p>
        </w:tc>
        <w:tc>
          <w:tcPr>
            <w:tcW w:type="auto" w:w="0"/>
            <w:hMerge/>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p>
        </w:tc>
        <w:tc>
          <w:tcPr>
            <w:tcW w:type="auto" w:w="0"/>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pct" w:w="603"/>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持有份额</w:t>
            </w:r>
          </w:p>
        </w:tc>
        <w:tc>
          <w:tcPr>
            <w:tcW w:type="pct" w:w="78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占总份额比例</w:t>
            </w:r>
          </w:p>
        </w:tc>
        <w:tc>
          <w:tcPr>
            <w:tcW w:type="pct" w:w="610"/>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持有份额</w:t>
            </w:r>
          </w:p>
        </w:tc>
        <w:tc>
          <w:tcPr>
            <w:tcW w:type="pct" w:w="789"/>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spacing w:before="29" w:line="288" w:lineRule="auto"/>
              <w:jc w:val="center"/>
              <w:rPr>
                <w:sz w:val="24"/>
              </w:rPr>
            </w:pPr>
            <w:r w:rsidRPr="005C672D">
              <w:rPr>
                <w:sz w:val="24"/>
              </w:rPr>
              <w:t>占总份额比例</w:t>
            </w:r>
          </w:p>
        </w:tc>
      </w:tr>
      <w:tr w:rsidR="00852F8B" w:rsidRPr="005C672D" w:rsidTr="0033423B">
        <w:trPr>
          <w:jc w:val="center"/>
        </w:trPr>
        <w:tc>
          <w:tcPr>
            <w:tcW w:type="pct" w:w="846"/>
            <w:hMerge w:val="restart"/>
            <w:tcBorders>
              <w:top w:color="000000" w:space="0" w:sz="8" w:val="single"/>
              <w:left w:color="000000" w:space="0" w:sz="8" w:val="single"/>
              <w:bottom w:color="000000" w:space="0" w:sz="8" w:val="single"/>
              <w:right w:color="000000" w:space="0" w:sz="8" w:val="single"/>
            </w:tcBorders>
            <w:vAlign w:val="center"/>
            <w:hideMark/>
          </w:tcPr>
          <w:p>
            <w:pPr>
              <w:jc w:val="center"/>
            </w:pPr>
            <w:r>
              <w:rPr>
                <w:bCs/>
                <w:color w:val="000000"/>
                <w:sz w:val="24"/>
              </w:rPr>
              <w:t>122,780</w:t>
            </w:r>
          </w:p>
        </w:tc>
        <w:tc>
          <w:tcPr>
            <w:tcW w:type="pct" w:w="658"/>
            <w:h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center"/>
              <w:rPr>
                <w:bCs/>
                <w:color w:val="000000"/>
                <w:sz w:val="24"/>
              </w:rPr>
            </w:pPr>
            <w:r w:rsidRPr="005C672D">
              <w:rPr>
                <w:bCs/>
                <w:color w:val="000000"/>
                <w:sz w:val="24"/>
              </w:rPr>
              <w:t>122,780</w:t>
            </w:r>
          </w:p>
        </w:tc>
        <w:tc>
          <w:tcPr>
            <w:tcW w:type="pct" w:w="71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18,569.77</w:t>
            </w:r>
          </w:p>
        </w:tc>
        <w:tc>
          <w:tcPr>
            <w:tcW w:type="pct" w:w="603"/>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16,258,038.97</w:t>
            </w:r>
          </w:p>
        </w:tc>
        <w:tc>
          <w:tcPr>
            <w:tcW w:type="pct" w:w="78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0.71%</w:t>
            </w:r>
          </w:p>
        </w:tc>
        <w:tc>
          <w:tcPr>
            <w:tcW w:type="pct" w:w="610"/>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2,263,738,379.72</w:t>
            </w:r>
          </w:p>
        </w:tc>
        <w:tc>
          <w:tcPr>
            <w:tcW w:type="pct" w:w="789"/>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99.29%</w:t>
            </w:r>
          </w:p>
        </w:tc>
      </w:tr>
    </w:tbl>
    <w:p w:rsidP="00AC6DDA" w:rsidR="00852F8B" w:rsidRDefault="00852F8B"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96"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96"/>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827"/>
        <w:gridCol w:w="3011"/>
        <w:gridCol w:w="2160"/>
      </w:tblGrid>
      <w:tr w:rsidR="00DF5C7F" w:rsidRPr="005C672D" w:rsidTr="00C75A56">
        <w:tc>
          <w:tcPr>
            <w:tcW w:type="dxa" w:w="3827"/>
            <w:vAlign w:val="center"/>
          </w:tcPr>
          <w:p w:rsidP="00AC6DDA" w:rsidR="00DF5C7F" w:rsidRDefault="00DF5C7F" w:rsidRPr="005C672D">
            <w:pPr>
              <w:widowControl/>
              <w:spacing w:before="29" w:line="288" w:lineRule="auto"/>
              <w:jc w:val="center"/>
              <w:rPr>
                <w:color w:val="000000"/>
                <w:kern w:val="0"/>
                <w:sz w:val="24"/>
              </w:rPr>
            </w:pPr>
            <w:bookmarkStart w:id="97" w:name="_Toc331410114"/>
            <w:bookmarkStart w:id="98" w:name="_Toc286911325"/>
            <w:bookmarkStart w:id="99" w:name="_Toc247957892"/>
            <w:r w:rsidRPr="005C672D">
              <w:rPr>
                <w:color w:val="000000"/>
                <w:kern w:val="0"/>
                <w:sz w:val="24"/>
              </w:rPr>
              <w:t>项目</w:t>
            </w:r>
            <w:r w:rsidRPr="005C672D">
              <w:rPr>
                <w:color w:val="000000"/>
                <w:kern w:val="0"/>
                <w:sz w:val="24"/>
              </w:rPr>
              <w:t/>
            </w:r>
            <w:r w:rsidRPr="005C672D">
              <w:rPr>
                <w:sz w:val="24"/>
              </w:rPr>
              <w:t/>
            </w:r>
            <w:r w:rsidR="009B044F" w:rsidRPr="005C672D">
              <w:rPr>
                <w:bCs/>
                <w:color w:val="000000"/>
                <w:sz w:val="24"/>
              </w:rPr>
              <w:t/>
            </w:r>
          </w:p>
        </w:tc>
        <w:tc>
          <w:tcPr>
            <w:tcW w:type="dxa" w:w="3011"/>
            <w:vAlign w:val="center"/>
          </w:tcPr>
          <w:p w:rsidP="00AC6DDA" w:rsidR="00DF5C7F" w:rsidRDefault="00DF5C7F" w:rsidRPr="005C672D">
            <w:pPr>
              <w:widowControl/>
              <w:spacing w:before="29" w:line="288" w:lineRule="auto"/>
              <w:jc w:val="center"/>
              <w:rPr>
                <w:color w:val="000000"/>
                <w:kern w:val="0"/>
                <w:sz w:val="24"/>
              </w:rPr>
            </w:pPr>
            <w:r w:rsidRPr="005C672D">
              <w:rPr>
                <w:color w:val="000000"/>
                <w:kern w:val="0"/>
                <w:sz w:val="24"/>
              </w:rPr>
              <w:t>持有份额总数（份）</w:t>
            </w:r>
          </w:p>
        </w:tc>
        <w:tc>
          <w:tcPr>
            <w:tcW w:type="dxa" w:w="2160"/>
            <w:vAlign w:val="center"/>
          </w:tcPr>
          <w:p w:rsidP="009B044F" w:rsidR="00DF5C7F" w:rsidRDefault="00DF5C7F" w:rsidRPr="005C672D">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type="dxa" w:w="3827"/>
            <w:vAlign w:val="center"/>
          </w:tcPr>
          <w:p w:rsidP="00577A50" w:rsidR="00DF5C7F" w:rsidRDefault="00DF5C7F" w:rsidRPr="005C672D">
            <w:pPr>
              <w:spacing w:before="29" w:line="288" w:lineRule="auto"/>
              <w:jc w:val="left"/>
              <w:rPr>
                <w:color w:val="000000"/>
                <w:sz w:val="24"/>
              </w:rPr>
            </w:pPr>
            <w:r w:rsidRPr="005C672D">
              <w:rPr>
                <w:color w:val="000000"/>
                <w:sz w:val="24"/>
              </w:rPr>
              <w:t>基金管理人所有从业人员持有本基金</w:t>
            </w:r>
          </w:p>
        </w:tc>
        <w:tc>
          <w:tcPr>
            <w:tcW w:type="dxa" w:w="3011"/>
            <w:vAlign w:val="center"/>
          </w:tcPr>
          <w:p w:rsidP="00AC6DDA" w:rsidR="00DF5C7F" w:rsidRDefault="00DF5C7F" w:rsidRPr="005C672D">
            <w:pPr>
              <w:widowControl/>
              <w:spacing w:before="29" w:line="288" w:lineRule="auto"/>
              <w:jc w:val="right"/>
              <w:rPr>
                <w:color w:val="000000"/>
                <w:kern w:val="0"/>
                <w:sz w:val="24"/>
              </w:rPr>
            </w:pPr>
            <w:r w:rsidRPr="005C672D">
              <w:rPr>
                <w:color w:val="000000"/>
                <w:kern w:val="0"/>
                <w:sz w:val="24"/>
              </w:rPr>
              <w:t>103,320.34</w:t>
            </w:r>
          </w:p>
        </w:tc>
        <w:tc>
          <w:tcPr>
            <w:tcW w:type="dxa" w:w="2160"/>
            <w:vAlign w:val="center"/>
          </w:tcPr>
          <w:p w:rsidP="00AC6DDA" w:rsidR="00DF5C7F" w:rsidRDefault="00DF5C7F" w:rsidRPr="005C672D">
            <w:pPr>
              <w:widowControl/>
              <w:spacing w:before="29" w:line="288" w:lineRule="auto"/>
              <w:jc w:val="right"/>
              <w:rPr>
                <w:color w:val="000000"/>
                <w:kern w:val="0"/>
                <w:sz w:val="24"/>
              </w:rPr>
            </w:pPr>
            <w:r w:rsidRPr="005C672D">
              <w:rPr>
                <w:color w:val="000000"/>
                <w:kern w:val="0"/>
                <w:sz w:val="24"/>
              </w:rPr>
              <w:t>0.00%</w:t>
            </w:r>
          </w:p>
        </w:tc>
      </w:tr>
    </w:tbl>
    <w:p w:rsidP="009D5E21" w:rsidR="009D5E21" w:rsidRDefault="009D5E21" w:rsidRPr="005C672D">
      <w:pPr>
        <w:spacing w:before="29" w:line="288" w:lineRule="auto"/>
        <w:rPr>
          <w:color w:val="000000"/>
          <w:sz w:val="24"/>
        </w:rPr>
      </w:pPr>
    </w:p>
    <w:p w:rsidP="009D5E21" w:rsidR="009D5E21" w:rsidRDefault="009D5E21" w:rsidRPr="005C672D">
      <w:pPr>
        <w:pStyle w:val="20"/>
        <w:spacing w:after="0" w:before="29"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type="pct" w:w="5096"/>
        <w:tblBorders>
          <w:top w:color="auto" w:space="0" w:sz="8" w:val="single"/>
          <w:left w:color="auto" w:space="0" w:sz="8" w:val="single"/>
          <w:bottom w:color="auto" w:space="0" w:sz="8" w:val="single"/>
          <w:right w:color="auto" w:space="0" w:sz="8" w:val="single"/>
          <w:insideH w:color="auto" w:space="0" w:sz="8" w:val="single"/>
          <w:insideV w:color="auto" w:space="0" w:sz="8" w:val="single"/>
        </w:tblBorders>
        <w:tblLayout w:type="fixed"/>
        <w:tblCellMar>
          <w:left w:type="dxa" w:w="0"/>
          <w:right w:type="dxa" w:w="0"/>
        </w:tblCellMar>
        <w:tblLook w:val="04A0"/>
      </w:tblPr>
      <w:tblGrid>
        <w:gridCol w:w="4645"/>
        <w:gridCol w:w="4819"/>
      </w:tblGrid>
      <w:tr w:rsidR="009D5E21" w:rsidRPr="005C672D" w:rsidTr="004D3922">
        <w:trPr>
          <w:trHeight w:val="285"/>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center"/>
              <w:rPr>
                <w:color w:val="000000"/>
                <w:kern w:val="0"/>
                <w:sz w:val="24"/>
              </w:rPr>
            </w:pPr>
            <w:r w:rsidRPr="005C672D">
              <w:rPr>
                <w:color w:val="000000"/>
                <w:kern w:val="0"/>
                <w:sz w:val="24"/>
              </w:rPr>
              <w:t>项目</w:t>
            </w:r>
            <w:r w:rsidRPr="005C672D">
              <w:rPr>
                <w:color w:val="000000"/>
                <w:kern w:val="0"/>
                <w:sz w:val="24"/>
              </w:rPr>
              <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right"/>
              <w:rPr>
                <w:color w:val="000000"/>
                <w:kern w:val="0"/>
                <w:sz w:val="24"/>
              </w:rPr>
            </w:pPr>
            <w:r w:rsidRPr="005C672D">
              <w:rPr>
                <w:color w:val="000000"/>
                <w:kern w:val="0"/>
                <w:sz w:val="24"/>
              </w:rPr>
              <w:t>0~10</w:t>
            </w:r>
          </w:p>
        </w:tc>
      </w:tr>
      <w:tr w:rsidR="009D5E21" w:rsidRPr="005C672D" w:rsidTr="004D3922">
        <w:trPr>
          <w:trHeight w:val="285"/>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spacing w:before="29" w:line="288" w:lineRule="auto"/>
              <w:jc w:val="left"/>
              <w:rPr>
                <w:color w:val="000000"/>
                <w:sz w:val="24"/>
              </w:rPr>
            </w:pPr>
            <w:r w:rsidRPr="005C672D">
              <w:rPr>
                <w:color w:val="000000"/>
                <w:sz w:val="24"/>
              </w:rPr>
              <w:t>本基金基金经理持有本开放式基金</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right"/>
              <w:rPr>
                <w:color w:val="000000"/>
                <w:kern w:val="0"/>
                <w:sz w:val="24"/>
              </w:rPr>
            </w:pPr>
            <w:r w:rsidRPr="005C672D">
              <w:rPr>
                <w:color w:val="000000"/>
                <w:kern w:val="0"/>
                <w:sz w:val="24"/>
              </w:rPr>
              <w:t>0</w:t>
            </w:r>
          </w:p>
        </w:tc>
      </w:tr>
    </w:tbl>
    <w:p w:rsidP="00AC6DDA" w:rsidR="00705EC3" w:rsidRDefault="00705EC3" w:rsidRPr="005C672D">
      <w:pPr>
        <w:spacing w:before="29" w:line="288" w:lineRule="auto"/>
        <w:rPr>
          <w:color w:val="000000"/>
          <w:sz w:val="24"/>
        </w:rPr>
      </w:pPr>
    </w:p>
    <w:p w:rsidP="00197399" w:rsidR="009C1535" w:rsidRDefault="001548F9" w:rsidRPr="005C672D">
      <w:pPr>
        <w:pStyle w:val="1"/>
        <w:keepNext/>
        <w:keepLines/>
        <w:widowControl w:val="0"/>
        <w:spacing w:before="29" w:line="288" w:lineRule="auto"/>
        <w:jc w:val="center"/>
        <w:rPr>
          <w:b/>
          <w:bCs/>
          <w:szCs w:val="24"/>
          <w:lang w:val="en-US"/>
        </w:rPr>
      </w:pPr>
      <w:bookmarkStart w:id="100" w:name="_Toc331410115"/>
      <w:bookmarkStart w:id="101" w:name="_Toc225500053"/>
      <w:r w:rsidRPr="005C672D">
        <w:rPr>
          <w:b/>
          <w:bCs/>
          <w:szCs w:val="24"/>
          <w:lang w:val="en-US"/>
        </w:rPr>
        <w:t>9</w:t>
      </w:r>
      <w:r w:rsidRPr="005C672D">
        <w:rPr>
          <w:b/>
          <w:bCs/>
          <w:szCs w:val="24"/>
          <w:lang w:val="en-US"/>
        </w:rPr>
        <w:t>开放式基金份额变动</w:t>
      </w:r>
      <w:bookmarkEnd w:id="100"/>
      <w:bookmarkEnd w:id="101"/>
    </w:p>
    <w:p w:rsidP="00AC6DDA" w:rsidR="001548F9" w:rsidRDefault="001548F9" w:rsidRPr="005C672D">
      <w:pPr>
        <w:spacing w:before="29" w:line="288" w:lineRule="auto"/>
        <w:jc w:val="right"/>
        <w:rPr>
          <w:sz w:val="24"/>
        </w:rPr>
      </w:pPr>
      <w:r w:rsidRPr="005C672D">
        <w:rPr>
          <w:sz w:val="24"/>
        </w:rPr>
        <w:t/>
      </w:r>
      <w:r w:rsidRPr="005C672D">
        <w:rPr>
          <w:sz w:val="24"/>
        </w:rPr>
        <w:t>单位：份</w:t>
      </w:r>
    </w:p>
    <w:tbl>
      <w:tblPr>
        <w:tblW w:type="dxa" w:w="899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5050"/>
        <w:gridCol w:w="3948"/>
      </w:tblGrid>
      <w:tr w:rsidR="001548F9" w:rsidRPr="005C672D" w:rsidTr="00494D2F">
        <w:tc>
          <w:tcPr>
            <w:tcW w:type="pct" w:w="2806"/>
          </w:tcPr>
          <w:p w:rsidP="00AC6DDA" w:rsidR="001548F9" w:rsidRDefault="001548F9" w:rsidRPr="005C672D">
            <w:pPr>
              <w:spacing w:before="29" w:line="288" w:lineRule="auto"/>
              <w:rPr>
                <w:sz w:val="24"/>
              </w:rPr>
            </w:pPr>
            <w:r w:rsidRPr="005C672D">
              <w:rPr>
                <w:sz w:val="24"/>
              </w:rPr>
              <w:t>基金合同生效日（</w:t>
            </w:r>
            <w:r w:rsidRPr="005C672D">
              <w:rPr>
                <w:sz w:val="24"/>
              </w:rPr>
              <w:t>2006年6月14日</w:t>
            </w:r>
            <w:r w:rsidRPr="005C672D">
              <w:rPr>
                <w:sz w:val="24"/>
              </w:rPr>
              <w:t>）基金份额总额</w:t>
            </w:r>
            <w:r w:rsidRPr="005C672D">
              <w:rPr>
                <w:sz w:val="24"/>
              </w:rPr>
              <w:t/>
            </w:r>
            <w:r w:rsidR="00DF5C7F" w:rsidRPr="005C672D">
              <w:rPr>
                <w:sz w:val="24"/>
              </w:rPr>
              <w:t/>
            </w:r>
          </w:p>
        </w:tc>
        <w:tc>
          <w:tcPr>
            <w:tcW w:type="pct" w:w="2194"/>
          </w:tcPr>
          <w:p w:rsidP="00AC6DDA" w:rsidR="001548F9" w:rsidRDefault="001548F9" w:rsidRPr="005C672D">
            <w:pPr>
              <w:spacing w:before="29" w:line="288" w:lineRule="auto"/>
              <w:jc w:val="right"/>
              <w:rPr>
                <w:sz w:val="24"/>
              </w:rPr>
            </w:pPr>
            <w:r w:rsidRPr="005C672D">
              <w:rPr>
                <w:sz w:val="24"/>
              </w:rPr>
              <w:t xml:space="preserve">7,016,138,522.08 </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本报告期期初基金份额总额</w:t>
            </w:r>
          </w:p>
        </w:tc>
        <w:tc>
          <w:tcPr>
            <w:tcW w:type="pct" w:w="2194"/>
          </w:tcPr>
          <w:p w:rsidP="00AC6DDA" w:rsidR="001548F9" w:rsidRDefault="001548F9" w:rsidRPr="005C672D">
            <w:pPr>
              <w:spacing w:before="29" w:line="288" w:lineRule="auto"/>
              <w:jc w:val="right"/>
              <w:rPr>
                <w:sz w:val="24"/>
              </w:rPr>
            </w:pPr>
            <w:r w:rsidRPr="005C672D">
              <w:rPr>
                <w:sz w:val="24"/>
              </w:rPr>
              <w:t>2,770,662,767.95</w:t>
            </w:r>
          </w:p>
        </w:tc>
      </w:tr>
      <w:tr w:rsidR="001548F9" w:rsidRPr="005C672D" w:rsidTr="00494D2F">
        <w:tc>
          <w:tcPr>
            <w:tcW w:type="pct" w:w="2806"/>
            <w:vAlign w:val="center"/>
          </w:tcPr>
          <w:p w:rsidP="00AC6DDA" w:rsidR="001548F9" w:rsidRDefault="005151E7" w:rsidRPr="005C672D">
            <w:pPr>
              <w:spacing w:before="29" w:line="288" w:lineRule="auto"/>
              <w:rPr>
                <w:sz w:val="24"/>
              </w:rPr>
            </w:pPr>
            <w:r w:rsidRPr="005C672D">
              <w:rPr>
                <w:sz w:val="24"/>
              </w:rPr>
              <w:t>本报告期</w:t>
            </w:r>
            <w:r w:rsidR="001548F9" w:rsidRPr="005C672D">
              <w:rPr>
                <w:sz w:val="24"/>
              </w:rPr>
              <w:t>基金总申购份额</w:t>
            </w:r>
          </w:p>
        </w:tc>
        <w:tc>
          <w:tcPr>
            <w:tcW w:type="pct" w:w="2194"/>
          </w:tcPr>
          <w:p w:rsidP="00AC6DDA" w:rsidR="001548F9" w:rsidRDefault="001548F9" w:rsidRPr="005C672D">
            <w:pPr>
              <w:spacing w:before="29" w:line="288" w:lineRule="auto"/>
              <w:jc w:val="right"/>
              <w:rPr>
                <w:sz w:val="24"/>
              </w:rPr>
            </w:pPr>
            <w:r w:rsidRPr="005C672D">
              <w:rPr>
                <w:sz w:val="24"/>
              </w:rPr>
              <w:t>109,818,616.77</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type="pct" w:w="2194"/>
          </w:tcPr>
          <w:p w:rsidP="00AC6DDA" w:rsidR="001548F9" w:rsidRDefault="001548F9" w:rsidRPr="005C672D">
            <w:pPr>
              <w:spacing w:before="29" w:line="288" w:lineRule="auto"/>
              <w:jc w:val="right"/>
              <w:rPr>
                <w:sz w:val="24"/>
              </w:rPr>
            </w:pPr>
            <w:r w:rsidRPr="005C672D">
              <w:rPr>
                <w:sz w:val="24"/>
              </w:rPr>
              <w:t>600,484,966.03</w:t>
            </w:r>
          </w:p>
        </w:tc>
      </w:tr>
      <w:tr w:rsidR="001548F9" w:rsidRPr="005C672D" w:rsidTr="00494D2F">
        <w:tc>
          <w:tcPr>
            <w:tcW w:type="pct" w:w="2806"/>
            <w:vAlign w:val="center"/>
          </w:tcPr>
          <w:p w:rsidP="00AC6DDA" w:rsidR="001548F9" w:rsidRDefault="005151E7" w:rsidRPr="005C672D">
            <w:pPr>
              <w:spacing w:before="29" w:line="288" w:lineRule="auto"/>
              <w:rPr>
                <w:sz w:val="24"/>
              </w:rPr>
            </w:pPr>
            <w:r w:rsidRPr="005C672D">
              <w:rPr>
                <w:sz w:val="24"/>
              </w:rPr>
              <w:t>本报告期</w:t>
            </w:r>
            <w:r w:rsidR="001548F9" w:rsidRPr="005C672D">
              <w:rPr>
                <w:sz w:val="24"/>
              </w:rPr>
              <w:t>基金拆分变动份额</w:t>
            </w:r>
          </w:p>
        </w:tc>
        <w:tc>
          <w:tcPr>
            <w:tcW w:type="pct" w:w="2194"/>
          </w:tcPr>
          <w:p w:rsidP="00AC6DDA" w:rsidR="001548F9" w:rsidRDefault="001548F9" w:rsidRPr="005C672D">
            <w:pPr>
              <w:spacing w:before="29" w:line="288" w:lineRule="auto"/>
              <w:jc w:val="right"/>
              <w:rPr>
                <w:sz w:val="24"/>
              </w:rPr>
            </w:pPr>
            <w:r w:rsidRPr="005C672D">
              <w:rPr>
                <w:sz w:val="24"/>
              </w:rPr>
              <w:t>-</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本报告期期末基金份额总额</w:t>
            </w:r>
          </w:p>
        </w:tc>
        <w:tc>
          <w:tcPr>
            <w:tcW w:type="pct" w:w="2194"/>
          </w:tcPr>
          <w:p w:rsidP="00AC6DDA" w:rsidR="001548F9" w:rsidRDefault="001548F9" w:rsidRPr="005C672D">
            <w:pPr>
              <w:spacing w:before="29" w:line="288" w:lineRule="auto"/>
              <w:jc w:val="right"/>
              <w:rPr>
                <w:sz w:val="24"/>
              </w:rPr>
            </w:pPr>
            <w:r w:rsidRPr="005C672D">
              <w:rPr>
                <w:sz w:val="24"/>
              </w:rPr>
              <w:t>2,279,996,418.69</w:t>
            </w:r>
          </w:p>
        </w:tc>
      </w:tr>
    </w:tbl>
    <w:p>
      <w:pPr>
        <w:tabs>
          <w:tab w:pos="426" w:val="left"/>
        </w:tabs>
        <w:spacing w:before="29" w:line="288" w:lineRule="auto"/>
        <w:jc w:val="left"/>
        <w:rPr>
          <w:kern w:val="0"/>
          <w:sz w:val="24"/>
        </w:rPr>
      </w:pPr>
      <w:r>
        <w:rPr>
          <w:kern w:val="0"/>
          <w:sz w:val="24"/>
        </w:rPr>
        <w:t xml:space="preserve">注：1、如果本报告期间发生转换入、红利再投业务，则总申购份额中包含该业务； </w:t>
      </w:r>
    </w:p>
    <w:p w:rsidP="00AC6DDA" w:rsidR="005A09F2" w:rsidRDefault="005A09F2" w:rsidRPr="005C672D">
      <w:pPr>
        <w:tabs>
          <w:tab w:pos="426" w:val="left"/>
        </w:tabs>
        <w:spacing w:before="29" w:line="288" w:lineRule="auto"/>
        <w:jc w:val="left"/>
        <w:rPr>
          <w:kern w:val="0"/>
          <w:sz w:val="24"/>
        </w:rPr>
      </w:pPr>
      <w:r w:rsidRPr="005C672D">
        <w:rPr>
          <w:kern w:val="0"/>
          <w:sz w:val="24"/>
        </w:rPr>
        <w:t>2、如果本报告期间发生转换出业务，则总赎回份额中包含该业务。</w:t>
      </w:r>
    </w:p>
    <w:p w:rsidP="00AC6DDA" w:rsidR="00BB4E44" w:rsidRDefault="00BB4E44" w:rsidRPr="005C672D">
      <w:pPr>
        <w:tabs>
          <w:tab w:pos="426" w:val="left"/>
        </w:tabs>
        <w:spacing w:before="29" w:line="288" w:lineRule="auto"/>
        <w:jc w:val="left"/>
        <w:rPr>
          <w:kern w:val="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02" w:name="_Toc331410116"/>
      <w:bookmarkStart w:id="103" w:name="_Toc225500054"/>
      <w:r w:rsidRPr="005C672D">
        <w:rPr>
          <w:b/>
          <w:bCs/>
          <w:szCs w:val="24"/>
          <w:lang w:val="en-US"/>
        </w:rPr>
        <w:t xml:space="preserve">10  </w:t>
      </w:r>
      <w:r w:rsidRPr="005C672D">
        <w:rPr>
          <w:b/>
          <w:bCs/>
          <w:szCs w:val="24"/>
          <w:lang w:val="en-US"/>
        </w:rPr>
        <w:t>重大事件揭示</w:t>
      </w:r>
      <w:bookmarkEnd w:id="102"/>
      <w:bookmarkEnd w:id="103"/>
    </w:p>
    <w:p w:rsidP="0095029A" w:rsidR="0095029A" w:rsidRDefault="0095029A" w:rsidRPr="00690ED2">
      <w:pPr>
        <w:pStyle w:val="20"/>
        <w:spacing w:after="0" w:before="29" w:line="288" w:lineRule="auto"/>
        <w:rPr>
          <w:rFonts w:ascii="Times New Roman" w:hAnsi="Times New Roman"/>
          <w:kern w:val="0"/>
          <w:szCs w:val="24"/>
        </w:rPr>
      </w:pPr>
      <w:bookmarkStart w:id="104" w:name="_Toc374438161"/>
      <w:bookmarkStart w:id="105" w:name="_Toc361324894"/>
      <w:bookmarkStart w:id="106" w:name="OLE_LINK179"/>
      <w:bookmarkStart w:id="107" w:name="OLE_LINK178"/>
      <w:bookmarkStart w:id="108" w:name="OLE_LINK174"/>
      <w:bookmarkStart w:id="109" w:name="OLE_LINK165"/>
      <w:bookmarkStart w:id="110" w:name="OLE_LINK145"/>
      <w:bookmarkStart w:id="111" w:name="OLE_LINK135"/>
      <w:bookmarkStart w:id="112" w:name="OLE_LINK84"/>
      <w:bookmarkStart w:id="113" w:name="OLE_LINK75"/>
      <w:bookmarkStart w:id="114" w:name="OLE_LINK59"/>
      <w:bookmarkStart w:id="115" w:name="OLE_LINK34"/>
      <w:bookmarkStart w:id="116" w:name="OLE_LINK33"/>
      <w:bookmarkStart w:id="117" w:name="OLE_LINK28"/>
      <w:bookmarkStart w:id="118" w:name="OLE_LINK170"/>
      <w:bookmarkStart w:id="119" w:name="OLE_LINK159"/>
      <w:bookmarkStart w:id="120" w:name="OLE_LINK143"/>
      <w:bookmarkStart w:id="121" w:name="OLE_LINK130"/>
      <w:bookmarkStart w:id="122" w:name="OLE_LINK102"/>
      <w:bookmarkStart w:id="123" w:name="OLE_LINK101"/>
      <w:bookmarkStart w:id="124" w:name="OLE_LINK72"/>
      <w:bookmarkStart w:id="125" w:name="OLE_LINK50"/>
      <w:bookmarkStart w:id="126"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104"/>
      <w:bookmarkEnd w:id="105"/>
    </w:p>
    <w:p w:rsidP="0095029A" w:rsidR="0095029A" w:rsidRDefault="0095029A" w:rsidRPr="00690ED2">
      <w:pPr>
        <w:tabs>
          <w:tab w:pos="426" w:val="left"/>
        </w:tabs>
        <w:spacing w:before="29" w:line="288" w:lineRule="auto"/>
        <w:jc w:val="left"/>
        <w:rPr>
          <w:kern w:val="0"/>
          <w:sz w:val="24"/>
        </w:rPr>
      </w:pPr>
      <w:r w:rsidRPr="00690ED2">
        <w:rPr>
          <w:kern w:val="0"/>
          <w:sz w:val="24"/>
        </w:rPr>
        <w:t>本基金本报告期内未召开基金份额持有人大会。</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27" w:name="_Toc374438162"/>
      <w:bookmarkStart w:id="128"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27"/>
      <w:bookmarkEnd w:id="128"/>
    </w:p>
    <w:p>
      <w:pPr>
        <w:tabs>
          <w:tab w:pos="426" w:val="left"/>
        </w:tabs>
        <w:spacing w:before="29" w:line="288" w:lineRule="auto"/>
        <w:jc w:val="left"/>
        <w:rPr>
          <w:kern w:val="0"/>
          <w:sz w:val="24"/>
        </w:rPr>
      </w:pPr>
      <w:r>
        <w:rPr>
          <w:kern w:val="0"/>
          <w:sz w:val="24"/>
        </w:rPr>
        <w:t xml:space="preserve">1、基金管理人的重大人事变动：2019年2月28日本基金管理人发布公告，经公司第五届董事会第五次会议审议通过，选举谢卫先生担任公司总经理。 </w:t>
      </w:r>
    </w:p>
    <w:p w:rsidP="0095029A" w:rsidR="0095029A" w:rsidRDefault="0095029A" w:rsidRPr="00690ED2">
      <w:pPr>
        <w:tabs>
          <w:tab w:pos="426" w:val="left"/>
        </w:tabs>
        <w:spacing w:before="29" w:line="288" w:lineRule="auto"/>
        <w:jc w:val="left"/>
        <w:rPr>
          <w:kern w:val="0"/>
          <w:sz w:val="24"/>
        </w:rPr>
      </w:pPr>
      <w:r w:rsidRPr="00690ED2">
        <w:rPr>
          <w:kern w:val="0"/>
          <w:sz w:val="24"/>
        </w:rPr>
        <w:t xml:space="preserve">2、基金托管人的基金托管部门的重大人事变动：本基金托管人中国建设银行股份有限公司于2019年6月4日发布公告，聘任蔡亚蓉为资产托管业务部总经理。 </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29" w:name="_Toc374438163"/>
      <w:bookmarkStart w:id="130"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29"/>
      <w:bookmarkEnd w:id="130"/>
    </w:p>
    <w:p w:rsidP="0095029A" w:rsidR="0095029A" w:rsidRDefault="0095029A" w:rsidRPr="00690ED2">
      <w:pPr>
        <w:tabs>
          <w:tab w:pos="426" w:val="left"/>
        </w:tabs>
        <w:spacing w:before="29" w:line="288" w:lineRule="auto"/>
        <w:jc w:val="left"/>
        <w:rPr>
          <w:kern w:val="0"/>
          <w:sz w:val="24"/>
        </w:rPr>
      </w:pPr>
      <w:r w:rsidRPr="00690ED2">
        <w:rPr>
          <w:kern w:val="0"/>
          <w:sz w:val="24"/>
        </w:rPr>
        <w:t>本报告期内未发生涉及本基金管理人、基金财产、基金托管业务的诉讼事项。</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1" w:name="_Toc374438164"/>
      <w:bookmarkStart w:id="132"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31"/>
      <w:bookmarkEnd w:id="132"/>
    </w:p>
    <w:p w:rsidP="0095029A" w:rsidR="0095029A" w:rsidRDefault="0095029A" w:rsidRPr="00690ED2">
      <w:pPr>
        <w:tabs>
          <w:tab w:pos="426" w:val="left"/>
        </w:tabs>
        <w:spacing w:before="29" w:line="288" w:lineRule="auto"/>
        <w:jc w:val="left"/>
        <w:rPr>
          <w:kern w:val="0"/>
          <w:sz w:val="24"/>
        </w:rPr>
      </w:pPr>
      <w:r w:rsidRPr="00690ED2">
        <w:rPr>
          <w:kern w:val="0"/>
          <w:sz w:val="24"/>
        </w:rPr>
        <w:t>本基金本报告期内投资策略未发生改变。</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P="0095029A" w:rsidR="0095029A" w:rsidRDefault="0095029A" w:rsidRPr="00690ED2">
      <w:pPr>
        <w:tabs>
          <w:tab w:pos="426" w:val="left"/>
        </w:tabs>
        <w:spacing w:before="29" w:line="288" w:lineRule="auto"/>
        <w:jc w:val="left"/>
        <w:rPr>
          <w:kern w:val="0"/>
          <w:sz w:val="24"/>
        </w:rPr>
      </w:pPr>
      <w:r w:rsidRPr="00690ED2">
        <w:rPr>
          <w:kern w:val="0"/>
          <w:sz w:val="24"/>
        </w:rPr>
        <w:t>无。</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3" w:name="_Toc409100103"/>
      <w:bookmarkStart w:id="134"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33"/>
      <w:bookmarkEnd w:id="134"/>
    </w:p>
    <w:p w:rsidP="0095029A" w:rsidR="0095029A" w:rsidRDefault="0095029A" w:rsidRPr="00690ED2">
      <w:pPr>
        <w:tabs>
          <w:tab w:pos="426" w:val="left"/>
        </w:tabs>
        <w:spacing w:before="29" w:line="288" w:lineRule="auto"/>
        <w:jc w:val="left"/>
        <w:rPr>
          <w:kern w:val="0"/>
          <w:sz w:val="24"/>
        </w:rPr>
      </w:pPr>
      <w:bookmarkStart w:id="135" w:name="OLE_LINK3"/>
      <w:r w:rsidRPr="00690ED2">
        <w:rPr>
          <w:kern w:val="0"/>
          <w:sz w:val="24"/>
        </w:rPr>
        <w:t>本基金自基金合同生效日起聘请普华永道中天会计师事务所 (特殊普通合伙)为本基金提供审计服务。</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6" w:name="_Toc361324899"/>
      <w:bookmarkStart w:id="137" w:name="_Toc409100467"/>
      <w:bookmarkStart w:id="138" w:name="_Toc409100104"/>
      <w:bookmarkEnd w:id="135"/>
      <w:r w:rsidRPr="00690ED2">
        <w:rPr>
          <w:rFonts w:ascii="Times New Roman" w:hAnsi="Times New Roman"/>
          <w:kern w:val="0"/>
          <w:szCs w:val="24"/>
        </w:rPr>
        <w:lastRenderedPageBreak/>
        <w:t>10.7</w:t>
      </w:r>
      <w:r w:rsidRPr="00690ED2">
        <w:rPr>
          <w:rFonts w:ascii="Times New Roman" w:hAnsi="Times New Roman" w:hint="eastAsia"/>
          <w:kern w:val="0"/>
          <w:szCs w:val="24"/>
        </w:rPr>
        <w:t>管理人、托管人及其高级管理人员受稽查或处罚等情况</w:t>
      </w:r>
      <w:bookmarkEnd w:id="136"/>
      <w:bookmarkEnd w:id="137"/>
      <w:bookmarkEnd w:id="138"/>
    </w:p>
    <w:p>
      <w:pPr>
        <w:tabs>
          <w:tab w:pos="426" w:val="left"/>
        </w:tabs>
        <w:spacing w:before="29" w:line="288" w:lineRule="auto"/>
        <w:jc w:val="left"/>
        <w:rPr>
          <w:kern w:val="0"/>
          <w:sz w:val="24"/>
        </w:rPr>
      </w:pPr>
      <w:r>
        <w:rPr>
          <w:kern w:val="0"/>
          <w:sz w:val="24"/>
        </w:rPr>
        <w:t>1、管理人及其高级管理人员受稽查或处罚等情况</w:t>
      </w:r>
    </w:p>
    <w:p>
      <w:pPr>
        <w:tabs>
          <w:tab w:pos="426" w:val="left"/>
        </w:tabs>
        <w:spacing w:before="29" w:line="288" w:lineRule="auto"/>
        <w:jc w:val="left"/>
        <w:rPr>
          <w:kern w:val="0"/>
          <w:sz w:val="24"/>
        </w:rPr>
      </w:pPr>
      <w:r>
        <w:rPr>
          <w:kern w:val="0"/>
          <w:sz w:val="24"/>
        </w:rPr>
        <w:t>基金管理人及其高级管理人员本报告期内未受监管部门稽查或处罚。</w:t>
      </w:r>
    </w:p>
    <w:p>
      <w:pPr>
        <w:tabs>
          <w:tab w:pos="426" w:val="left"/>
        </w:tabs>
        <w:spacing w:before="29" w:line="288" w:lineRule="auto"/>
        <w:jc w:val="left"/>
        <w:rPr>
          <w:kern w:val="0"/>
          <w:sz w:val="24"/>
        </w:rPr>
      </w:pPr>
      <w:r>
        <w:rPr>
          <w:kern w:val="0"/>
          <w:sz w:val="24"/>
        </w:rPr>
        <w:t>2、托管人及其高级管理人员受稽查或处罚等情况</w:t>
      </w:r>
    </w:p>
    <w:p w:rsidP="0095029A" w:rsidR="0095029A" w:rsidRDefault="0095029A" w:rsidRPr="00690ED2">
      <w:pPr>
        <w:tabs>
          <w:tab w:pos="426" w:val="left"/>
        </w:tabs>
        <w:spacing w:before="29" w:line="288" w:lineRule="auto"/>
        <w:jc w:val="left"/>
        <w:rPr>
          <w:kern w:val="0"/>
          <w:sz w:val="24"/>
        </w:rPr>
      </w:pPr>
      <w:r w:rsidRPr="00690ED2">
        <w:rPr>
          <w:kern w:val="0"/>
          <w:sz w:val="24"/>
        </w:rPr>
        <w:t>基金托管人及其高级管理人员本报告期内未受监管部门稽查或处罚。</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9" w:name="_Toc409100105"/>
      <w:bookmarkStart w:id="140" w:name="_Toc409100468"/>
      <w:bookmarkStart w:id="141"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39"/>
      <w:bookmarkEnd w:id="140"/>
      <w:bookmarkEnd w:id="141"/>
    </w:p>
    <w:p w:rsidP="0095029A" w:rsidR="0095029A" w:rsidRDefault="0095029A" w:rsidRPr="00690ED2">
      <w:pPr>
        <w:tabs>
          <w:tab w:pos="426" w:val="left"/>
        </w:tabs>
        <w:spacing w:before="29" w:line="288" w:lineRule="auto"/>
        <w:jc w:val="left"/>
        <w:rPr>
          <w:b/>
          <w:kern w:val="0"/>
          <w:sz w:val="24"/>
        </w:rPr>
      </w:pPr>
      <w:bookmarkStart w:id="142" w:name="_Toc249760070"/>
      <w:r w:rsidRPr="00690ED2">
        <w:rPr>
          <w:b/>
          <w:kern w:val="0"/>
          <w:sz w:val="24"/>
        </w:rPr>
        <w:t>10.8.1</w:t>
      </w:r>
      <w:r w:rsidRPr="00690ED2">
        <w:rPr>
          <w:rFonts w:hint="eastAsia"/>
          <w:b/>
          <w:kern w:val="0"/>
          <w:sz w:val="24"/>
        </w:rPr>
        <w:t>基金租用证券公司交易单元进行股票投资及佣金支付情况</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42"/>
    </w:p>
    <w:p w:rsidP="00AC6DDA" w:rsidR="00B932B3" w:rsidRDefault="00B932B3"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559"/>
        <w:gridCol w:w="779"/>
        <w:gridCol w:w="1800"/>
        <w:gridCol w:w="1080"/>
        <w:gridCol w:w="1620"/>
        <w:gridCol w:w="1080"/>
        <w:gridCol w:w="1080"/>
      </w:tblGrid>
      <w:tr w:rsidR="001548F9" w:rsidRPr="005C672D" w:rsidTr="00494D2F">
        <w:tc>
          <w:tcPr>
            <w:tcW w:type="dxa" w:w="1560"/>
            <w:vMerge w:val="restart"/>
            <w:vAlign w:val="center"/>
          </w:tcPr>
          <w:p w:rsidP="00AC6DDA" w:rsidR="001548F9" w:rsidRDefault="001548F9" w:rsidRPr="005C672D">
            <w:pPr>
              <w:spacing w:before="29" w:line="288" w:lineRule="auto"/>
              <w:jc w:val="center"/>
              <w:rPr>
                <w:color w:val="000000"/>
                <w:sz w:val="24"/>
              </w:rPr>
            </w:pPr>
            <w:bookmarkStart w:id="143" w:name="_Toc249760071"/>
            <w:r w:rsidRPr="005C672D">
              <w:rPr>
                <w:color w:val="000000"/>
                <w:sz w:val="24"/>
              </w:rPr>
              <w:t>券商名称</w:t>
            </w:r>
            <w:r w:rsidR="00062AC1" w:rsidRPr="005C672D">
              <w:rPr>
                <w:color w:val="000000"/>
                <w:sz w:val="24"/>
              </w:rPr>
              <w:t/>
            </w:r>
          </w:p>
        </w:tc>
        <w:tc>
          <w:tcPr>
            <w:tcW w:type="dxa" w:w="78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交易单元数量</w:t>
            </w:r>
          </w:p>
        </w:tc>
        <w:tc>
          <w:tcPr>
            <w:tcW w:type="dxa" w:w="2880"/>
            <w:gridSpan w:val="2"/>
            <w:vAlign w:val="center"/>
          </w:tcPr>
          <w:p w:rsidP="00AC6DDA" w:rsidR="001548F9" w:rsidRDefault="001548F9" w:rsidRPr="005C672D">
            <w:pPr>
              <w:spacing w:before="29" w:line="288" w:lineRule="auto"/>
              <w:jc w:val="center"/>
              <w:rPr>
                <w:color w:val="000000"/>
                <w:sz w:val="24"/>
              </w:rPr>
            </w:pPr>
            <w:r w:rsidRPr="005C672D">
              <w:rPr>
                <w:color w:val="000000"/>
                <w:sz w:val="24"/>
              </w:rPr>
              <w:t>股票交易</w:t>
            </w:r>
          </w:p>
        </w:tc>
        <w:tc>
          <w:tcPr>
            <w:tcW w:type="dxa" w:w="2700"/>
            <w:gridSpan w:val="2"/>
            <w:vAlign w:val="center"/>
          </w:tcPr>
          <w:p w:rsidP="00AC6DDA" w:rsidR="001548F9" w:rsidRDefault="001548F9" w:rsidRPr="005C672D">
            <w:pPr>
              <w:spacing w:before="29" w:line="288" w:lineRule="auto"/>
              <w:jc w:val="center"/>
              <w:rPr>
                <w:color w:val="000000"/>
                <w:sz w:val="24"/>
              </w:rPr>
            </w:pPr>
            <w:r w:rsidRPr="005C672D">
              <w:rPr>
                <w:color w:val="000000"/>
                <w:sz w:val="24"/>
              </w:rPr>
              <w:t>应支付该券商的佣金</w:t>
            </w:r>
          </w:p>
        </w:tc>
        <w:tc>
          <w:tcPr>
            <w:tcW w:type="dxa" w:w="1080"/>
            <w:vMerge w:val="restart"/>
            <w:vAlign w:val="center"/>
          </w:tcPr>
          <w:p w:rsidP="00AC6DDA" w:rsidR="001548F9" w:rsidRDefault="001548F9" w:rsidRPr="005C672D">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type="dxa" w:w="9000"/>
            <w:vMerge/>
            <w:vAlign w:val="center"/>
          </w:tcPr>
          <w:p w:rsidP="00AC6DDA" w:rsidR="001548F9" w:rsidRDefault="001548F9" w:rsidRPr="005C672D">
            <w:pPr>
              <w:widowControl/>
              <w:spacing w:before="29" w:line="288" w:lineRule="auto"/>
              <w:jc w:val="left"/>
              <w:rPr>
                <w:color w:val="000000"/>
                <w:sz w:val="24"/>
              </w:rPr>
            </w:pPr>
          </w:p>
        </w:tc>
        <w:tc>
          <w:tcPr>
            <w:tcW w:type="dxa" w:w="780"/>
            <w:vMerge/>
            <w:vAlign w:val="center"/>
          </w:tcPr>
          <w:p w:rsidP="00AC6DDA" w:rsidR="001548F9" w:rsidRDefault="001548F9" w:rsidRPr="005C672D">
            <w:pPr>
              <w:widowControl/>
              <w:spacing w:before="29" w:line="288" w:lineRule="auto"/>
              <w:jc w:val="left"/>
              <w:rPr>
                <w:color w:val="000000"/>
                <w:sz w:val="24"/>
              </w:rPr>
            </w:pPr>
          </w:p>
        </w:tc>
        <w:tc>
          <w:tcPr>
            <w:tcW w:type="dxa" w:w="1800"/>
            <w:vAlign w:val="center"/>
          </w:tcPr>
          <w:p w:rsidP="00AC6DDA" w:rsidR="001548F9" w:rsidRDefault="001548F9" w:rsidRPr="005C672D">
            <w:pPr>
              <w:spacing w:before="29" w:line="288" w:lineRule="auto"/>
              <w:jc w:val="center"/>
              <w:rPr>
                <w:color w:val="000000"/>
                <w:sz w:val="24"/>
              </w:rPr>
            </w:pPr>
            <w:r w:rsidRPr="005C672D">
              <w:rPr>
                <w:color w:val="000000"/>
                <w:sz w:val="24"/>
              </w:rPr>
              <w:t>成交金额</w:t>
            </w:r>
          </w:p>
        </w:tc>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占当期股票成交总额的比例</w:t>
            </w:r>
          </w:p>
        </w:tc>
        <w:tc>
          <w:tcPr>
            <w:tcW w:type="dxa" w:w="1620"/>
            <w:vAlign w:val="center"/>
          </w:tcPr>
          <w:p w:rsidP="00AC6DDA" w:rsidR="001548F9" w:rsidRDefault="001548F9" w:rsidRPr="005C672D">
            <w:pPr>
              <w:spacing w:before="29" w:line="288" w:lineRule="auto"/>
              <w:jc w:val="center"/>
              <w:rPr>
                <w:color w:val="000000"/>
                <w:kern w:val="0"/>
                <w:sz w:val="24"/>
              </w:rPr>
            </w:pPr>
            <w:r w:rsidRPr="005C672D">
              <w:rPr>
                <w:color w:val="000000"/>
                <w:kern w:val="0"/>
                <w:sz w:val="24"/>
              </w:rPr>
              <w:t>佣金</w:t>
            </w:r>
          </w:p>
        </w:tc>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占当期佣金总量的比例</w:t>
            </w:r>
          </w:p>
        </w:tc>
        <w:tc>
          <w:tcPr>
            <w:tcW w:type="dxa" w:w="1080"/>
            <w:vMerge/>
            <w:vAlign w:val="center"/>
          </w:tcPr>
          <w:p w:rsidP="00AC6DDA" w:rsidR="001548F9" w:rsidRDefault="001548F9" w:rsidRPr="005C672D">
            <w:pPr>
              <w:widowControl/>
              <w:spacing w:before="29" w:line="288" w:lineRule="auto"/>
              <w:jc w:val="left"/>
              <w:rPr>
                <w:color w:val="000000"/>
                <w:kern w:val="0"/>
                <w:sz w:val="24"/>
              </w:rPr>
            </w:pPr>
          </w:p>
        </w:tc>
      </w:tr>
      <w:tr>
        <w:tc>
          <w:tcPr>
            <w:vAlign w:val="center"/>
          </w:tcPr>
          <w:p>
            <w:pPr>
              <w:jc w:val="center"/>
            </w:pPr>
            <w:r>
              <w:rPr>
                <w:color w:val="000000"/>
                <w:sz w:val="24"/>
              </w:rPr>
              <w:t>东方证券股份有限公司</w:t>
            </w:r>
          </w:p>
        </w:tc>
        <w:tc>
          <w:tcPr>
            <w:vAlign w:val="center"/>
          </w:tcPr>
          <w:p>
            <w:pPr>
              <w:jc w:val="center"/>
            </w:pPr>
            <w:r>
              <w:rPr>
                <w:color w:val="000000"/>
                <w:sz w:val="24"/>
              </w:rPr>
              <w:t>2</w:t>
            </w:r>
          </w:p>
        </w:tc>
        <w:tc>
          <w:tcPr>
            <w:vAlign w:val="center"/>
          </w:tcPr>
          <w:p>
            <w:pPr>
              <w:jc w:val="right"/>
            </w:pPr>
            <w:r>
              <w:rPr>
                <w:color w:val="000000"/>
                <w:sz w:val="24"/>
              </w:rPr>
              <w:t>990,839,903.99</w:t>
            </w:r>
          </w:p>
        </w:tc>
        <w:tc>
          <w:tcPr>
            <w:vAlign w:val="center"/>
          </w:tcPr>
          <w:p>
            <w:pPr>
              <w:jc w:val="right"/>
            </w:pPr>
            <w:r>
              <w:rPr>
                <w:color w:val="000000"/>
                <w:sz w:val="24"/>
              </w:rPr>
              <w:t>12.90%</w:t>
            </w:r>
          </w:p>
        </w:tc>
        <w:tc>
          <w:tcPr>
            <w:vAlign w:val="center"/>
          </w:tcPr>
          <w:p>
            <w:pPr>
              <w:jc w:val="right"/>
            </w:pPr>
            <w:r>
              <w:rPr>
                <w:color w:val="000000"/>
                <w:sz w:val="24"/>
              </w:rPr>
              <w:t>922,769.24</w:t>
            </w:r>
          </w:p>
        </w:tc>
        <w:tc>
          <w:tcPr>
            <w:vAlign w:val="center"/>
          </w:tcPr>
          <w:p>
            <w:pPr>
              <w:jc w:val="right"/>
            </w:pPr>
            <w:r>
              <w:rPr>
                <w:color w:val="000000"/>
                <w:sz w:val="24"/>
              </w:rPr>
              <w:t>12.90%</w:t>
            </w:r>
          </w:p>
        </w:tc>
        <w:tc>
          <w:tcPr>
            <w:vAlign w:val="center"/>
          </w:tcPr>
          <w:p>
            <w:pPr>
              <w:jc w:val="left"/>
            </w:pPr>
            <w:r>
              <w:rPr>
                <w:color w:val="000000"/>
                <w:sz w:val="24"/>
              </w:rPr>
              <w:t>-</w:t>
            </w:r>
          </w:p>
        </w:tc>
      </w:tr>
      <w:tr>
        <w:tc>
          <w:tcPr>
            <w:vAlign w:val="center"/>
          </w:tcPr>
          <w:p>
            <w:pPr>
              <w:jc w:val="center"/>
            </w:pPr>
            <w:r>
              <w:rPr>
                <w:color w:val="000000"/>
                <w:sz w:val="24"/>
              </w:rPr>
              <w:t>中泰证券股份有限公司</w:t>
            </w:r>
          </w:p>
        </w:tc>
        <w:tc>
          <w:tcPr>
            <w:vAlign w:val="center"/>
          </w:tcPr>
          <w:p>
            <w:pPr>
              <w:jc w:val="center"/>
            </w:pPr>
            <w:r>
              <w:rPr>
                <w:color w:val="000000"/>
                <w:sz w:val="24"/>
              </w:rPr>
              <w:t>2</w:t>
            </w:r>
          </w:p>
        </w:tc>
        <w:tc>
          <w:tcPr>
            <w:vAlign w:val="center"/>
          </w:tcPr>
          <w:p>
            <w:pPr>
              <w:jc w:val="right"/>
            </w:pPr>
            <w:r>
              <w:rPr>
                <w:color w:val="000000"/>
                <w:sz w:val="24"/>
              </w:rPr>
              <w:t>842,800,998.13</w:t>
            </w:r>
          </w:p>
        </w:tc>
        <w:tc>
          <w:tcPr>
            <w:vAlign w:val="center"/>
          </w:tcPr>
          <w:p>
            <w:pPr>
              <w:jc w:val="right"/>
            </w:pPr>
            <w:r>
              <w:rPr>
                <w:color w:val="000000"/>
                <w:sz w:val="24"/>
              </w:rPr>
              <w:t>10.97%</w:t>
            </w:r>
          </w:p>
        </w:tc>
        <w:tc>
          <w:tcPr>
            <w:vAlign w:val="center"/>
          </w:tcPr>
          <w:p>
            <w:pPr>
              <w:jc w:val="right"/>
            </w:pPr>
            <w:r>
              <w:rPr>
                <w:color w:val="000000"/>
                <w:sz w:val="24"/>
              </w:rPr>
              <w:t>784,901.95</w:t>
            </w:r>
          </w:p>
        </w:tc>
        <w:tc>
          <w:tcPr>
            <w:vAlign w:val="center"/>
          </w:tcPr>
          <w:p>
            <w:pPr>
              <w:jc w:val="right"/>
            </w:pPr>
            <w:r>
              <w:rPr>
                <w:color w:val="000000"/>
                <w:sz w:val="24"/>
              </w:rPr>
              <w:t>10.97%</w:t>
            </w:r>
          </w:p>
        </w:tc>
        <w:tc>
          <w:tcPr>
            <w:vAlign w:val="center"/>
          </w:tcPr>
          <w:p>
            <w:pPr>
              <w:jc w:val="left"/>
            </w:pPr>
            <w:r>
              <w:rPr>
                <w:color w:val="000000"/>
                <w:sz w:val="24"/>
              </w:rPr>
              <w:t>-</w:t>
            </w:r>
          </w:p>
        </w:tc>
      </w:tr>
      <w:tr>
        <w:tc>
          <w:tcPr>
            <w:vAlign w:val="center"/>
          </w:tcPr>
          <w:p>
            <w:pPr>
              <w:jc w:val="center"/>
            </w:pPr>
            <w:r>
              <w:rPr>
                <w:color w:val="000000"/>
                <w:sz w:val="24"/>
              </w:rPr>
              <w:t>方正证券股份有限公司</w:t>
            </w:r>
          </w:p>
        </w:tc>
        <w:tc>
          <w:tcPr>
            <w:vAlign w:val="center"/>
          </w:tcPr>
          <w:p>
            <w:pPr>
              <w:jc w:val="center"/>
            </w:pPr>
            <w:r>
              <w:rPr>
                <w:color w:val="000000"/>
                <w:sz w:val="24"/>
              </w:rPr>
              <w:t>1</w:t>
            </w:r>
          </w:p>
        </w:tc>
        <w:tc>
          <w:tcPr>
            <w:vAlign w:val="center"/>
          </w:tcPr>
          <w:p>
            <w:pPr>
              <w:jc w:val="right"/>
            </w:pPr>
            <w:r>
              <w:rPr>
                <w:color w:val="000000"/>
                <w:sz w:val="24"/>
              </w:rPr>
              <w:t>718,231,826.10</w:t>
            </w:r>
          </w:p>
        </w:tc>
        <w:tc>
          <w:tcPr>
            <w:vAlign w:val="center"/>
          </w:tcPr>
          <w:p>
            <w:pPr>
              <w:jc w:val="right"/>
            </w:pPr>
            <w:r>
              <w:rPr>
                <w:color w:val="000000"/>
                <w:sz w:val="24"/>
              </w:rPr>
              <w:t>9.35%</w:t>
            </w:r>
          </w:p>
        </w:tc>
        <w:tc>
          <w:tcPr>
            <w:vAlign w:val="center"/>
          </w:tcPr>
          <w:p>
            <w:pPr>
              <w:jc w:val="right"/>
            </w:pPr>
            <w:r>
              <w:rPr>
                <w:color w:val="000000"/>
                <w:sz w:val="24"/>
              </w:rPr>
              <w:t>668,889.92</w:t>
            </w:r>
          </w:p>
        </w:tc>
        <w:tc>
          <w:tcPr>
            <w:vAlign w:val="center"/>
          </w:tcPr>
          <w:p>
            <w:pPr>
              <w:jc w:val="right"/>
            </w:pPr>
            <w:r>
              <w:rPr>
                <w:color w:val="000000"/>
                <w:sz w:val="24"/>
              </w:rPr>
              <w:t>9.35%</w:t>
            </w:r>
          </w:p>
        </w:tc>
        <w:tc>
          <w:tcPr>
            <w:vAlign w:val="center"/>
          </w:tcPr>
          <w:p>
            <w:pPr>
              <w:jc w:val="left"/>
            </w:pPr>
            <w:r>
              <w:rPr>
                <w:color w:val="000000"/>
                <w:sz w:val="24"/>
              </w:rPr>
              <w:t>-</w:t>
            </w:r>
          </w:p>
        </w:tc>
      </w:tr>
      <w:tr>
        <w:tc>
          <w:tcPr>
            <w:vAlign w:val="center"/>
          </w:tcPr>
          <w:p>
            <w:pPr>
              <w:jc w:val="center"/>
            </w:pPr>
            <w:r>
              <w:rPr>
                <w:color w:val="000000"/>
                <w:sz w:val="24"/>
              </w:rPr>
              <w:t>中信建投证券股份有限公司</w:t>
            </w:r>
          </w:p>
        </w:tc>
        <w:tc>
          <w:tcPr>
            <w:vAlign w:val="center"/>
          </w:tcPr>
          <w:p>
            <w:pPr>
              <w:jc w:val="center"/>
            </w:pPr>
            <w:r>
              <w:rPr>
                <w:color w:val="000000"/>
                <w:sz w:val="24"/>
              </w:rPr>
              <w:t>2</w:t>
            </w:r>
          </w:p>
        </w:tc>
        <w:tc>
          <w:tcPr>
            <w:vAlign w:val="center"/>
          </w:tcPr>
          <w:p>
            <w:pPr>
              <w:jc w:val="right"/>
            </w:pPr>
            <w:r>
              <w:rPr>
                <w:color w:val="000000"/>
                <w:sz w:val="24"/>
              </w:rPr>
              <w:t>593,365,457.29</w:t>
            </w:r>
          </w:p>
        </w:tc>
        <w:tc>
          <w:tcPr>
            <w:vAlign w:val="center"/>
          </w:tcPr>
          <w:p>
            <w:pPr>
              <w:jc w:val="right"/>
            </w:pPr>
            <w:r>
              <w:rPr>
                <w:color w:val="000000"/>
                <w:sz w:val="24"/>
              </w:rPr>
              <w:t>7.72%</w:t>
            </w:r>
          </w:p>
        </w:tc>
        <w:tc>
          <w:tcPr>
            <w:vAlign w:val="center"/>
          </w:tcPr>
          <w:p>
            <w:pPr>
              <w:jc w:val="right"/>
            </w:pPr>
            <w:r>
              <w:rPr>
                <w:color w:val="000000"/>
                <w:sz w:val="24"/>
              </w:rPr>
              <w:t>553,588.66</w:t>
            </w:r>
          </w:p>
        </w:tc>
        <w:tc>
          <w:tcPr>
            <w:vAlign w:val="center"/>
          </w:tcPr>
          <w:p>
            <w:pPr>
              <w:jc w:val="right"/>
            </w:pPr>
            <w:r>
              <w:rPr>
                <w:color w:val="000000"/>
                <w:sz w:val="24"/>
              </w:rPr>
              <w:t>7.74%</w:t>
            </w:r>
          </w:p>
        </w:tc>
        <w:tc>
          <w:tcPr>
            <w:vAlign w:val="center"/>
          </w:tcPr>
          <w:p>
            <w:pPr>
              <w:jc w:val="left"/>
            </w:pPr>
            <w:r>
              <w:rPr>
                <w:color w:val="000000"/>
                <w:sz w:val="24"/>
              </w:rPr>
              <w:t>-</w:t>
            </w:r>
          </w:p>
        </w:tc>
      </w:tr>
      <w:tr>
        <w:tc>
          <w:tcPr>
            <w:vAlign w:val="center"/>
          </w:tcPr>
          <w:p>
            <w:pPr>
              <w:jc w:val="center"/>
            </w:pPr>
            <w:r>
              <w:rPr>
                <w:color w:val="000000"/>
                <w:sz w:val="24"/>
              </w:rPr>
              <w:t>中信证券股份有限公司</w:t>
            </w:r>
          </w:p>
        </w:tc>
        <w:tc>
          <w:tcPr>
            <w:vAlign w:val="center"/>
          </w:tcPr>
          <w:p>
            <w:pPr>
              <w:jc w:val="center"/>
            </w:pPr>
            <w:r>
              <w:rPr>
                <w:color w:val="000000"/>
                <w:sz w:val="24"/>
              </w:rPr>
              <w:t>1</w:t>
            </w:r>
          </w:p>
        </w:tc>
        <w:tc>
          <w:tcPr>
            <w:vAlign w:val="center"/>
          </w:tcPr>
          <w:p>
            <w:pPr>
              <w:jc w:val="right"/>
            </w:pPr>
            <w:r>
              <w:rPr>
                <w:color w:val="000000"/>
                <w:sz w:val="24"/>
              </w:rPr>
              <w:t>428,361,509.33</w:t>
            </w:r>
          </w:p>
        </w:tc>
        <w:tc>
          <w:tcPr>
            <w:vAlign w:val="center"/>
          </w:tcPr>
          <w:p>
            <w:pPr>
              <w:jc w:val="right"/>
            </w:pPr>
            <w:r>
              <w:rPr>
                <w:color w:val="000000"/>
                <w:sz w:val="24"/>
              </w:rPr>
              <w:t>5.58%</w:t>
            </w:r>
          </w:p>
        </w:tc>
        <w:tc>
          <w:tcPr>
            <w:vAlign w:val="center"/>
          </w:tcPr>
          <w:p>
            <w:pPr>
              <w:jc w:val="right"/>
            </w:pPr>
            <w:r>
              <w:rPr>
                <w:color w:val="000000"/>
                <w:sz w:val="24"/>
              </w:rPr>
              <w:t>398,933.00</w:t>
            </w:r>
          </w:p>
        </w:tc>
        <w:tc>
          <w:tcPr>
            <w:vAlign w:val="center"/>
          </w:tcPr>
          <w:p>
            <w:pPr>
              <w:jc w:val="right"/>
            </w:pPr>
            <w:r>
              <w:rPr>
                <w:color w:val="000000"/>
                <w:sz w:val="24"/>
              </w:rPr>
              <w:t>5.57%</w:t>
            </w:r>
          </w:p>
        </w:tc>
        <w:tc>
          <w:tcPr>
            <w:vAlign w:val="center"/>
          </w:tcPr>
          <w:p>
            <w:pPr>
              <w:jc w:val="left"/>
            </w:pPr>
            <w:r>
              <w:rPr>
                <w:color w:val="000000"/>
                <w:sz w:val="24"/>
              </w:rPr>
              <w:t>-</w:t>
            </w:r>
          </w:p>
        </w:tc>
      </w:tr>
      <w:tr>
        <w:tc>
          <w:tcPr>
            <w:vAlign w:val="center"/>
          </w:tcPr>
          <w:p>
            <w:pPr>
              <w:jc w:val="center"/>
            </w:pPr>
            <w:r>
              <w:rPr>
                <w:color w:val="000000"/>
                <w:sz w:val="24"/>
              </w:rPr>
              <w:t>东吴证券股份有限公司</w:t>
            </w:r>
          </w:p>
        </w:tc>
        <w:tc>
          <w:tcPr>
            <w:vAlign w:val="center"/>
          </w:tcPr>
          <w:p>
            <w:pPr>
              <w:jc w:val="center"/>
            </w:pPr>
            <w:r>
              <w:rPr>
                <w:color w:val="000000"/>
                <w:sz w:val="24"/>
              </w:rPr>
              <w:t>1</w:t>
            </w:r>
          </w:p>
        </w:tc>
        <w:tc>
          <w:tcPr>
            <w:vAlign w:val="center"/>
          </w:tcPr>
          <w:p>
            <w:pPr>
              <w:jc w:val="right"/>
            </w:pPr>
            <w:r>
              <w:rPr>
                <w:color w:val="000000"/>
                <w:sz w:val="24"/>
              </w:rPr>
              <w:t>370,798,388.17</w:t>
            </w:r>
          </w:p>
        </w:tc>
        <w:tc>
          <w:tcPr>
            <w:vAlign w:val="center"/>
          </w:tcPr>
          <w:p>
            <w:pPr>
              <w:jc w:val="right"/>
            </w:pPr>
            <w:r>
              <w:rPr>
                <w:color w:val="000000"/>
                <w:sz w:val="24"/>
              </w:rPr>
              <w:t>4.83%</w:t>
            </w:r>
          </w:p>
        </w:tc>
        <w:tc>
          <w:tcPr>
            <w:vAlign w:val="center"/>
          </w:tcPr>
          <w:p>
            <w:pPr>
              <w:jc w:val="right"/>
            </w:pPr>
            <w:r>
              <w:rPr>
                <w:color w:val="000000"/>
                <w:sz w:val="24"/>
              </w:rPr>
              <w:t>345,325.83</w:t>
            </w:r>
          </w:p>
        </w:tc>
        <w:tc>
          <w:tcPr>
            <w:vAlign w:val="center"/>
          </w:tcPr>
          <w:p>
            <w:pPr>
              <w:jc w:val="right"/>
            </w:pPr>
            <w:r>
              <w:rPr>
                <w:color w:val="000000"/>
                <w:sz w:val="24"/>
              </w:rPr>
              <w:t>4.83%</w:t>
            </w:r>
          </w:p>
        </w:tc>
        <w:tc>
          <w:tcPr>
            <w:vAlign w:val="center"/>
          </w:tcPr>
          <w:p>
            <w:pPr>
              <w:jc w:val="left"/>
            </w:pPr>
            <w:r>
              <w:rPr>
                <w:color w:val="000000"/>
                <w:sz w:val="24"/>
              </w:rPr>
              <w:t>-</w:t>
            </w:r>
          </w:p>
        </w:tc>
      </w:tr>
      <w:tr>
        <w:tc>
          <w:tcPr>
            <w:vAlign w:val="center"/>
          </w:tcPr>
          <w:p>
            <w:pPr>
              <w:jc w:val="center"/>
            </w:pPr>
            <w:r>
              <w:rPr>
                <w:color w:val="000000"/>
                <w:sz w:val="24"/>
              </w:rPr>
              <w:t>长城证券股份有限公司</w:t>
            </w:r>
          </w:p>
        </w:tc>
        <w:tc>
          <w:tcPr>
            <w:vAlign w:val="center"/>
          </w:tcPr>
          <w:p>
            <w:pPr>
              <w:jc w:val="center"/>
            </w:pPr>
            <w:r>
              <w:rPr>
                <w:color w:val="000000"/>
                <w:sz w:val="24"/>
              </w:rPr>
              <w:t>1</w:t>
            </w:r>
          </w:p>
        </w:tc>
        <w:tc>
          <w:tcPr>
            <w:vAlign w:val="center"/>
          </w:tcPr>
          <w:p>
            <w:pPr>
              <w:jc w:val="right"/>
            </w:pPr>
            <w:r>
              <w:rPr>
                <w:color w:val="000000"/>
                <w:sz w:val="24"/>
              </w:rPr>
              <w:t>369,417,581.56</w:t>
            </w:r>
          </w:p>
        </w:tc>
        <w:tc>
          <w:tcPr>
            <w:vAlign w:val="center"/>
          </w:tcPr>
          <w:p>
            <w:pPr>
              <w:jc w:val="right"/>
            </w:pPr>
            <w:r>
              <w:rPr>
                <w:color w:val="000000"/>
                <w:sz w:val="24"/>
              </w:rPr>
              <w:t>4.81%</w:t>
            </w:r>
          </w:p>
        </w:tc>
        <w:tc>
          <w:tcPr>
            <w:vAlign w:val="center"/>
          </w:tcPr>
          <w:p>
            <w:pPr>
              <w:jc w:val="right"/>
            </w:pPr>
            <w:r>
              <w:rPr>
                <w:color w:val="000000"/>
                <w:sz w:val="24"/>
              </w:rPr>
              <w:t>344,039.55</w:t>
            </w:r>
          </w:p>
        </w:tc>
        <w:tc>
          <w:tcPr>
            <w:vAlign w:val="center"/>
          </w:tcPr>
          <w:p>
            <w:pPr>
              <w:jc w:val="right"/>
            </w:pPr>
            <w:r>
              <w:rPr>
                <w:color w:val="000000"/>
                <w:sz w:val="24"/>
              </w:rPr>
              <w:t>4.81%</w:t>
            </w:r>
          </w:p>
        </w:tc>
        <w:tc>
          <w:tcPr>
            <w:vAlign w:val="center"/>
          </w:tcPr>
          <w:p>
            <w:pPr>
              <w:jc w:val="left"/>
            </w:pPr>
            <w:r>
              <w:rPr>
                <w:color w:val="000000"/>
                <w:sz w:val="24"/>
              </w:rPr>
              <w:t>-</w:t>
            </w:r>
          </w:p>
        </w:tc>
      </w:tr>
      <w:tr>
        <w:tc>
          <w:tcPr>
            <w:vAlign w:val="center"/>
          </w:tcPr>
          <w:p>
            <w:pPr>
              <w:jc w:val="center"/>
            </w:pPr>
            <w:r>
              <w:rPr>
                <w:color w:val="000000"/>
                <w:sz w:val="24"/>
              </w:rPr>
              <w:t>招商证券股份有限公司</w:t>
            </w:r>
          </w:p>
        </w:tc>
        <w:tc>
          <w:tcPr>
            <w:vAlign w:val="center"/>
          </w:tcPr>
          <w:p>
            <w:pPr>
              <w:jc w:val="center"/>
            </w:pPr>
            <w:r>
              <w:rPr>
                <w:color w:val="000000"/>
                <w:sz w:val="24"/>
              </w:rPr>
              <w:t>1</w:t>
            </w:r>
          </w:p>
        </w:tc>
        <w:tc>
          <w:tcPr>
            <w:vAlign w:val="center"/>
          </w:tcPr>
          <w:p>
            <w:pPr>
              <w:jc w:val="right"/>
            </w:pPr>
            <w:r>
              <w:rPr>
                <w:color w:val="000000"/>
                <w:sz w:val="24"/>
              </w:rPr>
              <w:t>353,556,847.95</w:t>
            </w:r>
          </w:p>
        </w:tc>
        <w:tc>
          <w:tcPr>
            <w:vAlign w:val="center"/>
          </w:tcPr>
          <w:p>
            <w:pPr>
              <w:jc w:val="right"/>
            </w:pPr>
            <w:r>
              <w:rPr>
                <w:color w:val="000000"/>
                <w:sz w:val="24"/>
              </w:rPr>
              <w:t>4.60%</w:t>
            </w:r>
          </w:p>
        </w:tc>
        <w:tc>
          <w:tcPr>
            <w:vAlign w:val="center"/>
          </w:tcPr>
          <w:p>
            <w:pPr>
              <w:jc w:val="right"/>
            </w:pPr>
            <w:r>
              <w:rPr>
                <w:color w:val="000000"/>
                <w:sz w:val="24"/>
              </w:rPr>
              <w:t>329,266.93</w:t>
            </w:r>
          </w:p>
        </w:tc>
        <w:tc>
          <w:tcPr>
            <w:vAlign w:val="center"/>
          </w:tcPr>
          <w:p>
            <w:pPr>
              <w:jc w:val="right"/>
            </w:pPr>
            <w:r>
              <w:rPr>
                <w:color w:val="000000"/>
                <w:sz w:val="24"/>
              </w:rPr>
              <w:t>4.60%</w:t>
            </w:r>
          </w:p>
        </w:tc>
        <w:tc>
          <w:tcPr>
            <w:vAlign w:val="center"/>
          </w:tcPr>
          <w:p>
            <w:pPr>
              <w:jc w:val="left"/>
            </w:pPr>
            <w:r>
              <w:rPr>
                <w:color w:val="000000"/>
                <w:sz w:val="24"/>
              </w:rPr>
              <w:t>-</w:t>
            </w:r>
          </w:p>
        </w:tc>
      </w:tr>
      <w:tr>
        <w:tc>
          <w:tcPr>
            <w:vAlign w:val="center"/>
          </w:tcPr>
          <w:p>
            <w:pPr>
              <w:jc w:val="center"/>
            </w:pPr>
            <w:r>
              <w:rPr>
                <w:color w:val="000000"/>
                <w:sz w:val="24"/>
              </w:rPr>
              <w:t>国信证券股份有限公司</w:t>
            </w:r>
          </w:p>
        </w:tc>
        <w:tc>
          <w:tcPr>
            <w:vAlign w:val="center"/>
          </w:tcPr>
          <w:p>
            <w:pPr>
              <w:jc w:val="center"/>
            </w:pPr>
            <w:r>
              <w:rPr>
                <w:color w:val="000000"/>
                <w:sz w:val="24"/>
              </w:rPr>
              <w:t>1</w:t>
            </w:r>
          </w:p>
        </w:tc>
        <w:tc>
          <w:tcPr>
            <w:vAlign w:val="center"/>
          </w:tcPr>
          <w:p>
            <w:pPr>
              <w:jc w:val="right"/>
            </w:pPr>
            <w:r>
              <w:rPr>
                <w:color w:val="000000"/>
                <w:sz w:val="24"/>
              </w:rPr>
              <w:t>353,215,282.20</w:t>
            </w:r>
          </w:p>
        </w:tc>
        <w:tc>
          <w:tcPr>
            <w:vAlign w:val="center"/>
          </w:tcPr>
          <w:p>
            <w:pPr>
              <w:jc w:val="right"/>
            </w:pPr>
            <w:r>
              <w:rPr>
                <w:color w:val="000000"/>
                <w:sz w:val="24"/>
              </w:rPr>
              <w:t>4.60%</w:t>
            </w:r>
          </w:p>
        </w:tc>
        <w:tc>
          <w:tcPr>
            <w:vAlign w:val="center"/>
          </w:tcPr>
          <w:p>
            <w:pPr>
              <w:jc w:val="right"/>
            </w:pPr>
            <w:r>
              <w:rPr>
                <w:color w:val="000000"/>
                <w:sz w:val="24"/>
              </w:rPr>
              <w:t>328,948.20</w:t>
            </w:r>
          </w:p>
        </w:tc>
        <w:tc>
          <w:tcPr>
            <w:vAlign w:val="center"/>
          </w:tcPr>
          <w:p>
            <w:pPr>
              <w:jc w:val="right"/>
            </w:pPr>
            <w:r>
              <w:rPr>
                <w:color w:val="000000"/>
                <w:sz w:val="24"/>
              </w:rPr>
              <w:t>4.60%</w:t>
            </w:r>
          </w:p>
        </w:tc>
        <w:tc>
          <w:tcPr>
            <w:vAlign w:val="center"/>
          </w:tcPr>
          <w:p>
            <w:pPr>
              <w:jc w:val="left"/>
            </w:pPr>
            <w:r>
              <w:rPr>
                <w:color w:val="000000"/>
                <w:sz w:val="24"/>
              </w:rPr>
              <w:t>-</w:t>
            </w:r>
          </w:p>
        </w:tc>
      </w:tr>
      <w:tr>
        <w:tc>
          <w:tcPr>
            <w:vAlign w:val="center"/>
          </w:tcPr>
          <w:p>
            <w:pPr>
              <w:jc w:val="center"/>
            </w:pPr>
            <w:r>
              <w:rPr>
                <w:color w:val="000000"/>
                <w:sz w:val="24"/>
              </w:rPr>
              <w:t>西南证券股份有限公司</w:t>
            </w:r>
          </w:p>
        </w:tc>
        <w:tc>
          <w:tcPr>
            <w:vAlign w:val="center"/>
          </w:tcPr>
          <w:p>
            <w:pPr>
              <w:jc w:val="center"/>
            </w:pPr>
            <w:r>
              <w:rPr>
                <w:color w:val="000000"/>
                <w:sz w:val="24"/>
              </w:rPr>
              <w:t>1</w:t>
            </w:r>
          </w:p>
        </w:tc>
        <w:tc>
          <w:tcPr>
            <w:vAlign w:val="center"/>
          </w:tcPr>
          <w:p>
            <w:pPr>
              <w:jc w:val="right"/>
            </w:pPr>
            <w:r>
              <w:rPr>
                <w:color w:val="000000"/>
                <w:sz w:val="24"/>
              </w:rPr>
              <w:t>328,652,171.66</w:t>
            </w:r>
          </w:p>
        </w:tc>
        <w:tc>
          <w:tcPr>
            <w:vAlign w:val="center"/>
          </w:tcPr>
          <w:p>
            <w:pPr>
              <w:jc w:val="right"/>
            </w:pPr>
            <w:r>
              <w:rPr>
                <w:color w:val="000000"/>
                <w:sz w:val="24"/>
              </w:rPr>
              <w:t>4.28%</w:t>
            </w:r>
          </w:p>
        </w:tc>
        <w:tc>
          <w:tcPr>
            <w:vAlign w:val="center"/>
          </w:tcPr>
          <w:p>
            <w:pPr>
              <w:jc w:val="right"/>
            </w:pPr>
            <w:r>
              <w:rPr>
                <w:color w:val="000000"/>
                <w:sz w:val="24"/>
              </w:rPr>
              <w:t>306,073.91</w:t>
            </w:r>
          </w:p>
        </w:tc>
        <w:tc>
          <w:tcPr>
            <w:vAlign w:val="center"/>
          </w:tcPr>
          <w:p>
            <w:pPr>
              <w:jc w:val="right"/>
            </w:pPr>
            <w:r>
              <w:rPr>
                <w:color w:val="000000"/>
                <w:sz w:val="24"/>
              </w:rPr>
              <w:t>4.28%</w:t>
            </w:r>
          </w:p>
        </w:tc>
        <w:tc>
          <w:tcPr>
            <w:vAlign w:val="center"/>
          </w:tcPr>
          <w:p>
            <w:pPr>
              <w:jc w:val="left"/>
            </w:pPr>
            <w:r>
              <w:rPr>
                <w:color w:val="000000"/>
                <w:sz w:val="24"/>
              </w:rPr>
              <w:t>-</w:t>
            </w:r>
          </w:p>
        </w:tc>
      </w:tr>
      <w:tr>
        <w:tc>
          <w:tcPr>
            <w:vAlign w:val="center"/>
          </w:tcPr>
          <w:p>
            <w:pPr>
              <w:jc w:val="center"/>
            </w:pPr>
            <w:r>
              <w:rPr>
                <w:color w:val="000000"/>
                <w:sz w:val="24"/>
              </w:rPr>
              <w:t>中国银河证券股份有限公司</w:t>
            </w:r>
          </w:p>
        </w:tc>
        <w:tc>
          <w:tcPr>
            <w:vAlign w:val="center"/>
          </w:tcPr>
          <w:p>
            <w:pPr>
              <w:jc w:val="center"/>
            </w:pPr>
            <w:r>
              <w:rPr>
                <w:color w:val="000000"/>
                <w:sz w:val="24"/>
              </w:rPr>
              <w:t>2</w:t>
            </w:r>
          </w:p>
        </w:tc>
        <w:tc>
          <w:tcPr>
            <w:vAlign w:val="center"/>
          </w:tcPr>
          <w:p>
            <w:pPr>
              <w:jc w:val="right"/>
            </w:pPr>
            <w:r>
              <w:rPr>
                <w:color w:val="000000"/>
                <w:sz w:val="24"/>
              </w:rPr>
              <w:t>133,728,016.89</w:t>
            </w:r>
          </w:p>
        </w:tc>
        <w:tc>
          <w:tcPr>
            <w:vAlign w:val="center"/>
          </w:tcPr>
          <w:p>
            <w:pPr>
              <w:jc w:val="right"/>
            </w:pPr>
            <w:r>
              <w:rPr>
                <w:color w:val="000000"/>
                <w:sz w:val="24"/>
              </w:rPr>
              <w:t>1.74%</w:t>
            </w:r>
          </w:p>
        </w:tc>
        <w:tc>
          <w:tcPr>
            <w:vAlign w:val="center"/>
          </w:tcPr>
          <w:p>
            <w:pPr>
              <w:jc w:val="right"/>
            </w:pPr>
            <w:r>
              <w:rPr>
                <w:color w:val="000000"/>
                <w:sz w:val="24"/>
              </w:rPr>
              <w:t>124,540.44</w:t>
            </w:r>
          </w:p>
        </w:tc>
        <w:tc>
          <w:tcPr>
            <w:vAlign w:val="center"/>
          </w:tcPr>
          <w:p>
            <w:pPr>
              <w:jc w:val="right"/>
            </w:pPr>
            <w:r>
              <w:rPr>
                <w:color w:val="000000"/>
                <w:sz w:val="24"/>
              </w:rPr>
              <w:t>1.74%</w:t>
            </w:r>
          </w:p>
        </w:tc>
        <w:tc>
          <w:tcPr>
            <w:vAlign w:val="center"/>
          </w:tcPr>
          <w:p>
            <w:pPr>
              <w:jc w:val="left"/>
            </w:pPr>
            <w:r>
              <w:rPr>
                <w:color w:val="000000"/>
                <w:sz w:val="24"/>
              </w:rPr>
              <w:t>-</w:t>
            </w:r>
          </w:p>
        </w:tc>
      </w:tr>
      <w:tr>
        <w:tc>
          <w:tcPr>
            <w:vAlign w:val="center"/>
          </w:tcPr>
          <w:p>
            <w:pPr>
              <w:jc w:val="center"/>
            </w:pPr>
            <w:r>
              <w:rPr>
                <w:color w:val="000000"/>
                <w:sz w:val="24"/>
              </w:rPr>
              <w:t>川财证券有限责任公司</w:t>
            </w:r>
          </w:p>
        </w:tc>
        <w:tc>
          <w:tcPr>
            <w:vAlign w:val="center"/>
          </w:tcPr>
          <w:p>
            <w:pPr>
              <w:jc w:val="center"/>
            </w:pPr>
            <w:r>
              <w:rPr>
                <w:color w:val="000000"/>
                <w:sz w:val="24"/>
              </w:rPr>
              <w:t>1</w:t>
            </w:r>
          </w:p>
        </w:tc>
        <w:tc>
          <w:tcPr>
            <w:vAlign w:val="center"/>
          </w:tcPr>
          <w:p>
            <w:pPr>
              <w:jc w:val="right"/>
            </w:pPr>
            <w:r>
              <w:rPr>
                <w:color w:val="000000"/>
                <w:sz w:val="24"/>
              </w:rPr>
              <w:t>111,858,181.43</w:t>
            </w:r>
          </w:p>
        </w:tc>
        <w:tc>
          <w:tcPr>
            <w:vAlign w:val="center"/>
          </w:tcPr>
          <w:p>
            <w:pPr>
              <w:jc w:val="right"/>
            </w:pPr>
            <w:r>
              <w:rPr>
                <w:color w:val="000000"/>
                <w:sz w:val="24"/>
              </w:rPr>
              <w:t>1.46%</w:t>
            </w:r>
          </w:p>
        </w:tc>
        <w:tc>
          <w:tcPr>
            <w:vAlign w:val="center"/>
          </w:tcPr>
          <w:p>
            <w:pPr>
              <w:jc w:val="right"/>
            </w:pPr>
            <w:r>
              <w:rPr>
                <w:color w:val="000000"/>
                <w:sz w:val="24"/>
              </w:rPr>
              <w:t>104,174.11</w:t>
            </w:r>
          </w:p>
        </w:tc>
        <w:tc>
          <w:tcPr>
            <w:vAlign w:val="center"/>
          </w:tcPr>
          <w:p>
            <w:pPr>
              <w:jc w:val="right"/>
            </w:pPr>
            <w:r>
              <w:rPr>
                <w:color w:val="000000"/>
                <w:sz w:val="24"/>
              </w:rPr>
              <w:t>1.46%</w:t>
            </w:r>
          </w:p>
        </w:tc>
        <w:tc>
          <w:tcPr>
            <w:vAlign w:val="center"/>
          </w:tcPr>
          <w:p>
            <w:pPr>
              <w:jc w:val="left"/>
            </w:pPr>
            <w:r>
              <w:rPr>
                <w:color w:val="000000"/>
                <w:sz w:val="24"/>
              </w:rPr>
              <w:t>-</w:t>
            </w:r>
          </w:p>
        </w:tc>
      </w:tr>
      <w:tr>
        <w:tc>
          <w:tcPr>
            <w:vAlign w:val="center"/>
          </w:tcPr>
          <w:p>
            <w:pPr>
              <w:jc w:val="center"/>
            </w:pPr>
            <w:r>
              <w:rPr>
                <w:color w:val="000000"/>
                <w:sz w:val="24"/>
              </w:rPr>
              <w:t>国泰君安证券股份有限公司</w:t>
            </w:r>
          </w:p>
        </w:tc>
        <w:tc>
          <w:tcPr>
            <w:vAlign w:val="center"/>
          </w:tcPr>
          <w:p>
            <w:pPr>
              <w:jc w:val="center"/>
            </w:pPr>
            <w:r>
              <w:rPr>
                <w:color w:val="000000"/>
                <w:sz w:val="24"/>
              </w:rPr>
              <w:t>1</w:t>
            </w:r>
          </w:p>
        </w:tc>
        <w:tc>
          <w:tcPr>
            <w:vAlign w:val="center"/>
          </w:tcPr>
          <w:p>
            <w:pPr>
              <w:jc w:val="right"/>
            </w:pPr>
            <w:r>
              <w:rPr>
                <w:color w:val="000000"/>
                <w:sz w:val="24"/>
              </w:rPr>
              <w:t>1,054,126,956.03</w:t>
            </w:r>
          </w:p>
        </w:tc>
        <w:tc>
          <w:tcPr>
            <w:vAlign w:val="center"/>
          </w:tcPr>
          <w:p>
            <w:pPr>
              <w:jc w:val="right"/>
            </w:pPr>
            <w:r>
              <w:rPr>
                <w:color w:val="000000"/>
                <w:sz w:val="24"/>
              </w:rPr>
              <w:t>13.72%</w:t>
            </w:r>
          </w:p>
        </w:tc>
        <w:tc>
          <w:tcPr>
            <w:vAlign w:val="center"/>
          </w:tcPr>
          <w:p>
            <w:pPr>
              <w:jc w:val="right"/>
            </w:pPr>
            <w:r>
              <w:rPr>
                <w:color w:val="000000"/>
                <w:sz w:val="24"/>
              </w:rPr>
              <w:t>981,705.17</w:t>
            </w:r>
          </w:p>
        </w:tc>
        <w:tc>
          <w:tcPr>
            <w:vAlign w:val="center"/>
          </w:tcPr>
          <w:p>
            <w:pPr>
              <w:jc w:val="right"/>
            </w:pPr>
            <w:r>
              <w:rPr>
                <w:color w:val="000000"/>
                <w:sz w:val="24"/>
              </w:rPr>
              <w:t>13.72%</w:t>
            </w:r>
          </w:p>
        </w:tc>
        <w:tc>
          <w:tcPr>
            <w:vAlign w:val="center"/>
          </w:tcPr>
          <w:p>
            <w:pPr>
              <w:jc w:val="left"/>
            </w:pPr>
            <w:r>
              <w:rPr>
                <w:color w:val="000000"/>
                <w:sz w:val="24"/>
              </w:rPr>
              <w:t>-</w:t>
            </w:r>
          </w:p>
        </w:tc>
      </w:tr>
      <w:tr>
        <w:tc>
          <w:tcPr>
            <w:vAlign w:val="center"/>
          </w:tcPr>
          <w:p>
            <w:pPr>
              <w:jc w:val="center"/>
            </w:pPr>
            <w:r>
              <w:rPr>
                <w:color w:val="000000"/>
                <w:sz w:val="24"/>
              </w:rPr>
              <w:t>申万宏源证券有限公司</w:t>
            </w:r>
          </w:p>
        </w:tc>
        <w:tc>
          <w:tcPr>
            <w:vAlign w:val="center"/>
          </w:tcPr>
          <w:p>
            <w:pPr>
              <w:jc w:val="center"/>
            </w:pPr>
            <w:r>
              <w:rPr>
                <w:color w:val="000000"/>
                <w:sz w:val="24"/>
              </w:rPr>
              <w:t>1</w:t>
            </w:r>
          </w:p>
        </w:tc>
        <w:tc>
          <w:tcPr>
            <w:vAlign w:val="center"/>
          </w:tcPr>
          <w:p>
            <w:pPr>
              <w:jc w:val="right"/>
            </w:pPr>
            <w:r>
              <w:rPr>
                <w:color w:val="000000"/>
                <w:sz w:val="24"/>
              </w:rPr>
              <w:t>1,033,691,412.08</w:t>
            </w:r>
          </w:p>
        </w:tc>
        <w:tc>
          <w:tcPr>
            <w:vAlign w:val="center"/>
          </w:tcPr>
          <w:p>
            <w:pPr>
              <w:jc w:val="right"/>
            </w:pPr>
            <w:r>
              <w:rPr>
                <w:color w:val="000000"/>
                <w:sz w:val="24"/>
              </w:rPr>
              <w:t>13.45%</w:t>
            </w:r>
          </w:p>
        </w:tc>
        <w:tc>
          <w:tcPr>
            <w:vAlign w:val="center"/>
          </w:tcPr>
          <w:p>
            <w:pPr>
              <w:jc w:val="right"/>
            </w:pPr>
            <w:r>
              <w:rPr>
                <w:color w:val="000000"/>
                <w:sz w:val="24"/>
              </w:rPr>
              <w:t>962,674.30</w:t>
            </w:r>
          </w:p>
        </w:tc>
        <w:tc>
          <w:tcPr>
            <w:vAlign w:val="center"/>
          </w:tcPr>
          <w:p>
            <w:pPr>
              <w:jc w:val="right"/>
            </w:pPr>
            <w:r>
              <w:rPr>
                <w:color w:val="000000"/>
                <w:sz w:val="24"/>
              </w:rPr>
              <w:t>13.45%</w:t>
            </w:r>
          </w:p>
        </w:tc>
        <w:tc>
          <w:tcPr>
            <w:vAlign w:val="center"/>
          </w:tcPr>
          <w:p>
            <w:pPr>
              <w:jc w:val="left"/>
            </w:pPr>
            <w:r>
              <w:rPr>
                <w:color w:val="000000"/>
                <w:sz w:val="24"/>
              </w:rPr>
              <w:t>-</w:t>
            </w:r>
          </w:p>
        </w:tc>
      </w:tr>
      <w:tr>
        <w:tc>
          <w:tcPr>
            <w:vAlign w:val="center"/>
          </w:tcPr>
          <w:p>
            <w:pPr>
              <w:jc w:val="center"/>
            </w:pPr>
            <w:r>
              <w:rPr>
                <w:color w:val="000000"/>
                <w:sz w:val="24"/>
              </w:rPr>
              <w:t>北京高华证券有限责任公司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国金证券股份有限公司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国联证券股份有限公司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华创证券有限责任公司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上海华信证券有限责任公司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西部证券股份有限公司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兴业证券股份有限公司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中国国际金融股份有限公司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第一创业证券股份有限公司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瑞银证券有限责任公司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bl>
    <w:p>
      <w:pPr>
        <w:tabs>
          <w:tab w:pos="426" w:val="left"/>
        </w:tabs>
        <w:spacing w:before="29" w:line="288" w:lineRule="auto"/>
        <w:jc w:val="left"/>
        <w:rPr>
          <w:kern w:val="0"/>
          <w:sz w:val="24"/>
        </w:rPr>
      </w:pPr>
      <w:r>
        <w:rPr>
          <w:kern w:val="0"/>
          <w:sz w:val="24"/>
        </w:rPr>
        <w:t>注：1、报告期内，本基金交易单元未发生变化；</w:t>
      </w:r>
    </w:p>
    <w:p>
      <w:pPr>
        <w:tabs>
          <w:tab w:pos="426" w:val="left"/>
        </w:tabs>
        <w:spacing w:before="29" w:line="288" w:lineRule="auto"/>
        <w:jc w:val="left"/>
        <w:rPr>
          <w:kern w:val="0"/>
          <w:sz w:val="24"/>
        </w:rPr>
      </w:pPr>
      <w:r>
        <w:rPr>
          <w:kern w:val="0"/>
          <w:sz w:val="24"/>
        </w:rPr>
        <w:t>2、租用证券公司交易单元的选择标准主要包括：券商基本面评价（财务状况、经营状况）、券商研究机构评价（报告质量、及时性和数量）、券商每日信息评价（及时性和有效性）和券商协作表现评价等四个方面；</w:t>
      </w:r>
    </w:p>
    <w:p w:rsidP="00AC6DDA" w:rsidR="001548F9" w:rsidRDefault="001548F9" w:rsidRPr="005C672D">
      <w:pPr>
        <w:tabs>
          <w:tab w:pos="426" w:val="left"/>
        </w:tabs>
        <w:spacing w:before="29" w:line="288" w:lineRule="auto"/>
        <w:jc w:val="left"/>
        <w:rPr>
          <w:kern w:val="0"/>
          <w:sz w:val="24"/>
        </w:rPr>
      </w:pPr>
      <w:r w:rsidRPr="005C672D">
        <w:rPr>
          <w:kern w:val="0"/>
          <w:sz w:val="24"/>
        </w:rPr>
        <w:t>3、租用证券公司交易单元的程序：首先根据租用证券公司交易单元的选择标准进行综合评价，然后根据评价选择基金交易单元。研究部提交方案，并上报公司批准。</w:t>
      </w:r>
    </w:p>
    <w:p w:rsidP="00AC6DDA" w:rsidR="001548F9" w:rsidRDefault="001548F9" w:rsidRPr="005C672D">
      <w:pPr>
        <w:spacing w:before="29" w:line="288" w:lineRule="auto"/>
        <w:rPr>
          <w:color w:val="000000"/>
          <w:sz w:val="24"/>
        </w:rPr>
      </w:pPr>
    </w:p>
    <w:p w:rsidP="0095029A" w:rsidR="0095029A" w:rsidRDefault="0095029A" w:rsidRPr="00690ED2">
      <w:pPr>
        <w:pStyle w:val="20"/>
        <w:spacing w:after="0" w:before="29" w:line="288" w:lineRule="auto"/>
        <w:rPr>
          <w:rFonts w:ascii="Times New Roman" w:hAnsi="Times New Roman"/>
          <w:kern w:val="0"/>
          <w:szCs w:val="24"/>
        </w:rPr>
      </w:pPr>
      <w:bookmarkStart w:id="144" w:name="OLE_LINK177"/>
      <w:bookmarkStart w:id="145" w:name="OLE_LINK176"/>
      <w:bookmarkStart w:id="146" w:name="OLE_LINK175"/>
      <w:bookmarkStart w:id="147" w:name="OLE_LINK156"/>
      <w:bookmarkStart w:id="148" w:name="OLE_LINK146"/>
      <w:bookmarkStart w:id="149" w:name="OLE_LINK108"/>
      <w:bookmarkStart w:id="150" w:name="OLE_LINK37"/>
      <w:bookmarkStart w:id="151" w:name="OLE_LINK36"/>
      <w:bookmarkStart w:id="152" w:name="OLE_LINK35"/>
      <w:bookmarkStart w:id="153" w:name="OLE_LINK32"/>
      <w:bookmarkStart w:id="154" w:name="OLE_LINK31"/>
      <w:bookmarkStart w:id="155" w:name="OLE_LINK30"/>
      <w:bookmarkStart w:id="156" w:name="OLE_LINK29"/>
      <w:bookmarkStart w:id="157" w:name="_Toc249707408"/>
      <w:bookmarkEnd w:id="143"/>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44"/>
      <w:bookmarkEnd w:id="145"/>
      <w:bookmarkEnd w:id="146"/>
      <w:bookmarkEnd w:id="147"/>
      <w:bookmarkEnd w:id="148"/>
      <w:bookmarkEnd w:id="149"/>
      <w:bookmarkEnd w:id="150"/>
      <w:bookmarkEnd w:id="151"/>
      <w:bookmarkEnd w:id="152"/>
      <w:bookmarkEnd w:id="153"/>
      <w:bookmarkEnd w:id="154"/>
      <w:bookmarkEnd w:id="155"/>
      <w:bookmarkEnd w:id="156"/>
    </w:p>
    <w:p w:rsidP="00AC6DDA" w:rsidR="00FD7A40" w:rsidRDefault="00FD7A40" w:rsidRPr="005C672D">
      <w:pPr>
        <w:autoSpaceDE w:val="0"/>
        <w:autoSpaceDN w:val="0"/>
        <w:adjustRightInd w:val="0"/>
        <w:spacing w:before="29" w:line="288" w:lineRule="auto"/>
        <w:jc w:val="left"/>
        <w:rPr>
          <w:color w:val="000000"/>
          <w:sz w:val="24"/>
        </w:rPr>
      </w:pPr>
      <w:r w:rsidRPr="005C672D">
        <w:rPr>
          <w:color w:val="000000"/>
          <w:sz w:val="24"/>
        </w:rPr>
        <w:t>无。</w:t>
      </w:r>
    </w:p>
    <w:p w:rsidP="00AC6DDA" w:rsidR="00CB75C2" w:rsidRDefault="00CB75C2" w:rsidRPr="005C672D">
      <w:pPr>
        <w:autoSpaceDE w:val="0"/>
        <w:autoSpaceDN w:val="0"/>
        <w:adjustRightInd w:val="0"/>
        <w:spacing w:before="29" w:line="288" w:lineRule="auto"/>
        <w:jc w:val="left"/>
        <w:rPr>
          <w:color w:val="000000"/>
          <w:sz w:val="24"/>
        </w:rPr>
      </w:pPr>
    </w:p>
    <w:bookmarkEnd w:id="158"/>
    <w:p w:rsidP="00EC259C" w:rsidR="005547A0" w:rsidRDefault="005547A0" w:rsidRPr="00646A7D">
      <w:pPr>
        <w:pStyle w:val="1"/>
        <w:keepNext/>
        <w:keepLines/>
        <w:widowControl w:val="0"/>
        <w:spacing w:afterLines="100" w:beforeLines="100" w:line="360" w:lineRule="auto"/>
        <w:jc w:val="center"/>
        <w:rPr>
          <w:rFonts w:eastAsiaTheme="minorEastAsia"/>
          <w:b/>
          <w:bCs/>
          <w:sz w:val="21"/>
          <w:szCs w:val="21"/>
          <w:lang w:val="en-US"/>
        </w:rPr>
      </w:pPr>
      <w:r w:rsidRPr="00646A7D">
        <w:rPr>
          <w:rFonts w:eastAsiaTheme="minorEastAsia"/>
          <w:b/>
          <w:bCs/>
          <w:color w:val="000000"/>
          <w:sz w:val="21"/>
          <w:szCs w:val="21"/>
        </w:rPr>
        <w:t/>
      </w: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P="005547A0" w:rsidR="005547A0" w:rsidRDefault="005547A0" w:rsidRPr="004F0662">
      <w:pPr>
        <w:autoSpaceDE w:val="0"/>
        <w:autoSpaceDN w:val="0"/>
        <w:adjustRightInd w:val="0"/>
        <w:spacing w:line="360" w:lineRule="auto"/>
        <w:jc w:val="left"/>
        <w:rPr>
          <w:rFonts w:ascii="宋体" w:hAnsi="宋体"/>
          <w:b/>
          <w:bCs/>
          <w:color w:val="000000"/>
          <w:kern w:val="0"/>
          <w:szCs w:val="21"/>
        </w:rPr>
      </w:pPr>
      <w:r w:rsidRPr="004F0662">
        <w:rPr>
          <w:rFonts w:ascii="宋体" w:hAnsi="宋体"/>
          <w:b/>
          <w:color w:val="000000"/>
          <w:kern w:val="0"/>
          <w:szCs w:val="21"/>
        </w:rPr>
        <w:lastRenderedPageBreak/>
        <w:t/>
      </w:r>
      <w:r w:rsidRPr="004F0662">
        <w:rPr>
          <w:rFonts w:ascii="宋体" w:hAnsi="宋体" w:hint="eastAsia"/>
          <w:b/>
          <w:bCs/>
          <w:color w:val="000000"/>
          <w:kern w:val="0"/>
          <w:szCs w:val="21"/>
        </w:rPr>
        <w:t>11.1 影响投资者决策的其他重要信息</w:t>
      </w:r>
    </w:p>
    <w:p w:rsidP="005547A0" w:rsidR="005547A0" w:rsidRDefault="005547A0" w:rsidRPr="00FD25AA">
      <w:pPr>
        <w:spacing w:line="360" w:lineRule="auto"/>
        <w:ind w:firstLine="420" w:firstLineChars="200"/>
        <w:rPr>
          <w:rFonts w:ascii="宋体" w:hAnsi="宋体"/>
          <w:color w:val="000000"/>
          <w:szCs w:val="21"/>
        </w:rPr>
      </w:pPr>
      <w:r w:rsidRPr="004F0662">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P="00AC6DDA" w:rsidR="001548F9" w:rsidRDefault="001548F9" w:rsidRPr="005C672D">
      <w:pPr>
        <w:spacing w:before="29" w:line="288" w:lineRule="auto"/>
        <w:ind w:firstLine="360" w:firstLineChars="150"/>
        <w:rPr>
          <w:bCs/>
          <w:color w:val="000000"/>
          <w:sz w:val="24"/>
        </w:rPr>
      </w:pPr>
    </w:p>
    <w:p w:rsidP="006A6C6D" w:rsidR="001548F9" w:rsidRDefault="001548F9" w:rsidRPr="005C672D">
      <w:pPr>
        <w:autoSpaceDE w:val="0"/>
        <w:autoSpaceDN w:val="0"/>
        <w:adjustRightInd w:val="0"/>
        <w:spacing w:before="29" w:line="288" w:lineRule="auto"/>
        <w:jc w:val="left"/>
        <w:rPr>
          <w:sz w:val="24"/>
        </w:rPr>
      </w:pPr>
    </w:p>
    <w:sectPr w:rsidR="001548F9" w:rsidRPr="005C672D" w:rsidSect="00937AC9">
      <w:footerReference r:id="rId15" w:type="even"/>
      <w:footerReference r:id="rId16" w:type="default"/>
      <w:pgSz w:code="9" w:h="16838" w:w="11906"/>
      <w:pgMar w:bottom="851" w:footer="992" w:gutter="0" w:header="851" w:left="1418" w:right="1418" w:top="1418"/>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D64" w:rsidRDefault="00251D64">
      <w:r>
        <w:separator/>
      </w:r>
    </w:p>
  </w:endnote>
  <w:endnote w:type="continuationSeparator" w:id="0">
    <w:p w:rsidR="00251D64" w:rsidRDefault="00251D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4.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91268E" w:rsidRDefault="005972B3">
    <w:pPr>
      <w:pStyle w:val="a6"/>
      <w:framePr w:hAnchor="margin" w:vAnchor="text" w:wrap="around" w:xAlign="right" w:y="1"/>
      <w:rPr>
        <w:rStyle w:val="a7"/>
      </w:rPr>
    </w:pPr>
    <w:r>
      <w:rPr>
        <w:rStyle w:val="a7"/>
      </w:rPr>
      <w:fldChar w:fldCharType="begin"/>
    </w:r>
    <w:r w:rsidR="0091268E">
      <w:rPr>
        <w:rStyle w:val="a7"/>
      </w:rPr>
      <w:instrText xml:space="preserve">PAGE  </w:instrText>
    </w:r>
    <w:r>
      <w:rPr>
        <w:rStyle w:val="a7"/>
      </w:rPr>
      <w:fldChar w:fldCharType="end"/>
    </w:r>
  </w:p>
  <w:p w:rsidP="00C03B3A" w:rsidR="0091268E" w:rsidRDefault="0091268E">
    <w:pPr>
      <w:pStyle w:val="a6"/>
      <w:ind w:right="360"/>
    </w:pPr>
  </w:p>
</w:ftr>
</file>

<file path=word/footer5.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91268E" w:rsidRDefault="0091268E">
    <w:pPr>
      <w:pStyle w:val="a6"/>
      <w:ind w:right="360"/>
      <w:jc w:val="center"/>
    </w:pPr>
    <w:r>
      <w:rPr>
        <w:rFonts w:hint="eastAsia"/>
        <w:kern w:val="0"/>
        <w:szCs w:val="21"/>
      </w:rPr>
      <w:t>第</w:t>
    </w:r>
    <w:r w:rsidR="005972B3">
      <w:rPr>
        <w:kern w:val="0"/>
        <w:szCs w:val="21"/>
      </w:rPr>
      <w:fldChar w:fldCharType="begin"/>
    </w:r>
    <w:r>
      <w:rPr>
        <w:kern w:val="0"/>
        <w:szCs w:val="21"/>
      </w:rPr>
      <w:instrText xml:space="preserve"> PAGE </w:instrText>
    </w:r>
    <w:r w:rsidR="005972B3">
      <w:rPr>
        <w:kern w:val="0"/>
        <w:szCs w:val="21"/>
      </w:rPr>
      <w:fldChar w:fldCharType="separate"/>
    </w:r>
    <w:r w:rsidR="00EC259C">
      <w:rPr>
        <w:noProof/>
        <w:kern w:val="0"/>
        <w:szCs w:val="21"/>
      </w:rPr>
      <w:t>30</w:t>
    </w:r>
    <w:r w:rsidR="005972B3">
      <w:rPr>
        <w:kern w:val="0"/>
        <w:szCs w:val="21"/>
      </w:rPr>
      <w:fldChar w:fldCharType="end"/>
    </w:r>
    <w:r>
      <w:rPr>
        <w:rFonts w:hint="eastAsia"/>
        <w:kern w:val="0"/>
        <w:szCs w:val="21"/>
      </w:rPr>
      <w:t>页共</w:t>
    </w:r>
    <w:r w:rsidR="005972B3">
      <w:rPr>
        <w:kern w:val="0"/>
        <w:szCs w:val="21"/>
      </w:rPr>
      <w:fldChar w:fldCharType="begin"/>
    </w:r>
    <w:r>
      <w:rPr>
        <w:kern w:val="0"/>
        <w:szCs w:val="21"/>
      </w:rPr>
      <w:instrText xml:space="preserve"> NUMPAGES </w:instrText>
    </w:r>
    <w:r w:rsidR="005972B3">
      <w:rPr>
        <w:kern w:val="0"/>
        <w:szCs w:val="21"/>
      </w:rPr>
      <w:fldChar w:fldCharType="separate"/>
    </w:r>
    <w:r w:rsidR="00EC259C">
      <w:rPr>
        <w:noProof/>
        <w:kern w:val="0"/>
        <w:szCs w:val="21"/>
      </w:rPr>
      <w:t>68</w:t>
    </w:r>
    <w:r w:rsidR="005972B3">
      <w:rPr>
        <w:kern w:val="0"/>
        <w:szCs w:val="21"/>
      </w:rPr>
      <w:fldChar w:fldCharType="end"/>
    </w:r>
    <w:r>
      <w:rPr>
        <w:rFonts w:hint="eastAsia"/>
        <w:kern w:val="0"/>
        <w:szCs w:val="21"/>
      </w:rPr>
      <w:t>页</w:t>
    </w: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251D64" w:rsidRDefault="00251D64">
      <w:r>
        <w:separator/>
      </w:r>
    </w:p>
  </w:footnote>
  <w:footnote w:id="0" w:type="continuationSeparator">
    <w:p w:rsidR="00251D64" w:rsidRDefault="00251D6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F95E70" w:rsidR="00F95E70" w:rsidRDefault="00F95E70">
    <w:pPr>
      <w:pStyle w:val="a9"/>
      <w:jc w:val="right"/>
    </w:pPr>
    <w:r w:rsidRPr="003B6CAA">
      <w:t>交银施罗德稳健配置混合型证券投资基金2019年半年度报告</w:t>
    </w:r>
    <w:r w:rsidRPr="003B6CAA">
      <w:rPr>
        <w:rFonts w:hint="eastAsia"/>
      </w:rPr>
      <w:t>摘要</w:t>
    </w:r>
  </w:p>
  <w:p w:rsidP="002243A3" w:rsidR="0091268E" w:rsidRDefault="0091268E" w:rsidRPr="00A27DD3">
    <w:pPr>
      <w:pStyle w:val="a9"/>
      <w:pBdr>
        <w:bottom w:color="auto" w:space="0" w:sz="6" w:val="single"/>
      </w:pBdr>
      <w:jc w:val="right"/>
    </w:pP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1DF74DBA"/>
    <w:multiLevelType w:val="multilevel"/>
    <w:tmpl w:val="B7D01BBA"/>
    <w:lvl w:ilvl="0">
      <w:start w:val="3"/>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2">
    <w:nsid w:val="211D1A1B"/>
    <w:multiLevelType w:val="multilevel"/>
    <w:tmpl w:val="6E2E530C"/>
    <w:lvl w:ilvl="0">
      <w:start w:val="12"/>
      <w:numFmt w:val="decimal"/>
      <w:lvlText w:val="%1"/>
      <w:lvlJc w:val="left"/>
      <w:pPr>
        <w:tabs>
          <w:tab w:pos="480" w:val="num"/>
        </w:tabs>
        <w:ind w:hanging="480" w:left="480"/>
      </w:pPr>
      <w:rPr>
        <w:rFonts w:cs="Times New Roman" w:hint="default"/>
      </w:rPr>
    </w:lvl>
    <w:lvl w:ilvl="1">
      <w:start w:val="1"/>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6">
    <w:nsid w:val="52D86888"/>
    <w:multiLevelType w:val="multilevel"/>
    <w:tmpl w:val="DD2C7036"/>
    <w:lvl w:ilvl="0">
      <w:start w:val="10"/>
      <w:numFmt w:val="decimal"/>
      <w:lvlText w:val="%1"/>
      <w:lvlJc w:val="left"/>
      <w:pPr>
        <w:tabs>
          <w:tab w:pos="480" w:val="num"/>
        </w:tabs>
        <w:ind w:hanging="480" w:left="48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rPr>
    </w:lvl>
    <w:lvl w:ilvl="1" w:tentative="1" w:tplc="04090019">
      <w:start w:val="1"/>
      <w:numFmt w:val="lowerLetter"/>
      <w:lvlText w:val="%2)"/>
      <w:lvlJc w:val="left"/>
      <w:pPr>
        <w:tabs>
          <w:tab w:pos="1320" w:val="num"/>
        </w:tabs>
        <w:ind w:hanging="420" w:left="1320"/>
      </w:pPr>
      <w:rPr>
        <w:rFonts w:cs="Times New Roman"/>
      </w:rPr>
    </w:lvl>
    <w:lvl w:ilvl="2" w:tentative="1" w:tplc="0409001B">
      <w:start w:val="1"/>
      <w:numFmt w:val="lowerRoman"/>
      <w:lvlText w:val="%3."/>
      <w:lvlJc w:val="right"/>
      <w:pPr>
        <w:tabs>
          <w:tab w:pos="1740" w:val="num"/>
        </w:tabs>
        <w:ind w:hanging="420" w:left="1740"/>
      </w:pPr>
      <w:rPr>
        <w:rFonts w:cs="Times New Roman"/>
      </w:rPr>
    </w:lvl>
    <w:lvl w:ilvl="3" w:tentative="1" w:tplc="0409000F">
      <w:start w:val="1"/>
      <w:numFmt w:val="decimal"/>
      <w:lvlText w:val="%4."/>
      <w:lvlJc w:val="left"/>
      <w:pPr>
        <w:tabs>
          <w:tab w:pos="2160" w:val="num"/>
        </w:tabs>
        <w:ind w:hanging="420" w:left="2160"/>
      </w:pPr>
      <w:rPr>
        <w:rFonts w:cs="Times New Roman"/>
      </w:rPr>
    </w:lvl>
    <w:lvl w:ilvl="4" w:tentative="1" w:tplc="04090019">
      <w:start w:val="1"/>
      <w:numFmt w:val="lowerLetter"/>
      <w:lvlText w:val="%5)"/>
      <w:lvlJc w:val="left"/>
      <w:pPr>
        <w:tabs>
          <w:tab w:pos="2580" w:val="num"/>
        </w:tabs>
        <w:ind w:hanging="420" w:left="2580"/>
      </w:pPr>
      <w:rPr>
        <w:rFonts w:cs="Times New Roman"/>
      </w:rPr>
    </w:lvl>
    <w:lvl w:ilvl="5" w:tentative="1" w:tplc="0409001B">
      <w:start w:val="1"/>
      <w:numFmt w:val="lowerRoman"/>
      <w:lvlText w:val="%6."/>
      <w:lvlJc w:val="right"/>
      <w:pPr>
        <w:tabs>
          <w:tab w:pos="3000" w:val="num"/>
        </w:tabs>
        <w:ind w:hanging="420" w:left="3000"/>
      </w:pPr>
      <w:rPr>
        <w:rFonts w:cs="Times New Roman"/>
      </w:rPr>
    </w:lvl>
    <w:lvl w:ilvl="6" w:tentative="1" w:tplc="0409000F">
      <w:start w:val="1"/>
      <w:numFmt w:val="decimal"/>
      <w:lvlText w:val="%7."/>
      <w:lvlJc w:val="left"/>
      <w:pPr>
        <w:tabs>
          <w:tab w:pos="3420" w:val="num"/>
        </w:tabs>
        <w:ind w:hanging="420" w:left="3420"/>
      </w:pPr>
      <w:rPr>
        <w:rFonts w:cs="Times New Roman"/>
      </w:rPr>
    </w:lvl>
    <w:lvl w:ilvl="7" w:tentative="1" w:tplc="04090019">
      <w:start w:val="1"/>
      <w:numFmt w:val="lowerLetter"/>
      <w:lvlText w:val="%8)"/>
      <w:lvlJc w:val="left"/>
      <w:pPr>
        <w:tabs>
          <w:tab w:pos="3840" w:val="num"/>
        </w:tabs>
        <w:ind w:hanging="420" w:left="3840"/>
      </w:pPr>
      <w:rPr>
        <w:rFonts w:cs="Times New Roman"/>
      </w:rPr>
    </w:lvl>
    <w:lvl w:ilvl="8" w:tentative="1" w:tplc="0409001B">
      <w:start w:val="1"/>
      <w:numFmt w:val="lowerRoman"/>
      <w:lvlText w:val="%9."/>
      <w:lvlJc w:val="right"/>
      <w:pPr>
        <w:tabs>
          <w:tab w:pos="4260" w:val="num"/>
        </w:tabs>
        <w:ind w:hanging="420" w:left="426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571" w:val="num"/>
        </w:tabs>
        <w:ind w:hanging="567" w:left="1418"/>
      </w:pPr>
      <w:rPr>
        <w:rFonts w:cs="Times New Roman" w:eastAsia="宋体" w:hint="eastAsia"/>
      </w:rPr>
    </w:lvl>
    <w:lvl w:ilvl="3">
      <w:start w:val="1"/>
      <w:numFmt w:val="decimal"/>
      <w:lvlText w:val="%1.%2.%3.%4"/>
      <w:lvlJc w:val="left"/>
      <w:pPr>
        <w:tabs>
          <w:tab w:pos="2356" w:val="num"/>
        </w:tabs>
        <w:ind w:hanging="708" w:left="1984"/>
      </w:pPr>
      <w:rPr>
        <w:rFonts w:cs="Times New Roman"/>
      </w:rPr>
    </w:lvl>
    <w:lvl w:ilvl="4">
      <w:start w:val="1"/>
      <w:numFmt w:val="decimal"/>
      <w:lvlText w:val="%1.%2.%3.%4.%5"/>
      <w:lvlJc w:val="left"/>
      <w:pPr>
        <w:tabs>
          <w:tab w:pos="2781" w:val="num"/>
        </w:tabs>
        <w:ind w:hanging="850" w:left="2551"/>
      </w:pPr>
      <w:rPr>
        <w:rFonts w:cs="Times New Roman"/>
      </w:rPr>
    </w:lvl>
    <w:lvl w:ilvl="5">
      <w:start w:val="1"/>
      <w:numFmt w:val="decimal"/>
      <w:lvlText w:val="%1.%2.%3.%4.%5.%6"/>
      <w:lvlJc w:val="left"/>
      <w:pPr>
        <w:tabs>
          <w:tab w:pos="3566" w:val="num"/>
        </w:tabs>
        <w:ind w:hanging="1134" w:left="3260"/>
      </w:pPr>
      <w:rPr>
        <w:rFonts w:cs="Times New Roman"/>
      </w:rPr>
    </w:lvl>
    <w:lvl w:ilvl="6">
      <w:start w:val="1"/>
      <w:numFmt w:val="decimal"/>
      <w:lvlText w:val="%1.%2.%3.%4.%5.%6.%7"/>
      <w:lvlJc w:val="left"/>
      <w:pPr>
        <w:tabs>
          <w:tab w:pos="4351" w:val="num"/>
        </w:tabs>
        <w:ind w:hanging="1276" w:left="3827"/>
      </w:pPr>
      <w:rPr>
        <w:rFonts w:cs="Times New Roman"/>
      </w:rPr>
    </w:lvl>
    <w:lvl w:ilvl="7">
      <w:start w:val="1"/>
      <w:numFmt w:val="decimal"/>
      <w:lvlText w:val="%1.%2.%3.%4.%5.%6.%7.%8"/>
      <w:lvlJc w:val="left"/>
      <w:pPr>
        <w:tabs>
          <w:tab w:pos="4776" w:val="num"/>
        </w:tabs>
        <w:ind w:hanging="1418" w:left="4394"/>
      </w:pPr>
      <w:rPr>
        <w:rFonts w:cs="Times New Roman"/>
      </w:rPr>
    </w:lvl>
    <w:lvl w:ilvl="8">
      <w:start w:val="1"/>
      <w:numFmt w:val="decimal"/>
      <w:lvlText w:val="%1.%2.%3.%4.%5.%6.%7.%8.%9"/>
      <w:lvlJc w:val="left"/>
      <w:pPr>
        <w:tabs>
          <w:tab w:pos="5562" w:val="num"/>
        </w:tabs>
        <w:ind w:hanging="1700" w:left="5102"/>
      </w:pPr>
      <w:rPr>
        <w:rFonts w:cs="Times New Roman"/>
      </w:rPr>
    </w:lvl>
  </w:abstractNum>
  <w:abstractNum w:abstractNumId="10">
    <w:nsid w:val="6E5C03DC"/>
    <w:multiLevelType w:val="multilevel"/>
    <w:tmpl w:val="0409001D"/>
    <w:styleLink w:val="4"/>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11">
    <w:nsid w:val="730968E3"/>
    <w:multiLevelType w:val="multilevel"/>
    <w:tmpl w:val="C72EB838"/>
    <w:styleLink w:val="2"/>
    <w:lvl w:ilvl="0">
      <w:start w:val="1"/>
      <w:numFmt w:val="decimal"/>
      <w:lvlText w:val="§%1"/>
      <w:lvlJc w:val="left"/>
      <w:pPr>
        <w:tabs>
          <w:tab w:pos="425" w:val="num"/>
        </w:tabs>
        <w:ind w:hanging="425" w:left="425"/>
      </w:pPr>
      <w:rPr>
        <w:rFonts w:cs="Times New Roman" w:hint="eastAsia"/>
      </w:rPr>
    </w:lvl>
    <w:lvl w:ilvl="1">
      <w:start w:val="1"/>
      <w:numFmt w:val="decimal"/>
      <w:lvlText w:val="%1.%2"/>
      <w:lvlJc w:val="left"/>
      <w:pPr>
        <w:tabs>
          <w:tab w:pos="992" w:val="num"/>
        </w:tabs>
        <w:ind w:hanging="567" w:left="992"/>
      </w:pPr>
      <w:rPr>
        <w:rFonts w:cs="Times New Roman" w:hint="eastAsia"/>
      </w:rPr>
    </w:lvl>
    <w:lvl w:ilvl="2">
      <w:start w:val="1"/>
      <w:numFmt w:val="decimal"/>
      <w:lvlText w:val="%1.%2.%3"/>
      <w:lvlJc w:val="left"/>
      <w:pPr>
        <w:tabs>
          <w:tab w:pos="1571" w:val="num"/>
        </w:tabs>
        <w:ind w:hanging="567" w:left="1418"/>
      </w:pPr>
      <w:rPr>
        <w:rFonts w:cs="Times New Roman" w:hint="eastAsia"/>
      </w:rPr>
    </w:lvl>
    <w:lvl w:ilvl="3">
      <w:start w:val="1"/>
      <w:numFmt w:val="decimal"/>
      <w:lvlText w:val="%1.%2.%3.%4"/>
      <w:lvlJc w:val="left"/>
      <w:pPr>
        <w:tabs>
          <w:tab w:pos="2356" w:val="num"/>
        </w:tabs>
        <w:ind w:hanging="708" w:left="1984"/>
      </w:pPr>
      <w:rPr>
        <w:rFonts w:cs="Times New Roman" w:hint="eastAsia"/>
      </w:rPr>
    </w:lvl>
    <w:lvl w:ilvl="4">
      <w:start w:val="1"/>
      <w:numFmt w:val="decimal"/>
      <w:lvlText w:val="%1.%2.%3.%4.%5"/>
      <w:lvlJc w:val="left"/>
      <w:pPr>
        <w:tabs>
          <w:tab w:pos="3141" w:val="num"/>
        </w:tabs>
        <w:ind w:hanging="850" w:left="2551"/>
      </w:pPr>
      <w:rPr>
        <w:rFonts w:cs="Times New Roman" w:hint="eastAsia"/>
      </w:rPr>
    </w:lvl>
    <w:lvl w:ilvl="5">
      <w:start w:val="1"/>
      <w:numFmt w:val="decimal"/>
      <w:lvlText w:val="%1.%2.%3.%4.%5.%6"/>
      <w:lvlJc w:val="left"/>
      <w:pPr>
        <w:tabs>
          <w:tab w:pos="3566" w:val="num"/>
        </w:tabs>
        <w:ind w:hanging="1134" w:left="3260"/>
      </w:pPr>
      <w:rPr>
        <w:rFonts w:cs="Times New Roman" w:hint="eastAsia"/>
      </w:rPr>
    </w:lvl>
    <w:lvl w:ilvl="6">
      <w:start w:val="1"/>
      <w:numFmt w:val="decimal"/>
      <w:lvlText w:val="%1.%2.%3.%4.%5.%6.%7"/>
      <w:lvlJc w:val="left"/>
      <w:pPr>
        <w:tabs>
          <w:tab w:pos="4351" w:val="num"/>
        </w:tabs>
        <w:ind w:hanging="1276" w:left="3827"/>
      </w:pPr>
      <w:rPr>
        <w:rFonts w:cs="Times New Roman" w:hint="eastAsia"/>
      </w:rPr>
    </w:lvl>
    <w:lvl w:ilvl="7">
      <w:start w:val="1"/>
      <w:numFmt w:val="decimal"/>
      <w:lvlText w:val="%1.%2.%3.%4.%5.%6.%7.%8"/>
      <w:lvlJc w:val="left"/>
      <w:pPr>
        <w:tabs>
          <w:tab w:pos="5136" w:val="num"/>
        </w:tabs>
        <w:ind w:hanging="1418" w:left="4394"/>
      </w:pPr>
      <w:rPr>
        <w:rFonts w:cs="Times New Roman" w:hint="eastAsia"/>
      </w:rPr>
    </w:lvl>
    <w:lvl w:ilvl="8">
      <w:start w:val="1"/>
      <w:numFmt w:val="decimal"/>
      <w:lvlText w:val="%1.%2.%3.%4.%5.%6.%7.%8.%9"/>
      <w:lvlJc w:val="left"/>
      <w:pPr>
        <w:tabs>
          <w:tab w:pos="5562" w:val="num"/>
        </w:tabs>
        <w:ind w:hanging="1700" w:left="5102"/>
      </w:pPr>
      <w:rPr>
        <w:rFonts w:cs="Times New Roman" w:hint="eastAsia"/>
      </w:rPr>
    </w:lvl>
  </w:abstractNum>
  <w:abstractNum w:abstractNumId="12">
    <w:nsid w:val="7C2F7AB8"/>
    <w:multiLevelType w:val="multilevel"/>
    <w:tmpl w:val="7F5C4A20"/>
    <w:lvl w:ilvl="0">
      <w:start w:val="10"/>
      <w:numFmt w:val="decimal"/>
      <w:lvlText w:val="%1"/>
      <w:lvlJc w:val="left"/>
      <w:pPr>
        <w:tabs>
          <w:tab w:pos="480" w:val="num"/>
        </w:tabs>
        <w:ind w:hanging="480" w:left="480"/>
      </w:pPr>
      <w:rPr>
        <w:rFonts w:cs="Times New Roman" w:hint="default"/>
      </w:rPr>
    </w:lvl>
    <w:lvl w:ilvl="1">
      <w:start w:val="4"/>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entative="1" w:tplc="0409000F">
      <w:start w:val="1"/>
      <w:numFmt w:val="decimal"/>
      <w:lvlText w:val="%4."/>
      <w:lvlJc w:val="left"/>
      <w:pPr>
        <w:tabs>
          <w:tab w:pos="1680" w:val="num"/>
        </w:tabs>
        <w:ind w:hanging="420" w:left="1680"/>
      </w:pPr>
      <w:rPr>
        <w:rFonts w:cs="Times New Roman"/>
      </w:rPr>
    </w:lvl>
    <w:lvl w:ilvl="4" w:tentative="1" w:tplc="04090019">
      <w:start w:val="1"/>
      <w:numFmt w:val="lowerLetter"/>
      <w:lvlText w:val="%5)"/>
      <w:lvlJc w:val="left"/>
      <w:pPr>
        <w:tabs>
          <w:tab w:pos="2100" w:val="num"/>
        </w:tabs>
        <w:ind w:hanging="420" w:left="2100"/>
      </w:pPr>
      <w:rPr>
        <w:rFonts w:cs="Times New Roman"/>
      </w:rPr>
    </w:lvl>
    <w:lvl w:ilvl="5" w:tentative="1" w:tplc="0409001B">
      <w:start w:val="1"/>
      <w:numFmt w:val="lowerRoman"/>
      <w:lvlText w:val="%6."/>
      <w:lvlJc w:val="right"/>
      <w:pPr>
        <w:tabs>
          <w:tab w:pos="2520" w:val="num"/>
        </w:tabs>
        <w:ind w:hanging="420" w:left="2520"/>
      </w:pPr>
      <w:rPr>
        <w:rFonts w:cs="Times New Roman"/>
      </w:rPr>
    </w:lvl>
    <w:lvl w:ilvl="6" w:tentative="1" w:tplc="0409000F">
      <w:start w:val="1"/>
      <w:numFmt w:val="decimal"/>
      <w:lvlText w:val="%7."/>
      <w:lvlJc w:val="left"/>
      <w:pPr>
        <w:tabs>
          <w:tab w:pos="2940" w:val="num"/>
        </w:tabs>
        <w:ind w:hanging="420" w:left="2940"/>
      </w:pPr>
      <w:rPr>
        <w:rFonts w:cs="Times New Roman"/>
      </w:rPr>
    </w:lvl>
    <w:lvl w:ilvl="7" w:tentative="1" w:tplc="04090019">
      <w:start w:val="1"/>
      <w:numFmt w:val="lowerLetter"/>
      <w:lvlText w:val="%8)"/>
      <w:lvlJc w:val="left"/>
      <w:pPr>
        <w:tabs>
          <w:tab w:pos="3360" w:val="num"/>
        </w:tabs>
        <w:ind w:hanging="420" w:left="3360"/>
      </w:pPr>
      <w:rPr>
        <w:rFonts w:cs="Times New Roman"/>
      </w:rPr>
    </w:lvl>
    <w:lvl w:ilvl="8" w:tentative="1" w:tplc="0409001B">
      <w:start w:val="1"/>
      <w:numFmt w:val="lowerRoman"/>
      <w:lvlText w:val="%9."/>
      <w:lvlJc w:val="right"/>
      <w:pPr>
        <w:tabs>
          <w:tab w:pos="3780" w:val="num"/>
        </w:tabs>
        <w:ind w:hanging="420" w:left="378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pos="1107" w:val="num"/>
          </w:tabs>
          <w:ind w:hanging="567" w:left="110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pos="992" w:val="num"/>
          </w:tabs>
          <w:ind w:hanging="567" w:left="992"/>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printPostScriptOverText/>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11266"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934"/>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D7D5B"/>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1D64"/>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62B"/>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2B3"/>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4A6"/>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BCC"/>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81B"/>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59C"/>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11266"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iPriority="0" w:unhideWhenUsed="0"/>
    <w:lsdException w:locked="1" w:name="heading 2" w:qFormat="1" w:semiHidden="0" w:uiPriority="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header" w:semiHidden="0" w:unhideWhenUsed="0"/>
    <w:lsdException w:locked="1" w:name="caption" w:qFormat="1" w:uiPriority="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Strong" w:qFormat="1" w:semiHidden="0" w:uiPriority="0" w:unhideWhenUsed="0"/>
    <w:lsdException w:locked="1" w:name="Emphasis" w:qFormat="1" w:semiHidden="0" w:uiPriority="0" w:unhideWhenUsed="0"/>
    <w:lsdException w:locked="1" w:name="No List" w:semiHidden="0" w:uiPriority="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905404"/>
    <w:pPr>
      <w:widowControl w:val="0"/>
      <w:jc w:val="both"/>
    </w:pPr>
    <w:rPr>
      <w:kern w:val="2"/>
      <w:sz w:val="21"/>
      <w:szCs w:val="24"/>
    </w:rPr>
  </w:style>
  <w:style w:styleId="1" w:type="paragraph">
    <w:name w:val="heading 1"/>
    <w:basedOn w:val="a"/>
    <w:next w:val="a"/>
    <w:link w:val="1Char"/>
    <w:uiPriority w:val="99"/>
    <w:qFormat/>
    <w:rsid w:val="0089214A"/>
    <w:pPr>
      <w:widowControl/>
      <w:jc w:val="left"/>
      <w:outlineLvl w:val="0"/>
    </w:pPr>
    <w:rPr>
      <w:kern w:val="0"/>
      <w:sz w:val="24"/>
      <w:szCs w:val="20"/>
      <w:lang w:val="en-GB"/>
    </w:rPr>
  </w:style>
  <w:style w:styleId="20" w:type="paragraph">
    <w:name w:val="heading 2"/>
    <w:basedOn w:val="a"/>
    <w:next w:val="a0"/>
    <w:link w:val="2Char"/>
    <w:qFormat/>
    <w:rsid w:val="00FB732E"/>
    <w:pPr>
      <w:keepNext/>
      <w:keepLines/>
      <w:spacing w:after="260" w:before="260" w:line="360" w:lineRule="auto"/>
      <w:outlineLvl w:val="1"/>
    </w:pPr>
    <w:rPr>
      <w:rFonts w:ascii="Arial" w:hAnsi="Arial"/>
      <w:b/>
      <w:bCs/>
      <w:sz w:val="24"/>
      <w:szCs w:val="28"/>
    </w:rPr>
  </w:style>
  <w:style w:styleId="30" w:type="paragraph">
    <w:name w:val="heading 3"/>
    <w:basedOn w:val="a"/>
    <w:next w:val="a"/>
    <w:link w:val="3Char"/>
    <w:uiPriority w:val="99"/>
    <w:qFormat/>
    <w:rsid w:val="00F85F83"/>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03228A"/>
    <w:rPr>
      <w:rFonts w:cs="Times New Roman"/>
      <w:sz w:val="24"/>
      <w:lang w:val="en-GB"/>
    </w:rPr>
  </w:style>
  <w:style w:customStyle="1" w:styleId="2Char" w:type="character">
    <w:name w:val="标题 2 Char"/>
    <w:link w:val="20"/>
    <w:qFormat/>
    <w:locked/>
    <w:rsid w:val="00A3655D"/>
    <w:rPr>
      <w:rFonts w:ascii="Arial" w:cs="Times New Roman" w:hAnsi="Arial"/>
      <w:b/>
      <w:kern w:val="2"/>
      <w:sz w:val="28"/>
    </w:rPr>
  </w:style>
  <w:style w:customStyle="1" w:styleId="3Char" w:type="character">
    <w:name w:val="标题 3 Char"/>
    <w:link w:val="30"/>
    <w:uiPriority w:val="99"/>
    <w:locked/>
    <w:rsid w:val="006D141C"/>
    <w:rPr>
      <w:rFonts w:cs="Times New Roman"/>
      <w:b/>
      <w:bCs/>
      <w:kern w:val="2"/>
      <w:sz w:val="32"/>
      <w:szCs w:val="32"/>
    </w:rPr>
  </w:style>
  <w:style w:styleId="a0" w:type="paragraph">
    <w:name w:val="Normal Indent"/>
    <w:basedOn w:val="a"/>
    <w:uiPriority w:val="99"/>
    <w:rsid w:val="00FB732E"/>
    <w:pPr>
      <w:ind w:firstLine="420" w:firstLineChars="200"/>
    </w:pPr>
  </w:style>
  <w:style w:styleId="a4" w:type="paragraph">
    <w:name w:val="Body Text Indent"/>
    <w:basedOn w:val="a"/>
    <w:link w:val="Char"/>
    <w:uiPriority w:val="99"/>
    <w:rsid w:val="00FB732E"/>
    <w:pPr>
      <w:widowControl/>
      <w:spacing w:after="100" w:afterAutospacing="1" w:before="100" w:beforeAutospacing="1"/>
      <w:jc w:val="left"/>
    </w:pPr>
    <w:rPr>
      <w:rFonts w:ascii="Arial Unicode MS" w:cs="Arial Unicode MS" w:hAnsi="Arial Unicode MS"/>
      <w:kern w:val="0"/>
      <w:sz w:val="24"/>
    </w:rPr>
  </w:style>
  <w:style w:customStyle="1" w:styleId="Char" w:type="character">
    <w:name w:val="正文文本缩进 Char"/>
    <w:link w:val="a4"/>
    <w:uiPriority w:val="99"/>
    <w:locked/>
    <w:rsid w:val="006D141C"/>
    <w:rPr>
      <w:rFonts w:ascii="Arial Unicode MS" w:cs="Arial Unicode MS" w:hAnsi="Arial Unicode MS"/>
      <w:sz w:val="24"/>
      <w:szCs w:val="24"/>
    </w:rPr>
  </w:style>
  <w:style w:styleId="a5" w:type="paragraph">
    <w:name w:val="Plain Text"/>
    <w:basedOn w:val="a"/>
    <w:link w:val="Char0"/>
    <w:uiPriority w:val="99"/>
    <w:rsid w:val="00FB732E"/>
    <w:rPr>
      <w:rFonts w:ascii="宋体" w:hAnsi="Courier New"/>
      <w:szCs w:val="21"/>
    </w:rPr>
  </w:style>
  <w:style w:customStyle="1" w:styleId="Char0" w:type="character">
    <w:name w:val="纯文本 Char"/>
    <w:link w:val="a5"/>
    <w:uiPriority w:val="99"/>
    <w:locked/>
    <w:rsid w:val="00586E9A"/>
    <w:rPr>
      <w:rFonts w:ascii="宋体" w:cs="Times New Roman" w:hAnsi="Courier New"/>
      <w:kern w:val="2"/>
      <w:sz w:val="21"/>
    </w:rPr>
  </w:style>
  <w:style w:styleId="21" w:type="paragraph">
    <w:name w:val="Body Text Indent 2"/>
    <w:basedOn w:val="a"/>
    <w:link w:val="2Char0"/>
    <w:uiPriority w:val="99"/>
    <w:rsid w:val="00FB732E"/>
    <w:pPr>
      <w:spacing w:line="560" w:lineRule="exact"/>
      <w:ind w:firstLine="480" w:firstLineChars="200"/>
    </w:pPr>
    <w:rPr>
      <w:rFonts w:ascii="宋体" w:hAnsi="宋体"/>
      <w:color w:val="FF0000"/>
      <w:sz w:val="24"/>
    </w:rPr>
  </w:style>
  <w:style w:customStyle="1" w:styleId="2Char0" w:type="character">
    <w:name w:val="正文文本缩进 2 Char"/>
    <w:link w:val="21"/>
    <w:uiPriority w:val="99"/>
    <w:locked/>
    <w:rsid w:val="006D141C"/>
    <w:rPr>
      <w:rFonts w:ascii="宋体" w:cs="Times New Roman" w:eastAsia="宋体"/>
      <w:color w:val="FF0000"/>
      <w:kern w:val="2"/>
      <w:sz w:val="24"/>
      <w:szCs w:val="24"/>
    </w:rPr>
  </w:style>
  <w:style w:styleId="a6" w:type="paragraph">
    <w:name w:val="footer"/>
    <w:basedOn w:val="a"/>
    <w:link w:val="Char1"/>
    <w:uiPriority w:val="99"/>
    <w:rsid w:val="00FB732E"/>
    <w:pPr>
      <w:tabs>
        <w:tab w:pos="4153" w:val="center"/>
        <w:tab w:pos="8306" w:val="right"/>
      </w:tabs>
      <w:snapToGrid w:val="0"/>
      <w:jc w:val="left"/>
    </w:pPr>
    <w:rPr>
      <w:sz w:val="18"/>
      <w:szCs w:val="18"/>
    </w:rPr>
  </w:style>
  <w:style w:customStyle="1" w:styleId="Char1" w:type="character">
    <w:name w:val="页脚 Char"/>
    <w:link w:val="a6"/>
    <w:uiPriority w:val="99"/>
    <w:locked/>
    <w:rsid w:val="006D141C"/>
    <w:rPr>
      <w:rFonts w:cs="Times New Roman"/>
      <w:kern w:val="2"/>
      <w:sz w:val="18"/>
      <w:szCs w:val="18"/>
    </w:rPr>
  </w:style>
  <w:style w:styleId="a7" w:type="character">
    <w:name w:val="page number"/>
    <w:uiPriority w:val="99"/>
    <w:rsid w:val="00FB732E"/>
    <w:rPr>
      <w:rFonts w:cs="Times New Roman"/>
    </w:rPr>
  </w:style>
  <w:style w:styleId="a8" w:type="character">
    <w:name w:val="Hyperlink"/>
    <w:uiPriority w:val="99"/>
    <w:rsid w:val="00FB732E"/>
    <w:rPr>
      <w:rFonts w:cs="Times New Roman"/>
      <w:color w:val="0000FF"/>
      <w:u w:val="single"/>
    </w:rPr>
  </w:style>
  <w:style w:styleId="31" w:type="paragraph">
    <w:name w:val="Body Text Indent 3"/>
    <w:basedOn w:val="a"/>
    <w:link w:val="3Char0"/>
    <w:uiPriority w:val="99"/>
    <w:rsid w:val="00FB732E"/>
    <w:pPr>
      <w:spacing w:line="560" w:lineRule="exact"/>
      <w:ind w:firstLine="420" w:firstLineChars="200"/>
    </w:pPr>
    <w:rPr>
      <w:rFonts w:ascii="Arial" w:cs="Arial" w:hAnsi="Arial"/>
      <w:color w:val="FF0000"/>
    </w:rPr>
  </w:style>
  <w:style w:customStyle="1" w:styleId="3Char0" w:type="character">
    <w:name w:val="正文文本缩进 3 Char"/>
    <w:link w:val="31"/>
    <w:uiPriority w:val="99"/>
    <w:locked/>
    <w:rsid w:val="006D141C"/>
    <w:rPr>
      <w:rFonts w:ascii="Arial" w:cs="Arial" w:hAnsi="Arial"/>
      <w:color w:val="FF0000"/>
      <w:kern w:val="2"/>
      <w:sz w:val="24"/>
      <w:szCs w:val="24"/>
    </w:rPr>
  </w:style>
  <w:style w:styleId="a9" w:type="paragraph">
    <w:name w:val="header"/>
    <w:basedOn w:val="a"/>
    <w:link w:val="Char2"/>
    <w:uiPriority w:val="99"/>
    <w:rsid w:val="00FB732E"/>
    <w:pPr>
      <w:pBdr>
        <w:bottom w:color="auto" w:space="1" w:sz="6" w:val="single"/>
      </w:pBdr>
      <w:tabs>
        <w:tab w:pos="4153" w:val="center"/>
        <w:tab w:pos="8306" w:val="right"/>
      </w:tabs>
      <w:snapToGrid w:val="0"/>
      <w:jc w:val="center"/>
    </w:pPr>
    <w:rPr>
      <w:sz w:val="18"/>
      <w:szCs w:val="18"/>
    </w:rPr>
  </w:style>
  <w:style w:customStyle="1" w:styleId="Char2" w:type="character">
    <w:name w:val="页眉 Char"/>
    <w:link w:val="a9"/>
    <w:uiPriority w:val="99"/>
    <w:locked/>
    <w:rsid w:val="006D141C"/>
    <w:rPr>
      <w:rFonts w:cs="Times New Roman"/>
      <w:kern w:val="2"/>
      <w:sz w:val="18"/>
      <w:szCs w:val="18"/>
    </w:rPr>
  </w:style>
  <w:style w:styleId="aa" w:type="character">
    <w:name w:val="FollowedHyperlink"/>
    <w:uiPriority w:val="99"/>
    <w:rsid w:val="00FB732E"/>
    <w:rPr>
      <w:rFonts w:cs="Times New Roman"/>
      <w:color w:val="800080"/>
      <w:u w:val="single"/>
    </w:rPr>
  </w:style>
  <w:style w:styleId="ab" w:type="paragraph">
    <w:name w:val="List"/>
    <w:basedOn w:val="ac"/>
    <w:uiPriority w:val="99"/>
    <w:rsid w:val="00FB732E"/>
    <w:pPr>
      <w:spacing w:after="220" w:line="220" w:lineRule="atLeast"/>
      <w:ind w:hanging="360" w:left="1440"/>
    </w:pPr>
    <w:rPr>
      <w:szCs w:val="20"/>
    </w:rPr>
  </w:style>
  <w:style w:styleId="ac" w:type="paragraph">
    <w:name w:val="Body Text"/>
    <w:basedOn w:val="a"/>
    <w:link w:val="Char3"/>
    <w:uiPriority w:val="99"/>
    <w:rsid w:val="00FB732E"/>
    <w:pPr>
      <w:spacing w:after="120"/>
    </w:pPr>
  </w:style>
  <w:style w:customStyle="1" w:styleId="Char3" w:type="character">
    <w:name w:val="正文文本 Char"/>
    <w:link w:val="ac"/>
    <w:uiPriority w:val="99"/>
    <w:locked/>
    <w:rsid w:val="006D141C"/>
    <w:rPr>
      <w:rFonts w:cs="Times New Roman"/>
      <w:kern w:val="2"/>
      <w:sz w:val="24"/>
      <w:szCs w:val="24"/>
    </w:rPr>
  </w:style>
  <w:style w:styleId="ad" w:type="paragraph">
    <w:name w:val="Date"/>
    <w:basedOn w:val="a"/>
    <w:next w:val="a"/>
    <w:link w:val="Char4"/>
    <w:uiPriority w:val="99"/>
    <w:rsid w:val="00FB732E"/>
    <w:rPr>
      <w:sz w:val="24"/>
      <w:szCs w:val="20"/>
    </w:rPr>
  </w:style>
  <w:style w:customStyle="1" w:styleId="Char4" w:type="character">
    <w:name w:val="日期 Char"/>
    <w:link w:val="ad"/>
    <w:uiPriority w:val="99"/>
    <w:locked/>
    <w:rsid w:val="006D141C"/>
    <w:rPr>
      <w:rFonts w:cs="Times New Roman"/>
      <w:kern w:val="2"/>
      <w:sz w:val="24"/>
    </w:rPr>
  </w:style>
  <w:style w:customStyle="1" w:styleId="c1" w:type="character">
    <w:name w:val="c1"/>
    <w:uiPriority w:val="99"/>
    <w:rsid w:val="00FB732E"/>
    <w:rPr>
      <w:color w:val="000000"/>
      <w:spacing w:val="300"/>
      <w:sz w:val="18"/>
    </w:rPr>
  </w:style>
  <w:style w:styleId="10" w:type="paragraph">
    <w:name w:val="index 1"/>
    <w:basedOn w:val="a"/>
    <w:next w:val="a"/>
    <w:autoRedefine/>
    <w:uiPriority w:val="99"/>
    <w:semiHidden/>
    <w:rsid w:val="00FB732E"/>
    <w:pPr>
      <w:jc w:val="right"/>
    </w:pPr>
    <w:rPr>
      <w:color w:val="008000"/>
    </w:rPr>
  </w:style>
  <w:style w:customStyle="1" w:styleId="font5" w:type="paragraph">
    <w:name w:val="font5"/>
    <w:basedOn w:val="a"/>
    <w:uiPriority w:val="99"/>
    <w:rsid w:val="00FB732E"/>
    <w:pPr>
      <w:widowControl/>
      <w:spacing w:after="100" w:afterAutospacing="1" w:before="100" w:beforeAutospacing="1"/>
      <w:jc w:val="left"/>
    </w:pPr>
    <w:rPr>
      <w:rFonts w:ascii="宋体" w:cs="Arial Unicode MS" w:hAnsi="宋体"/>
      <w:kern w:val="0"/>
      <w:sz w:val="18"/>
      <w:szCs w:val="18"/>
    </w:rPr>
  </w:style>
  <w:style w:customStyle="1" w:styleId="xl24" w:type="paragraph">
    <w:name w:val="xl24"/>
    <w:basedOn w:val="a"/>
    <w:uiPriority w:val="99"/>
    <w:rsid w:val="00FB732E"/>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0000FF"/>
      <w:kern w:val="0"/>
      <w:sz w:val="29"/>
      <w:szCs w:val="29"/>
    </w:rPr>
  </w:style>
  <w:style w:customStyle="1" w:styleId="xl25" w:type="paragraph">
    <w:name w:val="xl2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hAnsi="Arial Unicode MS"/>
      <w:b/>
      <w:bCs/>
      <w:color w:val="000000"/>
      <w:kern w:val="0"/>
      <w:sz w:val="24"/>
    </w:rPr>
  </w:style>
  <w:style w:customStyle="1" w:styleId="xl26" w:type="paragraph">
    <w:name w:val="xl2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27" w:type="paragraph">
    <w:name w:val="xl2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12"/>
      <w:szCs w:val="12"/>
    </w:rPr>
  </w:style>
  <w:style w:customStyle="1" w:styleId="xl28" w:type="paragraph">
    <w:name w:val="xl2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hAnsi="Arial Unicode MS"/>
      <w:b/>
      <w:bCs/>
      <w:color w:val="000000"/>
      <w:kern w:val="0"/>
      <w:sz w:val="24"/>
    </w:rPr>
  </w:style>
  <w:style w:customStyle="1" w:styleId="xl29" w:type="paragraph">
    <w:name w:val="xl29"/>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0" w:type="paragraph">
    <w:name w:val="xl30"/>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1" w:type="paragraph">
    <w:name w:val="xl31"/>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2" w:type="paragraph">
    <w:name w:val="xl32"/>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3" w:type="paragraph">
    <w:name w:val="xl33"/>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color w:val="000000"/>
      <w:kern w:val="0"/>
      <w:sz w:val="22"/>
      <w:szCs w:val="22"/>
    </w:rPr>
  </w:style>
  <w:style w:customStyle="1" w:styleId="xl34" w:type="paragraph">
    <w:name w:val="xl34"/>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color w:val="000000"/>
      <w:kern w:val="0"/>
      <w:sz w:val="22"/>
      <w:szCs w:val="22"/>
    </w:rPr>
  </w:style>
  <w:style w:customStyle="1" w:styleId="xl35" w:type="paragraph">
    <w:name w:val="xl3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000000"/>
      <w:kern w:val="0"/>
      <w:sz w:val="23"/>
      <w:szCs w:val="23"/>
    </w:rPr>
  </w:style>
  <w:style w:customStyle="1" w:styleId="xl36" w:type="paragraph">
    <w:name w:val="xl3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FF0000"/>
      <w:kern w:val="0"/>
      <w:sz w:val="23"/>
      <w:szCs w:val="23"/>
    </w:rPr>
  </w:style>
  <w:style w:customStyle="1" w:styleId="xl37" w:type="paragraph">
    <w:name w:val="xl3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FF0000"/>
      <w:kern w:val="0"/>
      <w:sz w:val="23"/>
      <w:szCs w:val="23"/>
    </w:rPr>
  </w:style>
  <w:style w:customStyle="1" w:styleId="xl38" w:type="paragraph">
    <w:name w:val="xl3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FF0000"/>
      <w:kern w:val="0"/>
      <w:sz w:val="23"/>
      <w:szCs w:val="23"/>
    </w:rPr>
  </w:style>
  <w:style w:styleId="ae" w:type="paragraph">
    <w:name w:val="Balloon Text"/>
    <w:basedOn w:val="a"/>
    <w:link w:val="Char5"/>
    <w:uiPriority w:val="99"/>
    <w:semiHidden/>
    <w:rsid w:val="00FB732E"/>
    <w:rPr>
      <w:sz w:val="18"/>
      <w:szCs w:val="18"/>
    </w:rPr>
  </w:style>
  <w:style w:customStyle="1" w:styleId="Char5" w:type="character">
    <w:name w:val="批注框文本 Char"/>
    <w:link w:val="ae"/>
    <w:uiPriority w:val="99"/>
    <w:semiHidden/>
    <w:locked/>
    <w:rsid w:val="006D141C"/>
    <w:rPr>
      <w:rFonts w:cs="Times New Roman"/>
      <w:kern w:val="2"/>
      <w:sz w:val="18"/>
      <w:szCs w:val="18"/>
    </w:rPr>
  </w:style>
  <w:style w:styleId="af" w:type="character">
    <w:name w:val="annotation reference"/>
    <w:uiPriority w:val="99"/>
    <w:semiHidden/>
    <w:rsid w:val="00FB732E"/>
    <w:rPr>
      <w:rFonts w:cs="Times New Roman"/>
      <w:sz w:val="21"/>
    </w:rPr>
  </w:style>
  <w:style w:styleId="af0" w:type="paragraph">
    <w:name w:val="annotation text"/>
    <w:basedOn w:val="a"/>
    <w:link w:val="Char6"/>
    <w:uiPriority w:val="99"/>
    <w:semiHidden/>
    <w:rsid w:val="00FB732E"/>
    <w:pPr>
      <w:jc w:val="left"/>
    </w:pPr>
  </w:style>
  <w:style w:customStyle="1" w:styleId="Char6" w:type="character">
    <w:name w:val="批注文字 Char"/>
    <w:link w:val="af0"/>
    <w:uiPriority w:val="99"/>
    <w:semiHidden/>
    <w:locked/>
    <w:rsid w:val="006D141C"/>
    <w:rPr>
      <w:rFonts w:cs="Times New Roman"/>
      <w:kern w:val="2"/>
      <w:sz w:val="24"/>
      <w:szCs w:val="24"/>
    </w:rPr>
  </w:style>
  <w:style w:styleId="af1" w:type="paragraph">
    <w:name w:val="annotation subject"/>
    <w:basedOn w:val="af0"/>
    <w:next w:val="af0"/>
    <w:link w:val="Char7"/>
    <w:uiPriority w:val="99"/>
    <w:semiHidden/>
    <w:rsid w:val="00FB732E"/>
    <w:rPr>
      <w:b/>
      <w:bCs/>
    </w:rPr>
  </w:style>
  <w:style w:customStyle="1" w:styleId="Char7" w:type="character">
    <w:name w:val="批注主题 Char"/>
    <w:link w:val="af1"/>
    <w:uiPriority w:val="99"/>
    <w:semiHidden/>
    <w:locked/>
    <w:rsid w:val="006D141C"/>
    <w:rPr>
      <w:rFonts w:cs="Times New Roman"/>
      <w:b/>
      <w:bCs/>
      <w:kern w:val="2"/>
      <w:sz w:val="24"/>
      <w:szCs w:val="24"/>
    </w:rPr>
  </w:style>
  <w:style w:customStyle="1" w:styleId="Char8" w:type="paragraph">
    <w:name w:val="Char"/>
    <w:basedOn w:val="a"/>
    <w:uiPriority w:val="99"/>
    <w:rsid w:val="00FB732E"/>
  </w:style>
  <w:style w:styleId="af2" w:type="paragraph">
    <w:name w:val="Document Map"/>
    <w:basedOn w:val="a"/>
    <w:link w:val="Char9"/>
    <w:uiPriority w:val="99"/>
    <w:semiHidden/>
    <w:rsid w:val="000A549A"/>
    <w:pPr>
      <w:shd w:color="auto" w:fill="000080" w:val="clear"/>
    </w:pPr>
  </w:style>
  <w:style w:customStyle="1" w:styleId="Char9" w:type="character">
    <w:name w:val="文档结构图 Char"/>
    <w:link w:val="af2"/>
    <w:uiPriority w:val="99"/>
    <w:semiHidden/>
    <w:locked/>
    <w:rsid w:val="006D141C"/>
    <w:rPr>
      <w:rFonts w:cs="Times New Roman"/>
      <w:kern w:val="2"/>
      <w:sz w:val="24"/>
      <w:szCs w:val="24"/>
      <w:shd w:color="auto" w:fill="000080" w:val="clear"/>
    </w:rPr>
  </w:style>
  <w:style w:customStyle="1" w:styleId="af3" w:type="paragraph">
    <w:name w:val="正文 + (符号) 宋体"/>
    <w:aliases w:val="小四,紧缩量  0.2 磅"/>
    <w:basedOn w:val="a"/>
    <w:uiPriority w:val="99"/>
    <w:rsid w:val="00C22CCE"/>
    <w:pPr>
      <w:autoSpaceDE w:val="0"/>
      <w:autoSpaceDN w:val="0"/>
      <w:adjustRightInd w:val="0"/>
      <w:ind w:firstLine="1229" w:firstLineChars="512" w:right="1409" w:rightChars="671"/>
      <w:jc w:val="distribute"/>
    </w:pPr>
    <w:rPr>
      <w:sz w:val="24"/>
    </w:rPr>
  </w:style>
  <w:style w:styleId="af4" w:type="paragraph">
    <w:name w:val="footnote text"/>
    <w:basedOn w:val="a"/>
    <w:link w:val="Chara"/>
    <w:uiPriority w:val="99"/>
    <w:rsid w:val="00547D9C"/>
    <w:pPr>
      <w:snapToGrid w:val="0"/>
      <w:jc w:val="left"/>
    </w:pPr>
    <w:rPr>
      <w:sz w:val="18"/>
      <w:szCs w:val="18"/>
    </w:rPr>
  </w:style>
  <w:style w:customStyle="1" w:styleId="Chara" w:type="character">
    <w:name w:val="脚注文本 Char"/>
    <w:link w:val="af4"/>
    <w:uiPriority w:val="99"/>
    <w:locked/>
    <w:rsid w:val="006D141C"/>
    <w:rPr>
      <w:rFonts w:cs="Times New Roman"/>
      <w:kern w:val="2"/>
      <w:sz w:val="18"/>
      <w:szCs w:val="18"/>
    </w:rPr>
  </w:style>
  <w:style w:styleId="af5" w:type="character">
    <w:name w:val="footnote reference"/>
    <w:uiPriority w:val="99"/>
    <w:rsid w:val="00547D9C"/>
    <w:rPr>
      <w:rFonts w:cs="Times New Roman"/>
      <w:vertAlign w:val="superscript"/>
    </w:rPr>
  </w:style>
  <w:style w:styleId="af6" w:type="paragraph">
    <w:name w:val="Normal (Web)"/>
    <w:basedOn w:val="a"/>
    <w:uiPriority w:val="99"/>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043ABF"/>
  </w:style>
  <w:style w:customStyle="1" w:styleId="CharCharCharCharCharChar1CharCharChar" w:type="paragraph">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styleId="22" w:type="paragraph">
    <w:name w:val="toc 2"/>
    <w:basedOn w:val="a"/>
    <w:next w:val="a"/>
    <w:autoRedefine/>
    <w:uiPriority w:val="99"/>
    <w:semiHidden/>
    <w:rsid w:val="00D35D4A"/>
    <w:pPr>
      <w:tabs>
        <w:tab w:pos="1260" w:val="left"/>
        <w:tab w:leader="dot" w:pos="9072" w:val="right"/>
      </w:tabs>
      <w:ind w:left="420" w:leftChars="200"/>
    </w:pPr>
    <w:rPr>
      <w:kern w:val="0"/>
      <w:szCs w:val="21"/>
    </w:rPr>
  </w:style>
  <w:style w:customStyle="1" w:styleId="CharCharCharChar" w:type="paragraph">
    <w:name w:val="Char Char Char Char"/>
    <w:basedOn w:val="a"/>
    <w:autoRedefine/>
    <w:uiPriority w:val="99"/>
    <w:rsid w:val="005721D0"/>
    <w:pPr>
      <w:tabs>
        <w:tab w:pos="840" w:val="num"/>
      </w:tabs>
      <w:adjustRightInd w:val="0"/>
      <w:spacing w:line="360" w:lineRule="atLeast"/>
      <w:ind w:hanging="360" w:left="840"/>
      <w:textAlignment w:val="baseline"/>
    </w:pPr>
    <w:rPr>
      <w:sz w:val="24"/>
    </w:rPr>
  </w:style>
  <w:style w:styleId="11" w:type="paragraph">
    <w:name w:val="toc 1"/>
    <w:basedOn w:val="a"/>
    <w:next w:val="a"/>
    <w:autoRedefine/>
    <w:uiPriority w:val="99"/>
    <w:semiHidden/>
    <w:rsid w:val="00BE2A17"/>
    <w:pPr>
      <w:tabs>
        <w:tab w:leader="dot" w:pos="9072" w:val="right"/>
      </w:tabs>
    </w:pPr>
  </w:style>
  <w:style w:styleId="32" w:type="paragraph">
    <w:name w:val="toc 3"/>
    <w:basedOn w:val="a"/>
    <w:next w:val="a"/>
    <w:autoRedefine/>
    <w:uiPriority w:val="99"/>
    <w:semiHidden/>
    <w:rsid w:val="00954A89"/>
    <w:pPr>
      <w:ind w:left="840" w:leftChars="400"/>
    </w:pPr>
  </w:style>
  <w:style w:customStyle="1" w:styleId="CharCharCharCharCharChar1CharCharChar1" w:type="paragraph">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customStyle="1" w:styleId="Default" w:type="paragraph">
    <w:name w:val="Default"/>
    <w:uiPriority w:val="99"/>
    <w:rsid w:val="003C1272"/>
    <w:pPr>
      <w:widowControl w:val="0"/>
      <w:autoSpaceDE w:val="0"/>
      <w:autoSpaceDN w:val="0"/>
      <w:adjustRightInd w:val="0"/>
    </w:pPr>
    <w:rPr>
      <w:rFonts w:ascii="FangSong" w:cs="FangSong" w:hAnsi="FangSong"/>
      <w:color w:val="000000"/>
      <w:sz w:val="24"/>
      <w:szCs w:val="24"/>
    </w:rPr>
  </w:style>
  <w:style w:customStyle="1" w:styleId="5" w:type="numbering">
    <w:name w:val="样式5"/>
    <w:rsid w:val="003C1404"/>
    <w:pPr>
      <w:numPr>
        <w:numId w:val="8"/>
      </w:numPr>
    </w:pPr>
  </w:style>
  <w:style w:customStyle="1" w:styleId="3" w:type="numbering">
    <w:name w:val="样式3"/>
    <w:rsid w:val="003C1404"/>
    <w:pPr>
      <w:numPr>
        <w:numId w:val="7"/>
      </w:numPr>
    </w:pPr>
  </w:style>
  <w:style w:customStyle="1" w:styleId="4" w:type="numbering">
    <w:name w:val="样式4"/>
    <w:rsid w:val="003C1404"/>
    <w:pPr>
      <w:numPr>
        <w:numId w:val="9"/>
      </w:numPr>
    </w:pPr>
  </w:style>
  <w:style w:customStyle="1" w:styleId="2" w:type="numbering">
    <w:name w:val="样式2"/>
    <w:rsid w:val="003C1404"/>
    <w:pPr>
      <w:numPr>
        <w:numId w:val="16"/>
      </w:numPr>
    </w:pPr>
  </w:style>
  <w:style w:styleId="af8" w:type="paragraph">
    <w:name w:val="List Paragraph"/>
    <w:basedOn w:val="a"/>
    <w:uiPriority w:val="34"/>
    <w:qFormat/>
    <w:rsid w:val="004F1136"/>
    <w:pPr>
      <w:ind w:firstLine="420" w:firstLineChars="200"/>
    </w:pPr>
  </w:style>
</w:styles>
</file>

<file path=word/webSettings.xml><?xml version="1.0" encoding="utf-8"?>
<w:webSettings xmlns:r="http://schemas.openxmlformats.org/officeDocument/2006/relationships" xmlns:w="http://schemas.openxmlformats.org/wordprocessingml/2006/main">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oter4.xml" Type="http://schemas.openxmlformats.org/officeDocument/2006/relationships/footer"/>
<Relationship Id="rId16" Target="footer5.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91D5A-E66B-4EA1-874F-8B084DD3E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68</Pages>
  <Words>12336</Words>
  <Characters>70317</Characters>
  <Application>Microsoft Office Word</Application>
  <DocSecurity>0</DocSecurity>
  <Lines>585</Lines>
  <Paragraphs>164</Paragraphs>
  <ScaleCrop>false</ScaleCrop>
  <Company/>
  <LinksUpToDate>false</LinksUpToDate>
  <CharactersWithSpaces>82489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2013-08-19T07:44:00Z</dcterms:created>
  <dc:creator>bonnieliu</dc:creator>
  <cp:lastModifiedBy>Administrator</cp:lastModifiedBy>
  <cp:lastPrinted>2007-07-19T00:46:00Z</cp:lastPrinted>
  <dcterms:modified xsi:type="dcterms:W3CDTF">2018-09-20T05:38:00Z</dcterms:modified>
  <cp:revision>1250</cp:revision>
</cp:coreProperties>
</file>