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交银施罗德蓝筹混合型证券投资基金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交银蓝筹混合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519694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2007年8月8日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2,180,741,922.40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75%×中证100指数+25%×中证综合债券指数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本基金是一只混合型基金，以优质蓝筹股为主要投资对象，其风险和预期收益高于债券型基金和货币市场基金，低于股票型基金。属于承担较高风险、预期收益较高的证券投资基金品种。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7,200,667.33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-179,376,335.05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-0.0818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2,013,046,709.82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0.9231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-8.09%</w:t>
            </w:r>
          </w:p>
        </w:tc>
        <w:tc>
          <w:tcPr>
            <w:vAlign w:val="center"/>
          </w:tcPr>
          <w:p>
            <w:pPr>
              <w:jc w:val="center"/>
            </w:pPr>
            <w:r>
              <w:rPr>
                <w:color w:val="000000"/>
                <w:sz w:val="24"/>
                <w:szCs w:val="24"/>
              </w:rPr>
              <w:t>1.57%</w:t>
            </w:r>
          </w:p>
        </w:tc>
        <w:tc>
          <w:tcPr>
            <w:vAlign w:val="center"/>
          </w:tcPr>
          <w:p>
            <w:pPr>
              <w:jc w:val="center"/>
            </w:pPr>
            <w:r>
              <w:rPr>
                <w:color w:val="000000"/>
                <w:sz w:val="24"/>
                <w:szCs w:val="24"/>
              </w:rPr>
              <w:t>1.71%</w:t>
            </w:r>
          </w:p>
        </w:tc>
        <w:tc>
          <w:tcPr>
            <w:vAlign w:val="center"/>
          </w:tcPr>
          <w:p>
            <w:pPr>
              <w:jc w:val="center"/>
            </w:pPr>
            <w:r>
              <w:rPr>
                <w:color w:val="000000"/>
                <w:sz w:val="24"/>
                <w:szCs w:val="24"/>
              </w:rPr>
              <w:t>1.13%</w:t>
            </w:r>
          </w:p>
        </w:tc>
        <w:tc>
          <w:tcPr>
            <w:vAlign w:val="center"/>
          </w:tcPr>
          <w:p>
            <w:pPr>
              <w:jc w:val="center"/>
            </w:pPr>
            <w:r>
              <w:rPr>
                <w:color w:val="000000"/>
                <w:sz w:val="24"/>
                <w:szCs w:val="24"/>
              </w:rPr>
              <w:t>-9.80%</w:t>
            </w:r>
          </w:p>
        </w:tc>
        <w:tc>
          <w:tcPr>
            <w:vAlign w:val="center"/>
          </w:tcPr>
          <w:p>
            <w:pPr>
              <w:jc w:val="center"/>
            </w:pPr>
            <w:r>
              <w:rPr>
                <w:color w:val="000000"/>
                <w:sz w:val="24"/>
                <w:szCs w:val="24"/>
              </w:rPr>
              <w:t>0.44%</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本基金业绩比较基准自2015年10月1日起，由“75%×中证100指数+25%×中信全债指数”变更为“75%×中证100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交银施罗德蓝筹混合型证券投资基金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2007年8月8日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王少成</w:t>
            </w:r>
          </w:p>
        </w:tc>
        <w:tc>
          <w:tcPr>
            <w:vAlign w:val="center"/>
          </w:tcPr>
          <w:p>
            <w:pPr>
              <w:jc w:val="center"/>
            </w:pPr>
            <w:r>
              <w:rPr>
                <w:color w:val="000000"/>
                <w:sz w:val="24"/>
                <w:szCs w:val="24"/>
              </w:rPr>
              <w:t>交银成长混合、交银蓝筹混合、交银恒益灵活配置混合的基金经理，公司权益投资总监</w:t>
            </w:r>
          </w:p>
        </w:tc>
        <w:tc>
          <w:tcPr>
            <w:vAlign w:val="center"/>
          </w:tcPr>
          <w:p>
            <w:pPr>
              <w:jc w:val="center"/>
            </w:pPr>
            <w:r>
              <w:rPr>
                <w:color w:val="000000"/>
                <w:sz w:val="24"/>
                <w:szCs w:val="24"/>
              </w:rPr>
              <w:t>2018-09-28</w:t>
            </w:r>
          </w:p>
        </w:tc>
        <w:tc>
          <w:tcPr>
            <w:vAlign w:val="center"/>
          </w:tcPr>
          <w:p>
            <w:pPr>
              <w:jc w:val="center"/>
            </w:pPr>
            <w:r>
              <w:rPr>
                <w:color w:val="000000"/>
                <w:sz w:val="24"/>
                <w:szCs w:val="24"/>
              </w:rPr>
              <w:t>-</w:t>
            </w:r>
          </w:p>
        </w:tc>
        <w:tc>
          <w:tcPr>
            <w:vAlign w:val="center"/>
          </w:tcPr>
          <w:p>
            <w:pPr>
              <w:jc w:val="center"/>
            </w:pPr>
            <w:r>
              <w:rPr>
                <w:color w:val="000000"/>
                <w:sz w:val="24"/>
                <w:szCs w:val="24"/>
              </w:rPr>
              <w:t>15年</w:t>
            </w:r>
          </w:p>
        </w:tc>
        <w:tc>
          <w:tcPr>
            <w:vAlign w:val="center"/>
          </w:tcPr>
          <w:p>
            <w:pPr>
              <w:jc w:val="both"/>
            </w:pPr>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2013年7月2日至2019年6月17日担任交银施罗德成长30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二季度国内宏观经济增速趋于回落。一季度数据整体超预期后政治局会议重申高质量发展、从改革要红利以及房住不炒，刺激政策已边际刹车。随后地产调控与政府投资条例落地，结构性去杠杆方向不变。中美贸易战预计是一个持续反复的外生变量，将在很长一段时间提升A股市场的波动性。个别银行信用风险暴露之后，国内信用分层的态势越发明显，如果经济增速回落持续压制企业投资意愿和融资需求，预计信用环境将趋于收缩。</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基金整体仓位保持在中性的水平。二季度以来国内宏观形势的能见度下降持续压制市场的风险偏好。A股经历了风险偏好持续压缩的过程，确定性增长的板块获得持续的估值溢价。后续将看好科创板相关和通胀受益的板块和个股。</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1,604,091,798.48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79.45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1,604,091,798.48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79.45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413,949,488.43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20.50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1,031,413.07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0.05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2,019,072,699.98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114,867,534.32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5.71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363,431.25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1,058,507,204.78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52.58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28,332,289.35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176,600,395.10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33,869.94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13,215,532.00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0.66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4,878,360.00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0.24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169,134,625.14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8.40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38,158,556.60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1.90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1,604,091,798.48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79.68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603707</w:t>
            </w:r>
          </w:p>
        </w:tc>
        <w:tc>
          <w:tcPr>
            <w:vAlign w:val="center"/>
          </w:tcPr>
          <w:p>
            <w:pPr>
              <w:jc w:val="center"/>
            </w:pPr>
            <w:r>
              <w:rPr>
                <w:color w:val="000000"/>
                <w:sz w:val="24"/>
                <w:szCs w:val="24"/>
              </w:rPr>
              <w:t>健友股份</w:t>
            </w:r>
          </w:p>
        </w:tc>
        <w:tc>
          <w:tcPr>
            <w:vAlign w:val="center"/>
          </w:tcPr>
          <w:p>
            <w:pPr>
              <w:jc w:val="right"/>
            </w:pPr>
            <w:r>
              <w:rPr>
                <w:color w:val="000000"/>
                <w:sz w:val="24"/>
                <w:szCs w:val="24"/>
              </w:rPr>
              <w:t>5,263,807</w:t>
            </w:r>
          </w:p>
        </w:tc>
        <w:tc>
          <w:tcPr>
            <w:vAlign w:val="center"/>
          </w:tcPr>
          <w:p>
            <w:pPr>
              <w:jc w:val="right"/>
            </w:pPr>
            <w:r>
              <w:rPr>
                <w:color w:val="000000"/>
                <w:sz w:val="24"/>
                <w:szCs w:val="24"/>
              </w:rPr>
              <w:t>185,084,287.45</w:t>
            </w:r>
          </w:p>
        </w:tc>
        <w:tc>
          <w:tcPr>
            <w:vAlign w:val="center"/>
          </w:tcPr>
          <w:p>
            <w:pPr>
              <w:jc w:val="right"/>
            </w:pPr>
            <w:r>
              <w:rPr>
                <w:color w:val="000000"/>
                <w:sz w:val="24"/>
                <w:szCs w:val="24"/>
              </w:rPr>
              <w:t>9.19</w:t>
            </w:r>
          </w:p>
        </w:tc>
      </w:tr>
      <w:tr>
        <w:tc>
          <w:tcPr>
            <w:vAlign w:val="center"/>
          </w:tcPr>
          <w:p>
            <w:pPr>
              <w:jc w:val="center"/>
            </w:pPr>
            <w:r>
              <w:rPr>
                <w:color w:val="000000"/>
                <w:sz w:val="24"/>
                <w:szCs w:val="24"/>
              </w:rPr>
              <w:t>2</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12,318,618</w:t>
            </w:r>
          </w:p>
        </w:tc>
        <w:tc>
          <w:tcPr>
            <w:vAlign w:val="center"/>
          </w:tcPr>
          <w:p>
            <w:pPr>
              <w:jc w:val="right"/>
            </w:pPr>
            <w:r>
              <w:rPr>
                <w:color w:val="000000"/>
                <w:sz w:val="24"/>
                <w:szCs w:val="24"/>
              </w:rPr>
              <w:t>169,134,625.14</w:t>
            </w:r>
          </w:p>
        </w:tc>
        <w:tc>
          <w:tcPr>
            <w:vAlign w:val="center"/>
          </w:tcPr>
          <w:p>
            <w:pPr>
              <w:jc w:val="right"/>
            </w:pPr>
            <w:r>
              <w:rPr>
                <w:color w:val="000000"/>
                <w:sz w:val="24"/>
                <w:szCs w:val="24"/>
              </w:rPr>
              <w:t>8.40</w:t>
            </w:r>
          </w:p>
        </w:tc>
      </w:tr>
      <w:tr>
        <w:tc>
          <w:tcPr>
            <w:vAlign w:val="center"/>
          </w:tcPr>
          <w:p>
            <w:pPr>
              <w:jc w:val="center"/>
            </w:pPr>
            <w:r>
              <w:rPr>
                <w:color w:val="000000"/>
                <w:sz w:val="24"/>
                <w:szCs w:val="24"/>
              </w:rPr>
              <w:t>3</w:t>
            </w:r>
          </w:p>
        </w:tc>
        <w:tc>
          <w:tcPr>
            <w:vAlign w:val="center"/>
          </w:tcPr>
          <w:p>
            <w:pPr>
              <w:jc w:val="center"/>
            </w:pPr>
            <w:r>
              <w:rPr>
                <w:color w:val="000000"/>
                <w:sz w:val="24"/>
                <w:szCs w:val="24"/>
              </w:rPr>
              <w:t>002180</w:t>
            </w:r>
          </w:p>
        </w:tc>
        <w:tc>
          <w:tcPr>
            <w:vAlign w:val="center"/>
          </w:tcPr>
          <w:p>
            <w:pPr>
              <w:jc w:val="center"/>
            </w:pPr>
            <w:r>
              <w:rPr>
                <w:color w:val="000000"/>
                <w:sz w:val="24"/>
                <w:szCs w:val="24"/>
              </w:rPr>
              <w:t>纳思达</w:t>
            </w:r>
          </w:p>
        </w:tc>
        <w:tc>
          <w:tcPr>
            <w:vAlign w:val="center"/>
          </w:tcPr>
          <w:p>
            <w:pPr>
              <w:jc w:val="right"/>
            </w:pPr>
            <w:r>
              <w:rPr>
                <w:color w:val="000000"/>
                <w:sz w:val="24"/>
                <w:szCs w:val="24"/>
              </w:rPr>
              <w:t>5,521,669</w:t>
            </w:r>
          </w:p>
        </w:tc>
        <w:tc>
          <w:tcPr>
            <w:vAlign w:val="center"/>
          </w:tcPr>
          <w:p>
            <w:pPr>
              <w:jc w:val="right"/>
            </w:pPr>
            <w:r>
              <w:rPr>
                <w:color w:val="000000"/>
                <w:sz w:val="24"/>
                <w:szCs w:val="24"/>
              </w:rPr>
              <w:t>124,789,719.40</w:t>
            </w:r>
          </w:p>
        </w:tc>
        <w:tc>
          <w:tcPr>
            <w:vAlign w:val="center"/>
          </w:tcPr>
          <w:p>
            <w:pPr>
              <w:jc w:val="right"/>
            </w:pPr>
            <w:r>
              <w:rPr>
                <w:color w:val="000000"/>
                <w:sz w:val="24"/>
                <w:szCs w:val="24"/>
              </w:rPr>
              <w:t>6.20</w:t>
            </w:r>
          </w:p>
        </w:tc>
      </w:tr>
      <w:tr>
        <w:tc>
          <w:tcPr>
            <w:vAlign w:val="center"/>
          </w:tcPr>
          <w:p>
            <w:pPr>
              <w:jc w:val="center"/>
            </w:pPr>
            <w:r>
              <w:rPr>
                <w:color w:val="000000"/>
                <w:sz w:val="24"/>
                <w:szCs w:val="24"/>
              </w:rPr>
              <w:t>4</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11,699,701</w:t>
            </w:r>
          </w:p>
        </w:tc>
        <w:tc>
          <w:tcPr>
            <w:vAlign w:val="center"/>
          </w:tcPr>
          <w:p>
            <w:pPr>
              <w:jc w:val="right"/>
            </w:pPr>
            <w:r>
              <w:rPr>
                <w:color w:val="000000"/>
                <w:sz w:val="24"/>
                <w:szCs w:val="24"/>
              </w:rPr>
              <w:t>119,570,944.22</w:t>
            </w:r>
          </w:p>
        </w:tc>
        <w:tc>
          <w:tcPr>
            <w:vAlign w:val="center"/>
          </w:tcPr>
          <w:p>
            <w:pPr>
              <w:jc w:val="right"/>
            </w:pPr>
            <w:r>
              <w:rPr>
                <w:color w:val="000000"/>
                <w:sz w:val="24"/>
                <w:szCs w:val="24"/>
              </w:rPr>
              <w:t>5.94</w:t>
            </w:r>
          </w:p>
        </w:tc>
      </w:tr>
      <w:tr>
        <w:tc>
          <w:tcPr>
            <w:vAlign w:val="center"/>
          </w:tcPr>
          <w:p>
            <w:pPr>
              <w:jc w:val="center"/>
            </w:pPr>
            <w:r>
              <w:rPr>
                <w:color w:val="000000"/>
                <w:sz w:val="24"/>
                <w:szCs w:val="24"/>
              </w:rPr>
              <w:t>5</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5,866,184</w:t>
            </w:r>
          </w:p>
        </w:tc>
        <w:tc>
          <w:tcPr>
            <w:vAlign w:val="center"/>
          </w:tcPr>
          <w:p>
            <w:pPr>
              <w:jc w:val="right"/>
            </w:pPr>
            <w:r>
              <w:rPr>
                <w:color w:val="000000"/>
                <w:sz w:val="24"/>
                <w:szCs w:val="24"/>
              </w:rPr>
              <w:t>113,803,969.60</w:t>
            </w:r>
          </w:p>
        </w:tc>
        <w:tc>
          <w:tcPr>
            <w:vAlign w:val="center"/>
          </w:tcPr>
          <w:p>
            <w:pPr>
              <w:jc w:val="right"/>
            </w:pPr>
            <w:r>
              <w:rPr>
                <w:color w:val="000000"/>
                <w:sz w:val="24"/>
                <w:szCs w:val="24"/>
              </w:rPr>
              <w:t>5.65</w:t>
            </w:r>
          </w:p>
        </w:tc>
      </w:tr>
      <w:tr>
        <w:tc>
          <w:tcPr>
            <w:vAlign w:val="center"/>
          </w:tcPr>
          <w:p>
            <w:pPr>
              <w:jc w:val="center"/>
            </w:pPr>
            <w:r>
              <w:rPr>
                <w:color w:val="000000"/>
                <w:sz w:val="24"/>
                <w:szCs w:val="24"/>
              </w:rPr>
              <w:t>6</w:t>
            </w:r>
          </w:p>
        </w:tc>
        <w:tc>
          <w:tcPr>
            <w:vAlign w:val="center"/>
          </w:tcPr>
          <w:p>
            <w:pPr>
              <w:jc w:val="center"/>
            </w:pPr>
            <w:r>
              <w:rPr>
                <w:color w:val="000000"/>
                <w:sz w:val="24"/>
                <w:szCs w:val="24"/>
              </w:rPr>
              <w:t>300498</w:t>
            </w:r>
          </w:p>
        </w:tc>
        <w:tc>
          <w:tcPr>
            <w:vAlign w:val="center"/>
          </w:tcPr>
          <w:p>
            <w:pPr>
              <w:jc w:val="center"/>
            </w:pPr>
            <w:r>
              <w:rPr>
                <w:color w:val="000000"/>
                <w:sz w:val="24"/>
                <w:szCs w:val="24"/>
              </w:rPr>
              <w:t>温氏股份</w:t>
            </w:r>
          </w:p>
        </w:tc>
        <w:tc>
          <w:tcPr>
            <w:vAlign w:val="center"/>
          </w:tcPr>
          <w:p>
            <w:pPr>
              <w:jc w:val="right"/>
            </w:pPr>
            <w:r>
              <w:rPr>
                <w:color w:val="000000"/>
                <w:sz w:val="24"/>
                <w:szCs w:val="24"/>
              </w:rPr>
              <w:t>3,050,441</w:t>
            </w:r>
          </w:p>
        </w:tc>
        <w:tc>
          <w:tcPr>
            <w:vAlign w:val="center"/>
          </w:tcPr>
          <w:p>
            <w:pPr>
              <w:jc w:val="right"/>
            </w:pPr>
            <w:r>
              <w:rPr>
                <w:color w:val="000000"/>
                <w:sz w:val="24"/>
                <w:szCs w:val="24"/>
              </w:rPr>
              <w:t>109,388,814.26</w:t>
            </w:r>
          </w:p>
        </w:tc>
        <w:tc>
          <w:tcPr>
            <w:vAlign w:val="center"/>
          </w:tcPr>
          <w:p>
            <w:pPr>
              <w:jc w:val="right"/>
            </w:pPr>
            <w:r>
              <w:rPr>
                <w:color w:val="000000"/>
                <w:sz w:val="24"/>
                <w:szCs w:val="24"/>
              </w:rPr>
              <w:t>5.43</w:t>
            </w:r>
          </w:p>
        </w:tc>
      </w:tr>
      <w:tr>
        <w:tc>
          <w:tcPr>
            <w:vAlign w:val="center"/>
          </w:tcPr>
          <w:p>
            <w:pPr>
              <w:jc w:val="center"/>
            </w:pPr>
            <w:r>
              <w:rPr>
                <w:color w:val="000000"/>
                <w:sz w:val="24"/>
                <w:szCs w:val="24"/>
              </w:rPr>
              <w:t>7</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3,079,385</w:t>
            </w:r>
          </w:p>
        </w:tc>
        <w:tc>
          <w:tcPr>
            <w:vAlign w:val="center"/>
          </w:tcPr>
          <w:p>
            <w:pPr>
              <w:jc w:val="right"/>
            </w:pPr>
            <w:r>
              <w:rPr>
                <w:color w:val="000000"/>
                <w:sz w:val="24"/>
                <w:szCs w:val="24"/>
              </w:rPr>
              <w:t>102,358,757.40</w:t>
            </w:r>
          </w:p>
        </w:tc>
        <w:tc>
          <w:tcPr>
            <w:vAlign w:val="center"/>
          </w:tcPr>
          <w:p>
            <w:pPr>
              <w:jc w:val="right"/>
            </w:pPr>
            <w:r>
              <w:rPr>
                <w:color w:val="000000"/>
                <w:sz w:val="24"/>
                <w:szCs w:val="24"/>
              </w:rPr>
              <w:t>5.08</w:t>
            </w:r>
          </w:p>
        </w:tc>
      </w:tr>
      <w:tr>
        <w:tc>
          <w:tcPr>
            <w:vAlign w:val="center"/>
          </w:tcPr>
          <w:p>
            <w:pPr>
              <w:jc w:val="center"/>
            </w:pPr>
            <w:r>
              <w:rPr>
                <w:color w:val="000000"/>
                <w:sz w:val="24"/>
                <w:szCs w:val="24"/>
              </w:rPr>
              <w:t>8</w:t>
            </w:r>
          </w:p>
        </w:tc>
        <w:tc>
          <w:tcPr>
            <w:vAlign w:val="center"/>
          </w:tcPr>
          <w:p>
            <w:pPr>
              <w:jc w:val="center"/>
            </w:pPr>
            <w:r>
              <w:rPr>
                <w:color w:val="000000"/>
                <w:sz w:val="24"/>
                <w:szCs w:val="24"/>
              </w:rPr>
              <w:t>600216</w:t>
            </w:r>
          </w:p>
        </w:tc>
        <w:tc>
          <w:tcPr>
            <w:vAlign w:val="center"/>
          </w:tcPr>
          <w:p>
            <w:pPr>
              <w:jc w:val="center"/>
            </w:pPr>
            <w:r>
              <w:rPr>
                <w:color w:val="000000"/>
                <w:sz w:val="24"/>
                <w:szCs w:val="24"/>
              </w:rPr>
              <w:t>浙江医药</w:t>
            </w:r>
          </w:p>
        </w:tc>
        <w:tc>
          <w:tcPr>
            <w:vAlign w:val="center"/>
          </w:tcPr>
          <w:p>
            <w:pPr>
              <w:jc w:val="right"/>
            </w:pPr>
            <w:r>
              <w:rPr>
                <w:color w:val="000000"/>
                <w:sz w:val="24"/>
                <w:szCs w:val="24"/>
              </w:rPr>
              <w:t>9,116,900</w:t>
            </w:r>
          </w:p>
        </w:tc>
        <w:tc>
          <w:tcPr>
            <w:vAlign w:val="center"/>
          </w:tcPr>
          <w:p>
            <w:pPr>
              <w:jc w:val="right"/>
            </w:pPr>
            <w:r>
              <w:rPr>
                <w:color w:val="000000"/>
                <w:sz w:val="24"/>
                <w:szCs w:val="24"/>
              </w:rPr>
              <w:t>93,357,056.00</w:t>
            </w:r>
          </w:p>
        </w:tc>
        <w:tc>
          <w:tcPr>
            <w:vAlign w:val="center"/>
          </w:tcPr>
          <w:p>
            <w:pPr>
              <w:jc w:val="right"/>
            </w:pPr>
            <w:r>
              <w:rPr>
                <w:color w:val="000000"/>
                <w:sz w:val="24"/>
                <w:szCs w:val="24"/>
              </w:rPr>
              <w:t>4.64</w:t>
            </w:r>
          </w:p>
        </w:tc>
      </w:tr>
      <w:tr>
        <w:tc>
          <w:tcPr>
            <w:vAlign w:val="center"/>
          </w:tcPr>
          <w:p>
            <w:pPr>
              <w:jc w:val="center"/>
            </w:pPr>
            <w:r>
              <w:rPr>
                <w:color w:val="000000"/>
                <w:sz w:val="24"/>
                <w:szCs w:val="24"/>
              </w:rPr>
              <w:t>9</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2,059,036</w:t>
            </w:r>
          </w:p>
        </w:tc>
        <w:tc>
          <w:tcPr>
            <w:vAlign w:val="center"/>
          </w:tcPr>
          <w:p>
            <w:pPr>
              <w:jc w:val="right"/>
            </w:pPr>
            <w:r>
              <w:rPr>
                <w:color w:val="000000"/>
                <w:sz w:val="24"/>
                <w:szCs w:val="24"/>
              </w:rPr>
              <w:t>84,461,656.72</w:t>
            </w:r>
          </w:p>
        </w:tc>
        <w:tc>
          <w:tcPr>
            <w:vAlign w:val="center"/>
          </w:tcPr>
          <w:p>
            <w:pPr>
              <w:jc w:val="right"/>
            </w:pPr>
            <w:r>
              <w:rPr>
                <w:color w:val="000000"/>
                <w:sz w:val="24"/>
                <w:szCs w:val="24"/>
              </w:rPr>
              <w:t>4.20</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3,041,504</w:t>
            </w:r>
          </w:p>
        </w:tc>
        <w:tc>
          <w:tcPr>
            <w:vAlign w:val="center"/>
          </w:tcPr>
          <w:p>
            <w:pPr>
              <w:jc w:val="right"/>
            </w:pPr>
            <w:r>
              <w:rPr>
                <w:color w:val="000000"/>
                <w:sz w:val="24"/>
                <w:szCs w:val="24"/>
              </w:rPr>
              <w:t>68,920,480.64</w:t>
            </w:r>
          </w:p>
        </w:tc>
        <w:tc>
          <w:tcPr>
            <w:vAlign w:val="center"/>
          </w:tcPr>
          <w:p>
            <w:pPr>
              <w:jc w:val="right"/>
            </w:pPr>
            <w:r>
              <w:rPr>
                <w:color w:val="000000"/>
                <w:sz w:val="24"/>
                <w:szCs w:val="24"/>
              </w:rPr>
              <w:t>3.42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817,111.78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86,213.57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128,087.72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1,031,413.07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本基金本报告期末未持有处于转股期的可转换债券。</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603707</w:t>
            </w:r>
          </w:p>
        </w:tc>
        <w:tc>
          <w:tcPr>
            <w:vAlign w:val="center"/>
          </w:tcPr>
          <w:p>
            <w:pPr>
              <w:jc w:val="center"/>
            </w:pPr>
            <w:r>
              <w:rPr>
                <w:color w:val="000000"/>
                <w:sz w:val="24"/>
                <w:szCs w:val="24"/>
              </w:rPr>
              <w:t>健友股份</w:t>
            </w:r>
          </w:p>
        </w:tc>
        <w:tc>
          <w:tcPr>
            <w:vAlign w:val="center"/>
          </w:tcPr>
          <w:p>
            <w:pPr>
              <w:jc w:val="right"/>
            </w:pPr>
            <w:r>
              <w:rPr>
                <w:color w:val="000000"/>
                <w:sz w:val="24"/>
                <w:szCs w:val="24"/>
              </w:rPr>
              <w:t>19,264,260.00</w:t>
            </w:r>
          </w:p>
        </w:tc>
        <w:tc>
          <w:tcPr>
            <w:vAlign w:val="center"/>
          </w:tcPr>
          <w:p>
            <w:pPr>
              <w:jc w:val="right"/>
            </w:pPr>
            <w:r>
              <w:rPr>
                <w:color w:val="000000"/>
                <w:sz w:val="24"/>
                <w:szCs w:val="24"/>
              </w:rPr>
              <w:t>0.96</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2,203,399,940.71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67,867,576.53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90,525,594.84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2,180,741,922.40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1、中国证监会批准交银施罗德蓝筹股票证券投资基金募集的文件；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2、《交银施罗德蓝筹混合型证券投资基金基金合同》；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3、《交银施罗德蓝筹混合型证券投资基金招募说明书》；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4、《交银施罗德蓝筹混合型证券投资基金托管协议》；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5、关于募集交银施罗德蓝筹股票证券投资基金之法律意见书；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8、报告期内交银施罗德蓝筹混合型证券投资基金在指定报刊上各项公告的原稿。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交银施罗德蓝筹混合型证券投资基金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