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交银施罗德天运宝货币市场基金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二〇一九年七月十七日</w:t>
      </w:r>
    </w:p>
    <w:p w:rsidR="00902E3F" w:rsidRPr="000E4C40" w:rsidRDefault="00902E3F" w:rsidP="00306E89">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7D7CC1" w:rsidRDefault="00306E89">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D7CC1" w:rsidRDefault="00306E89">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D7CC1" w:rsidRDefault="00306E89">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D7CC1" w:rsidRDefault="00306E89">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D7CC1" w:rsidRDefault="00306E89">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06E89">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交银天运宝货币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005002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2017</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12,074,988.14</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交银天运宝货币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交银天运宝货币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005002</w:t>
            </w:r>
          </w:p>
        </w:tc>
        <w:tc>
          <w:tcPr>
            <w:tcW w:w="2923" w:type="dxa"/>
            <w:vAlign w:val="center"/>
          </w:tcPr>
          <w:p w:rsidR="00A805BC" w:rsidRPr="000E4C40" w:rsidRDefault="00A805BC" w:rsidP="00281564">
            <w:pPr>
              <w:spacing w:before="29" w:line="288" w:lineRule="auto"/>
              <w:jc w:val="left"/>
              <w:rPr>
                <w:sz w:val="24"/>
              </w:rPr>
            </w:pPr>
            <w:r w:rsidRPr="000E4C40">
              <w:rPr>
                <w:sz w:val="24"/>
              </w:rPr>
              <w:t>005003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6,992,710.64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5,082,277.50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06E89">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交银天运宝货币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交银天运宝货币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32,009.03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207,775.31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32,009.03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207,775.31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6,992,710.64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5,082,277.50</w:t>
            </w:r>
          </w:p>
        </w:tc>
      </w:tr>
    </w:tbl>
    <w:p w:rsidR="007D7CC1" w:rsidRDefault="00306E8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7D7CC1" w:rsidRDefault="00306E89">
      <w:pPr>
        <w:autoSpaceDE w:val="0"/>
        <w:autoSpaceDN w:val="0"/>
        <w:adjustRightInd w:val="0"/>
        <w:spacing w:before="29" w:line="288" w:lineRule="auto"/>
        <w:jc w:val="left"/>
        <w:rPr>
          <w:color w:val="000000"/>
          <w:sz w:val="24"/>
        </w:rPr>
      </w:pPr>
      <w:r>
        <w:rPr>
          <w:color w:val="000000"/>
          <w:sz w:val="24"/>
        </w:rPr>
        <w:t xml:space="preserve">   2</w:t>
      </w:r>
      <w:r>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0E4C40" w:rsidRDefault="00893021" w:rsidP="00281564">
      <w:pPr>
        <w:autoSpaceDE w:val="0"/>
        <w:autoSpaceDN w:val="0"/>
        <w:adjustRightInd w:val="0"/>
        <w:spacing w:before="29" w:line="288" w:lineRule="auto"/>
        <w:jc w:val="left"/>
        <w:rPr>
          <w:color w:val="000000"/>
          <w:sz w:val="24"/>
        </w:rPr>
      </w:pP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交银天运宝货币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7D7CC1">
        <w:trPr>
          <w:jc w:val="center"/>
        </w:trPr>
        <w:tc>
          <w:tcPr>
            <w:tcW w:w="1266" w:type="dxa"/>
            <w:vAlign w:val="center"/>
          </w:tcPr>
          <w:p w:rsidR="007D7CC1" w:rsidRDefault="00306E89">
            <w:pPr>
              <w:jc w:val="left"/>
            </w:pPr>
            <w:r>
              <w:rPr>
                <w:color w:val="000000"/>
              </w:rPr>
              <w:t>过去三个月</w:t>
            </w:r>
          </w:p>
        </w:tc>
        <w:tc>
          <w:tcPr>
            <w:tcW w:w="1267" w:type="dxa"/>
            <w:vAlign w:val="center"/>
          </w:tcPr>
          <w:p w:rsidR="007D7CC1" w:rsidRDefault="00306E89">
            <w:pPr>
              <w:jc w:val="center"/>
            </w:pPr>
            <w:r>
              <w:rPr>
                <w:color w:val="000000"/>
              </w:rPr>
              <w:t>0.3779%</w:t>
            </w:r>
          </w:p>
        </w:tc>
        <w:tc>
          <w:tcPr>
            <w:tcW w:w="1267" w:type="dxa"/>
            <w:vAlign w:val="center"/>
          </w:tcPr>
          <w:p w:rsidR="007D7CC1" w:rsidRDefault="00306E89">
            <w:pPr>
              <w:jc w:val="center"/>
            </w:pPr>
            <w:r>
              <w:rPr>
                <w:color w:val="000000"/>
              </w:rPr>
              <w:t>0.0008%</w:t>
            </w:r>
          </w:p>
        </w:tc>
        <w:tc>
          <w:tcPr>
            <w:tcW w:w="1267" w:type="dxa"/>
            <w:vAlign w:val="center"/>
          </w:tcPr>
          <w:p w:rsidR="007D7CC1" w:rsidRDefault="00306E89">
            <w:pPr>
              <w:jc w:val="center"/>
            </w:pPr>
            <w:r>
              <w:rPr>
                <w:color w:val="000000"/>
              </w:rPr>
              <w:t>0.0873%</w:t>
            </w:r>
          </w:p>
        </w:tc>
        <w:tc>
          <w:tcPr>
            <w:tcW w:w="1267" w:type="dxa"/>
            <w:vAlign w:val="center"/>
          </w:tcPr>
          <w:p w:rsidR="007D7CC1" w:rsidRDefault="00306E89">
            <w:pPr>
              <w:jc w:val="center"/>
            </w:pPr>
            <w:r>
              <w:rPr>
                <w:color w:val="000000"/>
              </w:rPr>
              <w:t>0.0000%</w:t>
            </w:r>
          </w:p>
        </w:tc>
        <w:tc>
          <w:tcPr>
            <w:tcW w:w="1267" w:type="dxa"/>
            <w:vAlign w:val="center"/>
          </w:tcPr>
          <w:p w:rsidR="007D7CC1" w:rsidRDefault="00306E89">
            <w:pPr>
              <w:jc w:val="center"/>
            </w:pPr>
            <w:r>
              <w:rPr>
                <w:color w:val="000000"/>
              </w:rPr>
              <w:t>0.2906%</w:t>
            </w:r>
          </w:p>
        </w:tc>
        <w:tc>
          <w:tcPr>
            <w:tcW w:w="1267" w:type="dxa"/>
            <w:vAlign w:val="center"/>
          </w:tcPr>
          <w:p w:rsidR="007D7CC1" w:rsidRDefault="00306E89">
            <w:pPr>
              <w:jc w:val="center"/>
            </w:pPr>
            <w:r>
              <w:rPr>
                <w:color w:val="000000"/>
              </w:rPr>
              <w:t>0.0008%</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交银天运宝货币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7D7CC1">
        <w:trPr>
          <w:jc w:val="center"/>
        </w:trPr>
        <w:tc>
          <w:tcPr>
            <w:tcW w:w="1266" w:type="dxa"/>
            <w:vAlign w:val="center"/>
          </w:tcPr>
          <w:p w:rsidR="007D7CC1" w:rsidRDefault="00306E89">
            <w:pPr>
              <w:jc w:val="left"/>
            </w:pPr>
            <w:r>
              <w:rPr>
                <w:color w:val="000000"/>
              </w:rPr>
              <w:t>过去三个月</w:t>
            </w:r>
          </w:p>
        </w:tc>
        <w:tc>
          <w:tcPr>
            <w:tcW w:w="1267" w:type="dxa"/>
            <w:vAlign w:val="center"/>
          </w:tcPr>
          <w:p w:rsidR="007D7CC1" w:rsidRDefault="00306E89">
            <w:pPr>
              <w:jc w:val="center"/>
            </w:pPr>
            <w:r>
              <w:rPr>
                <w:color w:val="000000"/>
              </w:rPr>
              <w:t>0.4343%</w:t>
            </w:r>
          </w:p>
        </w:tc>
        <w:tc>
          <w:tcPr>
            <w:tcW w:w="1267" w:type="dxa"/>
            <w:vAlign w:val="center"/>
          </w:tcPr>
          <w:p w:rsidR="007D7CC1" w:rsidRDefault="00306E89">
            <w:pPr>
              <w:jc w:val="center"/>
            </w:pPr>
            <w:r>
              <w:rPr>
                <w:color w:val="000000"/>
              </w:rPr>
              <w:t>0.0008%</w:t>
            </w:r>
          </w:p>
        </w:tc>
        <w:tc>
          <w:tcPr>
            <w:tcW w:w="1267" w:type="dxa"/>
            <w:vAlign w:val="center"/>
          </w:tcPr>
          <w:p w:rsidR="007D7CC1" w:rsidRDefault="00306E89">
            <w:pPr>
              <w:jc w:val="center"/>
            </w:pPr>
            <w:r>
              <w:rPr>
                <w:color w:val="000000"/>
              </w:rPr>
              <w:t>0.0873%</w:t>
            </w:r>
          </w:p>
        </w:tc>
        <w:tc>
          <w:tcPr>
            <w:tcW w:w="1267" w:type="dxa"/>
            <w:vAlign w:val="center"/>
          </w:tcPr>
          <w:p w:rsidR="007D7CC1" w:rsidRDefault="00306E89">
            <w:pPr>
              <w:jc w:val="center"/>
            </w:pPr>
            <w:r>
              <w:rPr>
                <w:color w:val="000000"/>
              </w:rPr>
              <w:t>0.0000%</w:t>
            </w:r>
          </w:p>
        </w:tc>
        <w:tc>
          <w:tcPr>
            <w:tcW w:w="1267" w:type="dxa"/>
            <w:vAlign w:val="center"/>
          </w:tcPr>
          <w:p w:rsidR="007D7CC1" w:rsidRDefault="00306E89">
            <w:pPr>
              <w:jc w:val="center"/>
            </w:pPr>
            <w:r>
              <w:rPr>
                <w:color w:val="000000"/>
              </w:rPr>
              <w:t>0.3470%</w:t>
            </w:r>
          </w:p>
        </w:tc>
        <w:tc>
          <w:tcPr>
            <w:tcW w:w="1267" w:type="dxa"/>
            <w:vAlign w:val="center"/>
          </w:tcPr>
          <w:p w:rsidR="007D7CC1" w:rsidRDefault="00306E89">
            <w:pPr>
              <w:jc w:val="center"/>
            </w:pPr>
            <w:r>
              <w:rPr>
                <w:color w:val="000000"/>
              </w:rPr>
              <w:t>0.0008%</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交银施罗德天运宝货币市场基金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2017</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29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交银天运宝货币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lastRenderedPageBreak/>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交银天运宝货币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06E89">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7D7CC1">
        <w:trPr>
          <w:jc w:val="center"/>
        </w:trPr>
        <w:tc>
          <w:tcPr>
            <w:tcW w:w="945" w:type="dxa"/>
            <w:vAlign w:val="center"/>
          </w:tcPr>
          <w:p w:rsidR="007D7CC1" w:rsidRDefault="00306E89">
            <w:pPr>
              <w:jc w:val="center"/>
            </w:pPr>
            <w:r>
              <w:rPr>
                <w:color w:val="000000"/>
                <w:sz w:val="24"/>
              </w:rPr>
              <w:t>连端清</w:t>
            </w:r>
          </w:p>
        </w:tc>
        <w:tc>
          <w:tcPr>
            <w:tcW w:w="1589" w:type="dxa"/>
            <w:vAlign w:val="center"/>
          </w:tcPr>
          <w:p w:rsidR="007D7CC1" w:rsidRDefault="00306E8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w:t>
            </w:r>
            <w:r>
              <w:rPr>
                <w:color w:val="000000"/>
                <w:sz w:val="24"/>
              </w:rPr>
              <w:lastRenderedPageBreak/>
              <w:t>货币、交银天利宝货币、交银裕盈纯债债券、交银裕利纯债债券、交银裕隆纯债债券、交银天鑫宝货币、交银天益宝货币、交银境尚收益债券、交银天运宝货币的基金经理</w:t>
            </w:r>
          </w:p>
          <w:p w:rsidR="007D7CC1" w:rsidRDefault="007D7CC1">
            <w:pPr>
              <w:jc w:val="center"/>
            </w:pPr>
          </w:p>
        </w:tc>
        <w:tc>
          <w:tcPr>
            <w:tcW w:w="1478" w:type="dxa"/>
            <w:vAlign w:val="center"/>
          </w:tcPr>
          <w:p w:rsidR="007D7CC1" w:rsidRDefault="00306E89">
            <w:pPr>
              <w:jc w:val="center"/>
            </w:pPr>
            <w:r>
              <w:rPr>
                <w:color w:val="000000"/>
                <w:sz w:val="24"/>
              </w:rPr>
              <w:lastRenderedPageBreak/>
              <w:t>2017-12-29</w:t>
            </w:r>
          </w:p>
        </w:tc>
        <w:tc>
          <w:tcPr>
            <w:tcW w:w="1478" w:type="dxa"/>
            <w:vAlign w:val="center"/>
          </w:tcPr>
          <w:p w:rsidR="007D7CC1" w:rsidRDefault="00306E89">
            <w:pPr>
              <w:jc w:val="center"/>
            </w:pPr>
            <w:r>
              <w:rPr>
                <w:color w:val="000000"/>
                <w:sz w:val="24"/>
              </w:rPr>
              <w:t>-</w:t>
            </w:r>
          </w:p>
        </w:tc>
        <w:tc>
          <w:tcPr>
            <w:tcW w:w="986" w:type="dxa"/>
            <w:vAlign w:val="center"/>
          </w:tcPr>
          <w:p w:rsidR="007D7CC1" w:rsidRDefault="00306E89">
            <w:pPr>
              <w:jc w:val="center"/>
            </w:pPr>
            <w:r>
              <w:rPr>
                <w:color w:val="000000"/>
                <w:sz w:val="24"/>
              </w:rPr>
              <w:t>6</w:t>
            </w:r>
            <w:r>
              <w:rPr>
                <w:color w:val="000000"/>
                <w:sz w:val="24"/>
              </w:rPr>
              <w:t>年</w:t>
            </w:r>
          </w:p>
        </w:tc>
        <w:tc>
          <w:tcPr>
            <w:tcW w:w="2392" w:type="dxa"/>
            <w:vAlign w:val="center"/>
          </w:tcPr>
          <w:p w:rsidR="007D7CC1" w:rsidRDefault="00306E8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w:t>
            </w:r>
            <w:r>
              <w:rPr>
                <w:color w:val="000000"/>
                <w:sz w:val="24"/>
              </w:rPr>
              <w:lastRenderedPageBreak/>
              <w:t>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p w:rsidR="007D7CC1" w:rsidRDefault="007D7CC1"/>
          <w:p w:rsidR="007D7CC1" w:rsidRDefault="007D7CC1"/>
        </w:tc>
      </w:tr>
    </w:tbl>
    <w:p w:rsidR="007D7CC1" w:rsidRDefault="00306E89">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7D7CC1" w:rsidRDefault="00306E89">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7D7CC1" w:rsidRDefault="00306E8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D7CC1" w:rsidRDefault="00306E8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D7CC1" w:rsidRDefault="00306E8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次，是投资组合因投资策略需要而发生同日反向交易，未发现不公平交易和利益输送的情况。本基金与本公司管理的其他投资组合在不同时间窗下（如日内、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7D7CC1" w:rsidRDefault="00306E89">
      <w:pPr>
        <w:spacing w:before="29" w:line="288" w:lineRule="auto"/>
        <w:ind w:firstLineChars="200" w:firstLine="480"/>
        <w:rPr>
          <w:color w:val="000000"/>
          <w:sz w:val="24"/>
        </w:rPr>
      </w:pPr>
      <w:r>
        <w:rPr>
          <w:color w:val="000000"/>
          <w:sz w:val="24"/>
        </w:rPr>
        <w:t>2019</w:t>
      </w:r>
      <w:r>
        <w:rPr>
          <w:color w:val="000000"/>
          <w:sz w:val="24"/>
        </w:rPr>
        <w:t>年二季度国内经济再次放缓，工业增加值回落到</w:t>
      </w:r>
      <w:r>
        <w:rPr>
          <w:color w:val="000000"/>
          <w:sz w:val="24"/>
        </w:rPr>
        <w:t>5%</w:t>
      </w:r>
      <w:r>
        <w:rPr>
          <w:color w:val="000000"/>
          <w:sz w:val="24"/>
        </w:rPr>
        <w:t>的水平，累计固定资产投资走低到</w:t>
      </w:r>
      <w:r>
        <w:rPr>
          <w:color w:val="000000"/>
          <w:sz w:val="24"/>
        </w:rPr>
        <w:t>5.6%</w:t>
      </w:r>
      <w:r>
        <w:rPr>
          <w:color w:val="000000"/>
          <w:sz w:val="24"/>
        </w:rPr>
        <w:t>。但是，在中美贸易争端出现反复的情形下，贸易数据的超预期再次体现了中国经济的韧性，五月的贸易顺差提升到</w:t>
      </w:r>
      <w:r>
        <w:rPr>
          <w:color w:val="000000"/>
          <w:sz w:val="24"/>
        </w:rPr>
        <w:t>416</w:t>
      </w:r>
      <w:r>
        <w:rPr>
          <w:color w:val="000000"/>
          <w:sz w:val="24"/>
        </w:rPr>
        <w:t>亿美元。随着猪肉和蔬菜水果类价格的上涨，居民部门通胀水平从春节期间的</w:t>
      </w:r>
      <w:r>
        <w:rPr>
          <w:color w:val="000000"/>
          <w:sz w:val="24"/>
        </w:rPr>
        <w:t>1.5%</w:t>
      </w:r>
      <w:r>
        <w:rPr>
          <w:color w:val="000000"/>
          <w:sz w:val="24"/>
        </w:rPr>
        <w:t>攀升到五月的</w:t>
      </w:r>
      <w:r>
        <w:rPr>
          <w:color w:val="000000"/>
          <w:sz w:val="24"/>
        </w:rPr>
        <w:t>2.7%</w:t>
      </w:r>
      <w:r>
        <w:rPr>
          <w:color w:val="000000"/>
          <w:sz w:val="24"/>
        </w:rPr>
        <w:t>，且六月的</w:t>
      </w:r>
      <w:r>
        <w:rPr>
          <w:color w:val="000000"/>
          <w:sz w:val="24"/>
        </w:rPr>
        <w:t>CPI</w:t>
      </w:r>
      <w:r>
        <w:rPr>
          <w:color w:val="000000"/>
          <w:sz w:val="24"/>
        </w:rPr>
        <w:t>数据仍有走高的压力，通胀对货币政策的影响值得关注。海外方面，中美贸易争端再起波澜、美伊关系紧张程度加剧，都为全球经济增长带来负面影响。美联储年内降息预期升至三次，海外债券收益率水平在四月短暂平稳后，进入了五、六月的大幅下行：十年美债从</w:t>
      </w:r>
      <w:r>
        <w:rPr>
          <w:color w:val="000000"/>
          <w:sz w:val="24"/>
        </w:rPr>
        <w:t>2.53%</w:t>
      </w:r>
      <w:r>
        <w:rPr>
          <w:color w:val="000000"/>
          <w:sz w:val="24"/>
        </w:rPr>
        <w:t>的位置下行约</w:t>
      </w:r>
      <w:r>
        <w:rPr>
          <w:color w:val="000000"/>
          <w:sz w:val="24"/>
        </w:rPr>
        <w:t>50bps</w:t>
      </w:r>
      <w:r>
        <w:rPr>
          <w:color w:val="000000"/>
          <w:sz w:val="24"/>
        </w:rPr>
        <w:t>到</w:t>
      </w:r>
      <w:r>
        <w:rPr>
          <w:color w:val="000000"/>
          <w:sz w:val="24"/>
        </w:rPr>
        <w:t>2.03%</w:t>
      </w:r>
      <w:r>
        <w:rPr>
          <w:color w:val="000000"/>
          <w:sz w:val="24"/>
        </w:rPr>
        <w:t>附近。走弱的美元指数和美债收益率，降低了人民币贬值的压力，也为国内货币政策的操作打开了空间。央行货币政策方面，二季度的市场预期在与货币政策态度的边际变化确认中出现反复：四月市场整体流动性在经历一季度的宽松后开始收紧，随后五月末的银行信用风险暴露使得银行间信用收紧，央行为稳定市场情绪在六月加大了宽松力度。整体来看，货币市场资金水平在二季度表现出</w:t>
      </w:r>
      <w:r>
        <w:rPr>
          <w:color w:val="000000"/>
          <w:sz w:val="24"/>
        </w:rPr>
        <w:t>“</w:t>
      </w:r>
      <w:r>
        <w:rPr>
          <w:color w:val="000000"/>
          <w:sz w:val="24"/>
        </w:rPr>
        <w:t>前紧后松</w:t>
      </w:r>
      <w:r>
        <w:rPr>
          <w:color w:val="000000"/>
          <w:sz w:val="24"/>
        </w:rPr>
        <w:t>”</w:t>
      </w:r>
      <w:r>
        <w:rPr>
          <w:color w:val="000000"/>
          <w:sz w:val="24"/>
        </w:rPr>
        <w:t>的态势，银行间隔夜利率</w:t>
      </w:r>
      <w:r>
        <w:rPr>
          <w:color w:val="000000"/>
          <w:sz w:val="24"/>
        </w:rPr>
        <w:t>30</w:t>
      </w:r>
      <w:r>
        <w:rPr>
          <w:color w:val="000000"/>
          <w:sz w:val="24"/>
        </w:rPr>
        <w:t>天移动平均数从</w:t>
      </w:r>
      <w:r>
        <w:rPr>
          <w:color w:val="000000"/>
          <w:sz w:val="24"/>
        </w:rPr>
        <w:t>2.46%</w:t>
      </w:r>
      <w:r>
        <w:rPr>
          <w:color w:val="000000"/>
          <w:sz w:val="24"/>
        </w:rPr>
        <w:t>的高位走低至</w:t>
      </w:r>
      <w:r>
        <w:rPr>
          <w:color w:val="000000"/>
          <w:sz w:val="24"/>
        </w:rPr>
        <w:t>1.86%</w:t>
      </w:r>
      <w:r>
        <w:rPr>
          <w:color w:val="000000"/>
          <w:sz w:val="24"/>
        </w:rPr>
        <w:t>，下行幅度在</w:t>
      </w:r>
      <w:r>
        <w:rPr>
          <w:color w:val="000000"/>
          <w:sz w:val="24"/>
        </w:rPr>
        <w:t>60bps</w:t>
      </w:r>
      <w:r>
        <w:rPr>
          <w:color w:val="000000"/>
          <w:sz w:val="24"/>
        </w:rPr>
        <w:t>，七天和隔夜的利差扩大至</w:t>
      </w:r>
      <w:r>
        <w:rPr>
          <w:color w:val="000000"/>
          <w:sz w:val="24"/>
        </w:rPr>
        <w:t>50-60bps</w:t>
      </w:r>
      <w:r>
        <w:rPr>
          <w:color w:val="000000"/>
          <w:sz w:val="24"/>
        </w:rPr>
        <w:t>。银行存单市场收益率在六月出现下行，</w:t>
      </w:r>
      <w:r>
        <w:rPr>
          <w:color w:val="000000"/>
          <w:sz w:val="24"/>
        </w:rPr>
        <w:t>AAA</w:t>
      </w:r>
      <w:r>
        <w:rPr>
          <w:color w:val="000000"/>
          <w:sz w:val="24"/>
        </w:rPr>
        <w:t>评级的三个月银行存单在六月上旬成交在</w:t>
      </w:r>
      <w:r>
        <w:rPr>
          <w:color w:val="000000"/>
          <w:sz w:val="24"/>
        </w:rPr>
        <w:t>2.80-2.95%</w:t>
      </w:r>
      <w:r>
        <w:rPr>
          <w:color w:val="000000"/>
          <w:sz w:val="24"/>
        </w:rPr>
        <w:t>之间，到下旬后便快速回落到</w:t>
      </w:r>
      <w:r>
        <w:rPr>
          <w:color w:val="000000"/>
          <w:sz w:val="24"/>
        </w:rPr>
        <w:t>2.50%</w:t>
      </w:r>
      <w:r>
        <w:rPr>
          <w:color w:val="000000"/>
          <w:sz w:val="24"/>
        </w:rPr>
        <w:t>附近。报告期内，三个月上海银行间拆借利率下行</w:t>
      </w:r>
      <w:r>
        <w:rPr>
          <w:color w:val="000000"/>
          <w:sz w:val="24"/>
        </w:rPr>
        <w:t>9bps</w:t>
      </w:r>
      <w:r>
        <w:rPr>
          <w:color w:val="000000"/>
          <w:sz w:val="24"/>
        </w:rPr>
        <w:t>到</w:t>
      </w:r>
      <w:r>
        <w:rPr>
          <w:color w:val="000000"/>
          <w:sz w:val="24"/>
        </w:rPr>
        <w:t>2.71%</w:t>
      </w:r>
      <w:r>
        <w:rPr>
          <w:color w:val="000000"/>
          <w:sz w:val="24"/>
        </w:rPr>
        <w:t>。</w:t>
      </w:r>
    </w:p>
    <w:p w:rsidR="007D7CC1" w:rsidRDefault="00306E89">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基金操作方面，我们仍旧维持低杠杆、短久期的操作思路，多投资于估值波动较小的银行存款与回购等，组合整体流动性良好。季度末我们视组合流动性和市场情况，增</w:t>
      </w:r>
      <w:r>
        <w:rPr>
          <w:color w:val="000000"/>
          <w:sz w:val="24"/>
        </w:rPr>
        <w:lastRenderedPageBreak/>
        <w:t>配了高评级的同业存单、同业存款等，维持组合收益水平。</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2019</w:t>
      </w:r>
      <w:r w:rsidRPr="000E4C40">
        <w:rPr>
          <w:color w:val="000000"/>
          <w:sz w:val="24"/>
        </w:rPr>
        <w:t>年三季度，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应该会延续稳健宽松的状态，而财政政策将会更加积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10236C" w:rsidRDefault="0010236C" w:rsidP="0010236C">
      <w:pPr>
        <w:spacing w:before="29" w:line="288" w:lineRule="auto"/>
        <w:ind w:firstLineChars="200" w:firstLine="480"/>
        <w:rPr>
          <w:color w:val="000000"/>
          <w:sz w:val="24"/>
        </w:rPr>
      </w:pPr>
    </w:p>
    <w:p w:rsidR="00902E3F" w:rsidRPr="000E4C40" w:rsidRDefault="00902E3F" w:rsidP="00306E89">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12,169,130.95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99.96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4,371.14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0.04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lastRenderedPageBreak/>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12,173,502.09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0.11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42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100.79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100.79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本基金本报告期末未持有债券。</w:t>
      </w: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B2386B" w:rsidRPr="00B2386B" w:rsidRDefault="00B2386B" w:rsidP="00B2386B">
      <w:pPr>
        <w:autoSpaceDE w:val="0"/>
        <w:autoSpaceDN w:val="0"/>
        <w:adjustRightInd w:val="0"/>
        <w:spacing w:before="29" w:line="288" w:lineRule="auto"/>
        <w:jc w:val="left"/>
        <w:rPr>
          <w:color w:val="000000"/>
          <w:sz w:val="24"/>
        </w:rPr>
      </w:pPr>
      <w:r w:rsidRPr="00B2386B">
        <w:rPr>
          <w:rFonts w:hint="eastAsia"/>
          <w:color w:val="000000"/>
          <w:sz w:val="24"/>
        </w:rPr>
        <w:t>本基金本报告期末未持有债券。</w:t>
      </w:r>
    </w:p>
    <w:p w:rsidR="00B2386B" w:rsidRPr="00B2386B" w:rsidRDefault="00B2386B" w:rsidP="00281564">
      <w:pPr>
        <w:spacing w:before="29" w:line="288" w:lineRule="auto"/>
        <w:rPr>
          <w:rFonts w:hAnsi="宋体" w:hint="eastAsia"/>
          <w:b/>
          <w:color w:val="000000"/>
          <w:kern w:val="0"/>
          <w:sz w:val="24"/>
        </w:rPr>
      </w:pPr>
      <w:bookmarkStart w:id="2" w:name="_GoBack"/>
      <w:bookmarkEnd w:id="2"/>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0.0119%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-0.0073%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670A5F" w:rsidP="00281564">
            <w:pPr>
              <w:spacing w:before="29" w:line="288" w:lineRule="auto"/>
              <w:jc w:val="right"/>
              <w:rPr>
                <w:sz w:val="24"/>
              </w:rPr>
            </w:pPr>
            <w:r w:rsidRPr="00670A5F">
              <w:rPr>
                <w:color w:val="000000"/>
                <w:sz w:val="24"/>
              </w:rPr>
              <w:t>0.0034%</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lastRenderedPageBreak/>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Default="002304D5" w:rsidP="00281564">
      <w:pPr>
        <w:spacing w:before="29" w:line="288" w:lineRule="auto"/>
        <w:rPr>
          <w:rFonts w:hAnsi="宋体"/>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B6632C">
        <w:rPr>
          <w:rFonts w:hint="eastAsia"/>
          <w:color w:val="000000"/>
          <w:kern w:val="0"/>
          <w:sz w:val="24"/>
        </w:rPr>
        <w:t>期末</w:t>
      </w:r>
      <w:r w:rsidR="003B36B4" w:rsidRPr="000E4C40">
        <w:rPr>
          <w:rFonts w:hAnsi="宋体"/>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802.83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3,543.31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4,371.14</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06E89">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交银天运宝货币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交银天运宝货币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9,145,474.08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74,978,991.97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311,945.68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20,212,569.00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2,464,709.12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90,109,283.47</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6,992,710.64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5,082,277.50</w:t>
            </w:r>
          </w:p>
        </w:tc>
      </w:tr>
    </w:tbl>
    <w:p w:rsidR="007D7CC1" w:rsidRDefault="00306E8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7D7CC1" w:rsidRDefault="00306E89">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、如果本报告期间发生转换出、份额类别调整业务，则总赎回份额中包含该业务。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06E89">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306E89" w:rsidRPr="000E4C40" w:rsidTr="00306E89">
        <w:trPr>
          <w:trHeight w:val="340"/>
          <w:jc w:val="center"/>
        </w:trPr>
        <w:tc>
          <w:tcPr>
            <w:tcW w:w="1454" w:type="dxa"/>
            <w:vAlign w:val="center"/>
          </w:tcPr>
          <w:p w:rsidR="00306E89" w:rsidRPr="000E4C40" w:rsidRDefault="00306E89" w:rsidP="006F3230">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678" w:type="dxa"/>
            <w:vAlign w:val="center"/>
          </w:tcPr>
          <w:p w:rsidR="00306E89" w:rsidRPr="000E4C40" w:rsidRDefault="00306E89" w:rsidP="006F323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249" w:type="dxa"/>
            <w:vAlign w:val="center"/>
          </w:tcPr>
          <w:p w:rsidR="00306E89" w:rsidRPr="000E4C40" w:rsidRDefault="00306E89" w:rsidP="006F323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544" w:type="dxa"/>
            <w:vAlign w:val="center"/>
          </w:tcPr>
          <w:p w:rsidR="00306E89" w:rsidRPr="000E4C40" w:rsidRDefault="00306E89" w:rsidP="006F323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670" w:type="dxa"/>
            <w:vAlign w:val="center"/>
          </w:tcPr>
          <w:p w:rsidR="00306E89" w:rsidRPr="000E4C40" w:rsidRDefault="00306E89" w:rsidP="006F323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273" w:type="dxa"/>
            <w:vAlign w:val="center"/>
          </w:tcPr>
          <w:p w:rsidR="00306E89" w:rsidRPr="000E4C40" w:rsidRDefault="00306E89" w:rsidP="006F323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306E89" w:rsidTr="006F3230">
        <w:trPr>
          <w:jc w:val="center"/>
        </w:trPr>
        <w:tc>
          <w:tcPr>
            <w:tcW w:w="1454" w:type="dxa"/>
            <w:vAlign w:val="center"/>
          </w:tcPr>
          <w:p w:rsidR="00306E89" w:rsidRDefault="00306E89" w:rsidP="006F3230">
            <w:pPr>
              <w:jc w:val="center"/>
            </w:pPr>
            <w:r>
              <w:rPr>
                <w:color w:val="000000"/>
                <w:sz w:val="24"/>
              </w:rPr>
              <w:t>1</w:t>
            </w:r>
          </w:p>
        </w:tc>
        <w:tc>
          <w:tcPr>
            <w:tcW w:w="1678" w:type="dxa"/>
            <w:vAlign w:val="center"/>
          </w:tcPr>
          <w:p w:rsidR="00306E89" w:rsidRDefault="00306E89" w:rsidP="006F3230">
            <w:pPr>
              <w:jc w:val="center"/>
            </w:pPr>
            <w:r>
              <w:rPr>
                <w:color w:val="000000"/>
                <w:sz w:val="24"/>
              </w:rPr>
              <w:t>A</w:t>
            </w:r>
            <w:r>
              <w:rPr>
                <w:color w:val="000000"/>
                <w:sz w:val="24"/>
              </w:rPr>
              <w:t>类份额红利再投</w:t>
            </w:r>
          </w:p>
        </w:tc>
        <w:tc>
          <w:tcPr>
            <w:tcW w:w="1249" w:type="dxa"/>
            <w:vAlign w:val="center"/>
          </w:tcPr>
          <w:p w:rsidR="00306E89" w:rsidRDefault="00306E89" w:rsidP="006F3230">
            <w:pPr>
              <w:jc w:val="center"/>
            </w:pPr>
            <w:r>
              <w:rPr>
                <w:color w:val="000000"/>
                <w:sz w:val="24"/>
              </w:rPr>
              <w:t>-</w:t>
            </w:r>
          </w:p>
        </w:tc>
        <w:tc>
          <w:tcPr>
            <w:tcW w:w="1544" w:type="dxa"/>
            <w:vAlign w:val="center"/>
          </w:tcPr>
          <w:p w:rsidR="00306E89" w:rsidRDefault="00306E89" w:rsidP="006F3230">
            <w:pPr>
              <w:jc w:val="right"/>
            </w:pPr>
            <w:r>
              <w:rPr>
                <w:color w:val="000000"/>
                <w:sz w:val="24"/>
              </w:rPr>
              <w:t>12,806.79</w:t>
            </w:r>
          </w:p>
        </w:tc>
        <w:tc>
          <w:tcPr>
            <w:tcW w:w="1670" w:type="dxa"/>
            <w:vAlign w:val="center"/>
          </w:tcPr>
          <w:p w:rsidR="00306E89" w:rsidRDefault="00306E89" w:rsidP="006F3230">
            <w:pPr>
              <w:jc w:val="right"/>
            </w:pPr>
            <w:r>
              <w:rPr>
                <w:color w:val="000000"/>
                <w:sz w:val="24"/>
              </w:rPr>
              <w:t>12,806.79</w:t>
            </w:r>
          </w:p>
        </w:tc>
        <w:tc>
          <w:tcPr>
            <w:tcW w:w="1273" w:type="dxa"/>
            <w:vAlign w:val="center"/>
          </w:tcPr>
          <w:p w:rsidR="00306E89" w:rsidRDefault="00306E89" w:rsidP="006F3230">
            <w:pPr>
              <w:jc w:val="center"/>
            </w:pPr>
            <w:r>
              <w:rPr>
                <w:color w:val="000000"/>
                <w:sz w:val="24"/>
              </w:rPr>
              <w:t>0.00%</w:t>
            </w:r>
          </w:p>
        </w:tc>
      </w:tr>
      <w:tr w:rsidR="00306E89" w:rsidRPr="000E4C40" w:rsidTr="00306E89">
        <w:trPr>
          <w:trHeight w:val="340"/>
          <w:jc w:val="center"/>
        </w:trPr>
        <w:tc>
          <w:tcPr>
            <w:tcW w:w="1454" w:type="dxa"/>
            <w:vAlign w:val="center"/>
          </w:tcPr>
          <w:p w:rsidR="00306E89" w:rsidRPr="000E4C40" w:rsidRDefault="00306E89" w:rsidP="006F323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678" w:type="dxa"/>
            <w:vAlign w:val="center"/>
          </w:tcPr>
          <w:p w:rsidR="00306E89" w:rsidRPr="000E4C40" w:rsidRDefault="00306E89" w:rsidP="006F3230">
            <w:pPr>
              <w:adjustRightInd w:val="0"/>
              <w:snapToGrid w:val="0"/>
              <w:spacing w:before="29" w:line="288" w:lineRule="auto"/>
              <w:jc w:val="right"/>
              <w:rPr>
                <w:color w:val="0000FF"/>
                <w:kern w:val="0"/>
                <w:sz w:val="18"/>
              </w:rPr>
            </w:pPr>
          </w:p>
        </w:tc>
        <w:tc>
          <w:tcPr>
            <w:tcW w:w="1249" w:type="dxa"/>
            <w:vAlign w:val="center"/>
          </w:tcPr>
          <w:p w:rsidR="00306E89" w:rsidRPr="000E4C40" w:rsidRDefault="00306E89" w:rsidP="006F3230">
            <w:pPr>
              <w:adjustRightInd w:val="0"/>
              <w:snapToGrid w:val="0"/>
              <w:spacing w:before="29" w:line="288" w:lineRule="auto"/>
              <w:jc w:val="right"/>
              <w:rPr>
                <w:color w:val="0000FF"/>
                <w:kern w:val="0"/>
                <w:sz w:val="18"/>
              </w:rPr>
            </w:pPr>
          </w:p>
        </w:tc>
        <w:tc>
          <w:tcPr>
            <w:tcW w:w="1544" w:type="dxa"/>
            <w:vAlign w:val="center"/>
          </w:tcPr>
          <w:p w:rsidR="00306E89" w:rsidRPr="000E4C40" w:rsidRDefault="00306E89" w:rsidP="006F3230">
            <w:pPr>
              <w:adjustRightInd w:val="0"/>
              <w:snapToGrid w:val="0"/>
              <w:spacing w:before="29" w:line="288" w:lineRule="auto"/>
              <w:jc w:val="right"/>
              <w:rPr>
                <w:color w:val="000000"/>
                <w:sz w:val="24"/>
              </w:rPr>
            </w:pPr>
            <w:r w:rsidRPr="000E4C40">
              <w:rPr>
                <w:color w:val="000000"/>
                <w:sz w:val="24"/>
              </w:rPr>
              <w:t>12,806.79</w:t>
            </w:r>
          </w:p>
        </w:tc>
        <w:tc>
          <w:tcPr>
            <w:tcW w:w="1670" w:type="dxa"/>
            <w:vAlign w:val="center"/>
          </w:tcPr>
          <w:p w:rsidR="00306E89" w:rsidRPr="000E4C40" w:rsidRDefault="00306E89" w:rsidP="006F3230">
            <w:pPr>
              <w:adjustRightInd w:val="0"/>
              <w:snapToGrid w:val="0"/>
              <w:spacing w:before="29" w:line="288" w:lineRule="auto"/>
              <w:jc w:val="right"/>
              <w:rPr>
                <w:color w:val="000000"/>
                <w:sz w:val="24"/>
              </w:rPr>
            </w:pPr>
            <w:r w:rsidRPr="000E4C40">
              <w:rPr>
                <w:color w:val="000000"/>
                <w:sz w:val="24"/>
              </w:rPr>
              <w:t>12,806.79</w:t>
            </w:r>
          </w:p>
        </w:tc>
        <w:tc>
          <w:tcPr>
            <w:tcW w:w="1273" w:type="dxa"/>
            <w:vAlign w:val="center"/>
          </w:tcPr>
          <w:p w:rsidR="00306E89" w:rsidRPr="000E4C40" w:rsidRDefault="00306E89" w:rsidP="006F3230">
            <w:pPr>
              <w:adjustRightInd w:val="0"/>
              <w:snapToGrid w:val="0"/>
              <w:spacing w:before="29" w:line="288" w:lineRule="auto"/>
              <w:jc w:val="right"/>
              <w:rPr>
                <w:color w:val="0000FF"/>
                <w:kern w:val="0"/>
                <w:sz w:val="18"/>
              </w:rPr>
            </w:pPr>
          </w:p>
        </w:tc>
      </w:tr>
    </w:tbl>
    <w:p w:rsidR="00306E89" w:rsidRDefault="00306E89" w:rsidP="00306E8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3,079,831.10</w:t>
      </w:r>
      <w:r>
        <w:rPr>
          <w:color w:val="000000"/>
          <w:sz w:val="24"/>
        </w:rPr>
        <w:t>份，占本基金期末</w:t>
      </w:r>
      <w:r>
        <w:rPr>
          <w:color w:val="000000"/>
          <w:sz w:val="24"/>
        </w:rPr>
        <w:t>A</w:t>
      </w:r>
      <w:r>
        <w:rPr>
          <w:color w:val="000000"/>
          <w:sz w:val="24"/>
        </w:rPr>
        <w:t>类基金总份额的</w:t>
      </w:r>
      <w:r>
        <w:rPr>
          <w:color w:val="000000"/>
          <w:sz w:val="24"/>
        </w:rPr>
        <w:t>44.04%</w:t>
      </w:r>
      <w:r>
        <w:rPr>
          <w:color w:val="000000"/>
          <w:sz w:val="24"/>
        </w:rPr>
        <w:t>，本基金管理人本报告期末持有本基金</w:t>
      </w:r>
      <w:r>
        <w:rPr>
          <w:color w:val="000000"/>
          <w:sz w:val="24"/>
        </w:rPr>
        <w:t>E</w:t>
      </w:r>
      <w:r>
        <w:rPr>
          <w:color w:val="000000"/>
          <w:sz w:val="24"/>
        </w:rPr>
        <w:t>类份额</w:t>
      </w:r>
      <w:r>
        <w:rPr>
          <w:color w:val="000000"/>
          <w:sz w:val="24"/>
        </w:rPr>
        <w:t>0.00</w:t>
      </w:r>
      <w:r>
        <w:rPr>
          <w:color w:val="000000"/>
          <w:sz w:val="24"/>
        </w:rPr>
        <w:t>份，占本基金期末</w:t>
      </w:r>
      <w:r>
        <w:rPr>
          <w:color w:val="000000"/>
          <w:sz w:val="24"/>
        </w:rPr>
        <w:t>E</w:t>
      </w:r>
      <w:r>
        <w:rPr>
          <w:color w:val="000000"/>
          <w:sz w:val="24"/>
        </w:rPr>
        <w:t>类基金总份额的</w:t>
      </w:r>
      <w:r>
        <w:rPr>
          <w:color w:val="000000"/>
          <w:sz w:val="24"/>
        </w:rPr>
        <w:t>0.00%</w:t>
      </w:r>
      <w:r>
        <w:rPr>
          <w:color w:val="000000"/>
          <w:sz w:val="24"/>
        </w:rPr>
        <w:t>。</w:t>
      </w:r>
    </w:p>
    <w:p w:rsidR="00306E89" w:rsidRPr="000E4C40" w:rsidRDefault="00306E89" w:rsidP="00306E89">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306E89" w:rsidRDefault="0018245B" w:rsidP="00281564">
      <w:pPr>
        <w:autoSpaceDE w:val="0"/>
        <w:autoSpaceDN w:val="0"/>
        <w:adjustRightInd w:val="0"/>
        <w:spacing w:before="29" w:line="288" w:lineRule="auto"/>
        <w:jc w:val="left"/>
        <w:rPr>
          <w:color w:val="000000"/>
          <w:sz w:val="24"/>
        </w:rPr>
      </w:pPr>
    </w:p>
    <w:p w:rsidR="003D1E1A" w:rsidRDefault="003D1E1A" w:rsidP="00306E89">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lastRenderedPageBreak/>
              <w:t>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D7CC1">
        <w:tc>
          <w:tcPr>
            <w:tcW w:w="992" w:type="dxa"/>
            <w:vMerge w:val="restart"/>
          </w:tcPr>
          <w:p w:rsidR="007D7CC1" w:rsidRDefault="007D7CC1"/>
          <w:p w:rsidR="007D7CC1" w:rsidRDefault="00306E89">
            <w:r>
              <w:rPr>
                <w:rFonts w:ascii="宋体" w:hAnsi="宋体" w:hint="eastAsia"/>
                <w:bCs/>
                <w:color w:val="000000"/>
                <w:kern w:val="0"/>
                <w:szCs w:val="21"/>
              </w:rPr>
              <w:t>机构</w:t>
            </w:r>
          </w:p>
        </w:tc>
        <w:tc>
          <w:tcPr>
            <w:tcW w:w="991" w:type="dxa"/>
            <w:vAlign w:val="center"/>
          </w:tcPr>
          <w:p w:rsidR="007D7CC1" w:rsidRDefault="00306E89">
            <w:pPr>
              <w:jc w:val="center"/>
            </w:pPr>
            <w:r>
              <w:rPr>
                <w:rFonts w:ascii="宋体" w:hAnsi="宋体" w:hint="eastAsia"/>
                <w:color w:val="000000"/>
                <w:kern w:val="0"/>
                <w:szCs w:val="21"/>
              </w:rPr>
              <w:t>1</w:t>
            </w:r>
          </w:p>
        </w:tc>
        <w:tc>
          <w:tcPr>
            <w:tcW w:w="1843" w:type="dxa"/>
            <w:vAlign w:val="center"/>
          </w:tcPr>
          <w:p w:rsidR="007D7CC1" w:rsidRDefault="00306E89">
            <w:pPr>
              <w:jc w:val="center"/>
            </w:pPr>
            <w:r>
              <w:rPr>
                <w:rFonts w:ascii="宋体" w:hAnsi="宋体" w:hint="eastAsia"/>
                <w:color w:val="000000"/>
                <w:kern w:val="0"/>
                <w:szCs w:val="21"/>
              </w:rPr>
              <w:t>2019/4/1-2019/6/30</w:t>
            </w:r>
          </w:p>
        </w:tc>
        <w:tc>
          <w:tcPr>
            <w:tcW w:w="851" w:type="dxa"/>
            <w:vAlign w:val="center"/>
          </w:tcPr>
          <w:p w:rsidR="007D7CC1" w:rsidRDefault="00306E89">
            <w:pPr>
              <w:jc w:val="center"/>
            </w:pPr>
            <w:r>
              <w:rPr>
                <w:rFonts w:ascii="宋体" w:hAnsi="宋体" w:hint="eastAsia"/>
                <w:color w:val="000000"/>
                <w:kern w:val="0"/>
                <w:szCs w:val="21"/>
              </w:rPr>
              <w:t>29,961,322.91</w:t>
            </w:r>
          </w:p>
        </w:tc>
        <w:tc>
          <w:tcPr>
            <w:tcW w:w="850" w:type="dxa"/>
            <w:vAlign w:val="center"/>
          </w:tcPr>
          <w:p w:rsidR="007D7CC1" w:rsidRDefault="00306E89">
            <w:pPr>
              <w:jc w:val="center"/>
            </w:pPr>
            <w:r>
              <w:rPr>
                <w:rFonts w:ascii="宋体" w:hAnsi="宋体" w:hint="eastAsia"/>
                <w:color w:val="000000"/>
                <w:kern w:val="0"/>
                <w:szCs w:val="21"/>
              </w:rPr>
              <w:t>130,792.06</w:t>
            </w:r>
          </w:p>
        </w:tc>
        <w:tc>
          <w:tcPr>
            <w:tcW w:w="1134" w:type="dxa"/>
            <w:vAlign w:val="center"/>
          </w:tcPr>
          <w:p w:rsidR="007D7CC1" w:rsidRDefault="00306E89">
            <w:pPr>
              <w:jc w:val="center"/>
            </w:pPr>
            <w:r>
              <w:rPr>
                <w:rFonts w:ascii="宋体" w:hAnsi="宋体" w:hint="eastAsia"/>
                <w:color w:val="000000"/>
                <w:kern w:val="0"/>
                <w:szCs w:val="21"/>
              </w:rPr>
              <w:t>25,010,174.32</w:t>
            </w:r>
          </w:p>
        </w:tc>
        <w:tc>
          <w:tcPr>
            <w:tcW w:w="1419" w:type="dxa"/>
            <w:vAlign w:val="center"/>
          </w:tcPr>
          <w:p w:rsidR="007D7CC1" w:rsidRDefault="00306E89">
            <w:pPr>
              <w:jc w:val="center"/>
            </w:pPr>
            <w:r>
              <w:rPr>
                <w:rFonts w:ascii="宋体" w:hAnsi="宋体" w:hint="eastAsia"/>
                <w:color w:val="000000"/>
                <w:kern w:val="0"/>
                <w:szCs w:val="21"/>
              </w:rPr>
              <w:t>5,081,940.65</w:t>
            </w:r>
          </w:p>
        </w:tc>
        <w:tc>
          <w:tcPr>
            <w:tcW w:w="1130" w:type="dxa"/>
            <w:vAlign w:val="center"/>
          </w:tcPr>
          <w:p w:rsidR="007D7CC1" w:rsidRDefault="00306E89">
            <w:pPr>
              <w:jc w:val="center"/>
            </w:pPr>
            <w:r>
              <w:rPr>
                <w:rFonts w:ascii="宋体" w:hAnsi="宋体" w:hint="eastAsia"/>
                <w:color w:val="000000"/>
                <w:kern w:val="0"/>
                <w:szCs w:val="21"/>
              </w:rPr>
              <w:t>42.09%</w:t>
            </w:r>
          </w:p>
        </w:tc>
      </w:tr>
      <w:tr w:rsidR="007D7CC1">
        <w:tc>
          <w:tcPr>
            <w:tcW w:w="992" w:type="dxa"/>
            <w:vMerge/>
          </w:tcPr>
          <w:p w:rsidR="007D7CC1" w:rsidRDefault="007D7CC1"/>
        </w:tc>
        <w:tc>
          <w:tcPr>
            <w:tcW w:w="991" w:type="dxa"/>
            <w:vAlign w:val="center"/>
          </w:tcPr>
          <w:p w:rsidR="007D7CC1" w:rsidRDefault="00306E89">
            <w:pPr>
              <w:jc w:val="center"/>
            </w:pPr>
            <w:r>
              <w:rPr>
                <w:rFonts w:ascii="宋体" w:hAnsi="宋体" w:hint="eastAsia"/>
                <w:color w:val="000000"/>
                <w:kern w:val="0"/>
                <w:szCs w:val="21"/>
              </w:rPr>
              <w:t>2</w:t>
            </w:r>
          </w:p>
        </w:tc>
        <w:tc>
          <w:tcPr>
            <w:tcW w:w="1843" w:type="dxa"/>
            <w:vAlign w:val="center"/>
          </w:tcPr>
          <w:p w:rsidR="007D7CC1" w:rsidRDefault="00306E89">
            <w:pPr>
              <w:jc w:val="center"/>
            </w:pPr>
            <w:r>
              <w:rPr>
                <w:rFonts w:ascii="宋体" w:hAnsi="宋体" w:hint="eastAsia"/>
                <w:color w:val="000000"/>
                <w:kern w:val="0"/>
                <w:szCs w:val="21"/>
              </w:rPr>
              <w:t>2019/4/1-2019/6/30</w:t>
            </w:r>
          </w:p>
        </w:tc>
        <w:tc>
          <w:tcPr>
            <w:tcW w:w="851" w:type="dxa"/>
            <w:vAlign w:val="center"/>
          </w:tcPr>
          <w:p w:rsidR="007D7CC1" w:rsidRDefault="00306E89">
            <w:pPr>
              <w:jc w:val="center"/>
            </w:pPr>
            <w:r>
              <w:rPr>
                <w:rFonts w:ascii="宋体" w:hAnsi="宋体" w:hint="eastAsia"/>
                <w:color w:val="000000"/>
                <w:kern w:val="0"/>
                <w:szCs w:val="21"/>
              </w:rPr>
              <w:t>3,068,005.66</w:t>
            </w:r>
          </w:p>
        </w:tc>
        <w:tc>
          <w:tcPr>
            <w:tcW w:w="850" w:type="dxa"/>
            <w:vAlign w:val="center"/>
          </w:tcPr>
          <w:p w:rsidR="007D7CC1" w:rsidRDefault="00306E89">
            <w:pPr>
              <w:jc w:val="center"/>
            </w:pPr>
            <w:r>
              <w:rPr>
                <w:rFonts w:ascii="宋体" w:hAnsi="宋体" w:hint="eastAsia"/>
                <w:color w:val="000000"/>
                <w:kern w:val="0"/>
                <w:szCs w:val="21"/>
              </w:rPr>
              <w:t>12,806.79</w:t>
            </w:r>
          </w:p>
        </w:tc>
        <w:tc>
          <w:tcPr>
            <w:tcW w:w="1134" w:type="dxa"/>
            <w:vAlign w:val="center"/>
          </w:tcPr>
          <w:p w:rsidR="007D7CC1" w:rsidRDefault="00306E89">
            <w:pPr>
              <w:jc w:val="center"/>
            </w:pPr>
            <w:r>
              <w:rPr>
                <w:rFonts w:ascii="宋体" w:hAnsi="宋体" w:hint="eastAsia"/>
                <w:color w:val="000000"/>
                <w:kern w:val="0"/>
                <w:szCs w:val="21"/>
              </w:rPr>
              <w:t>981.35</w:t>
            </w:r>
          </w:p>
        </w:tc>
        <w:tc>
          <w:tcPr>
            <w:tcW w:w="1419" w:type="dxa"/>
            <w:vAlign w:val="center"/>
          </w:tcPr>
          <w:p w:rsidR="007D7CC1" w:rsidRDefault="00306E89">
            <w:pPr>
              <w:jc w:val="center"/>
            </w:pPr>
            <w:r>
              <w:rPr>
                <w:rFonts w:ascii="宋体" w:hAnsi="宋体" w:hint="eastAsia"/>
                <w:color w:val="000000"/>
                <w:kern w:val="0"/>
                <w:szCs w:val="21"/>
              </w:rPr>
              <w:t>3,079,831.10</w:t>
            </w:r>
          </w:p>
        </w:tc>
        <w:tc>
          <w:tcPr>
            <w:tcW w:w="1130" w:type="dxa"/>
            <w:vAlign w:val="center"/>
          </w:tcPr>
          <w:p w:rsidR="007D7CC1" w:rsidRDefault="00306E89">
            <w:pPr>
              <w:jc w:val="center"/>
            </w:pPr>
            <w:r>
              <w:rPr>
                <w:rFonts w:ascii="宋体" w:hAnsi="宋体" w:hint="eastAsia"/>
                <w:color w:val="000000"/>
                <w:kern w:val="0"/>
                <w:szCs w:val="21"/>
              </w:rPr>
              <w:t>25.51%</w:t>
            </w:r>
          </w:p>
        </w:tc>
      </w:tr>
      <w:tr w:rsidR="007D7CC1">
        <w:tc>
          <w:tcPr>
            <w:tcW w:w="992" w:type="dxa"/>
            <w:vMerge/>
          </w:tcPr>
          <w:p w:rsidR="007D7CC1" w:rsidRDefault="007D7CC1"/>
        </w:tc>
        <w:tc>
          <w:tcPr>
            <w:tcW w:w="991" w:type="dxa"/>
            <w:vAlign w:val="center"/>
          </w:tcPr>
          <w:p w:rsidR="007D7CC1" w:rsidRDefault="00306E89">
            <w:pPr>
              <w:jc w:val="center"/>
            </w:pPr>
            <w:r>
              <w:rPr>
                <w:rFonts w:ascii="宋体" w:hAnsi="宋体" w:hint="eastAsia"/>
                <w:color w:val="000000"/>
                <w:kern w:val="0"/>
                <w:szCs w:val="21"/>
              </w:rPr>
              <w:t>3</w:t>
            </w:r>
          </w:p>
        </w:tc>
        <w:tc>
          <w:tcPr>
            <w:tcW w:w="1843" w:type="dxa"/>
            <w:vAlign w:val="center"/>
          </w:tcPr>
          <w:p w:rsidR="007D7CC1" w:rsidRDefault="00306E89">
            <w:pPr>
              <w:jc w:val="center"/>
            </w:pPr>
            <w:r>
              <w:rPr>
                <w:rFonts w:ascii="宋体" w:hAnsi="宋体" w:hint="eastAsia"/>
                <w:color w:val="000000"/>
                <w:kern w:val="0"/>
                <w:szCs w:val="21"/>
              </w:rPr>
              <w:t>2019/4/1-2019/6/30</w:t>
            </w:r>
          </w:p>
        </w:tc>
        <w:tc>
          <w:tcPr>
            <w:tcW w:w="851" w:type="dxa"/>
            <w:vAlign w:val="center"/>
          </w:tcPr>
          <w:p w:rsidR="007D7CC1" w:rsidRDefault="00306E89">
            <w:pPr>
              <w:jc w:val="center"/>
            </w:pPr>
            <w:r>
              <w:rPr>
                <w:rFonts w:ascii="宋体" w:hAnsi="宋体" w:hint="eastAsia"/>
                <w:color w:val="000000"/>
                <w:kern w:val="0"/>
                <w:szCs w:val="21"/>
              </w:rPr>
              <w:t>25,012,573.52</w:t>
            </w:r>
          </w:p>
        </w:tc>
        <w:tc>
          <w:tcPr>
            <w:tcW w:w="850" w:type="dxa"/>
            <w:vAlign w:val="center"/>
          </w:tcPr>
          <w:p w:rsidR="007D7CC1" w:rsidRDefault="00306E89">
            <w:pPr>
              <w:jc w:val="center"/>
            </w:pPr>
            <w:r>
              <w:rPr>
                <w:rFonts w:ascii="宋体" w:hAnsi="宋体" w:hint="eastAsia"/>
                <w:color w:val="000000"/>
                <w:kern w:val="0"/>
                <w:szCs w:val="21"/>
              </w:rPr>
              <w:t>13,446.55</w:t>
            </w:r>
          </w:p>
        </w:tc>
        <w:tc>
          <w:tcPr>
            <w:tcW w:w="1134" w:type="dxa"/>
            <w:vAlign w:val="center"/>
          </w:tcPr>
          <w:p w:rsidR="007D7CC1" w:rsidRDefault="00306E89">
            <w:pPr>
              <w:jc w:val="center"/>
            </w:pPr>
            <w:r>
              <w:rPr>
                <w:rFonts w:ascii="宋体" w:hAnsi="宋体" w:hint="eastAsia"/>
                <w:color w:val="000000"/>
                <w:kern w:val="0"/>
                <w:szCs w:val="21"/>
              </w:rPr>
              <w:t>25,026,020.07</w:t>
            </w:r>
          </w:p>
        </w:tc>
        <w:tc>
          <w:tcPr>
            <w:tcW w:w="1419" w:type="dxa"/>
            <w:vAlign w:val="center"/>
          </w:tcPr>
          <w:p w:rsidR="007D7CC1" w:rsidRDefault="00306E89">
            <w:pPr>
              <w:jc w:val="center"/>
            </w:pPr>
            <w:r>
              <w:rPr>
                <w:rFonts w:ascii="宋体" w:hAnsi="宋体" w:hint="eastAsia"/>
                <w:color w:val="000000"/>
                <w:kern w:val="0"/>
                <w:szCs w:val="21"/>
              </w:rPr>
              <w:t>-</w:t>
            </w:r>
          </w:p>
        </w:tc>
        <w:tc>
          <w:tcPr>
            <w:tcW w:w="1130" w:type="dxa"/>
            <w:vAlign w:val="center"/>
          </w:tcPr>
          <w:p w:rsidR="007D7CC1" w:rsidRDefault="00306E89">
            <w:pPr>
              <w:jc w:val="center"/>
            </w:pPr>
            <w:r>
              <w:rPr>
                <w:rFonts w:ascii="宋体" w:hAnsi="宋体" w:hint="eastAsia"/>
                <w:color w:val="000000"/>
                <w:kern w:val="0"/>
                <w:szCs w:val="21"/>
              </w:rPr>
              <w:t>-</w:t>
            </w:r>
          </w:p>
        </w:tc>
      </w:tr>
      <w:tr w:rsidR="007D7CC1">
        <w:tc>
          <w:tcPr>
            <w:tcW w:w="992" w:type="dxa"/>
            <w:vMerge/>
          </w:tcPr>
          <w:p w:rsidR="007D7CC1" w:rsidRDefault="007D7CC1"/>
        </w:tc>
        <w:tc>
          <w:tcPr>
            <w:tcW w:w="991" w:type="dxa"/>
            <w:vAlign w:val="center"/>
          </w:tcPr>
          <w:p w:rsidR="007D7CC1" w:rsidRDefault="00306E89">
            <w:pPr>
              <w:jc w:val="center"/>
            </w:pPr>
            <w:r>
              <w:rPr>
                <w:rFonts w:ascii="宋体" w:hAnsi="宋体" w:hint="eastAsia"/>
                <w:color w:val="000000"/>
                <w:kern w:val="0"/>
                <w:szCs w:val="21"/>
              </w:rPr>
              <w:t>4</w:t>
            </w:r>
          </w:p>
        </w:tc>
        <w:tc>
          <w:tcPr>
            <w:tcW w:w="1843" w:type="dxa"/>
            <w:vAlign w:val="center"/>
          </w:tcPr>
          <w:p w:rsidR="007D7CC1" w:rsidRDefault="00306E89">
            <w:pPr>
              <w:jc w:val="center"/>
            </w:pPr>
            <w:r>
              <w:rPr>
                <w:rFonts w:ascii="宋体" w:hAnsi="宋体" w:hint="eastAsia"/>
                <w:color w:val="000000"/>
                <w:kern w:val="0"/>
                <w:szCs w:val="21"/>
              </w:rPr>
              <w:t>2019/4/1-2019/6/30</w:t>
            </w:r>
          </w:p>
        </w:tc>
        <w:tc>
          <w:tcPr>
            <w:tcW w:w="851" w:type="dxa"/>
            <w:vAlign w:val="center"/>
          </w:tcPr>
          <w:p w:rsidR="007D7CC1" w:rsidRDefault="00306E89">
            <w:pPr>
              <w:jc w:val="center"/>
            </w:pPr>
            <w:r>
              <w:rPr>
                <w:rFonts w:ascii="宋体" w:hAnsi="宋体" w:hint="eastAsia"/>
                <w:color w:val="000000"/>
                <w:kern w:val="0"/>
                <w:szCs w:val="21"/>
              </w:rPr>
              <w:t>-</w:t>
            </w:r>
          </w:p>
        </w:tc>
        <w:tc>
          <w:tcPr>
            <w:tcW w:w="850" w:type="dxa"/>
            <w:vAlign w:val="center"/>
          </w:tcPr>
          <w:p w:rsidR="007D7CC1" w:rsidRDefault="00306E89">
            <w:pPr>
              <w:jc w:val="center"/>
            </w:pPr>
            <w:r>
              <w:rPr>
                <w:rFonts w:ascii="宋体" w:hAnsi="宋体" w:hint="eastAsia"/>
                <w:color w:val="000000"/>
                <w:kern w:val="0"/>
                <w:szCs w:val="21"/>
              </w:rPr>
              <w:t>20,019,870.56</w:t>
            </w:r>
          </w:p>
        </w:tc>
        <w:tc>
          <w:tcPr>
            <w:tcW w:w="1134" w:type="dxa"/>
            <w:vAlign w:val="center"/>
          </w:tcPr>
          <w:p w:rsidR="007D7CC1" w:rsidRDefault="00306E89">
            <w:pPr>
              <w:jc w:val="center"/>
            </w:pPr>
            <w:r>
              <w:rPr>
                <w:rFonts w:ascii="宋体" w:hAnsi="宋体" w:hint="eastAsia"/>
                <w:color w:val="000000"/>
                <w:kern w:val="0"/>
                <w:szCs w:val="21"/>
              </w:rPr>
              <w:t>20,019,870.56</w:t>
            </w:r>
          </w:p>
        </w:tc>
        <w:tc>
          <w:tcPr>
            <w:tcW w:w="1419" w:type="dxa"/>
            <w:vAlign w:val="center"/>
          </w:tcPr>
          <w:p w:rsidR="007D7CC1" w:rsidRDefault="00306E89">
            <w:pPr>
              <w:jc w:val="center"/>
            </w:pPr>
            <w:r>
              <w:rPr>
                <w:rFonts w:ascii="宋体" w:hAnsi="宋体" w:hint="eastAsia"/>
                <w:color w:val="000000"/>
                <w:kern w:val="0"/>
                <w:szCs w:val="21"/>
              </w:rPr>
              <w:t>-</w:t>
            </w:r>
          </w:p>
        </w:tc>
        <w:tc>
          <w:tcPr>
            <w:tcW w:w="1130" w:type="dxa"/>
            <w:vAlign w:val="center"/>
          </w:tcPr>
          <w:p w:rsidR="007D7CC1" w:rsidRDefault="00306E89">
            <w:pPr>
              <w:jc w:val="center"/>
            </w:pPr>
            <w:r>
              <w:rPr>
                <w:rFonts w:ascii="宋体" w:hAnsi="宋体" w:hint="eastAsia"/>
                <w:color w:val="000000"/>
                <w:kern w:val="0"/>
                <w:szCs w:val="21"/>
              </w:rPr>
              <w:t>-</w:t>
            </w:r>
          </w:p>
        </w:tc>
      </w:tr>
      <w:tr w:rsidR="007D7CC1">
        <w:tc>
          <w:tcPr>
            <w:tcW w:w="992" w:type="dxa"/>
            <w:vMerge/>
          </w:tcPr>
          <w:p w:rsidR="007D7CC1" w:rsidRDefault="007D7CC1"/>
        </w:tc>
        <w:tc>
          <w:tcPr>
            <w:tcW w:w="991" w:type="dxa"/>
            <w:vAlign w:val="center"/>
          </w:tcPr>
          <w:p w:rsidR="007D7CC1" w:rsidRDefault="00306E89">
            <w:pPr>
              <w:jc w:val="center"/>
            </w:pPr>
            <w:r>
              <w:rPr>
                <w:rFonts w:ascii="宋体" w:hAnsi="宋体" w:hint="eastAsia"/>
                <w:color w:val="000000"/>
                <w:kern w:val="0"/>
                <w:szCs w:val="21"/>
              </w:rPr>
              <w:t>5</w:t>
            </w:r>
          </w:p>
        </w:tc>
        <w:tc>
          <w:tcPr>
            <w:tcW w:w="1843" w:type="dxa"/>
            <w:vAlign w:val="center"/>
          </w:tcPr>
          <w:p w:rsidR="007D7CC1" w:rsidRDefault="00306E89">
            <w:pPr>
              <w:jc w:val="center"/>
            </w:pPr>
            <w:r>
              <w:rPr>
                <w:rFonts w:ascii="宋体" w:hAnsi="宋体" w:hint="eastAsia"/>
                <w:color w:val="000000"/>
                <w:kern w:val="0"/>
                <w:szCs w:val="21"/>
              </w:rPr>
              <w:t>2019/4/1-2019/6/30</w:t>
            </w:r>
          </w:p>
        </w:tc>
        <w:tc>
          <w:tcPr>
            <w:tcW w:w="851" w:type="dxa"/>
            <w:vAlign w:val="center"/>
          </w:tcPr>
          <w:p w:rsidR="007D7CC1" w:rsidRDefault="00306E89">
            <w:pPr>
              <w:jc w:val="center"/>
            </w:pPr>
            <w:r>
              <w:rPr>
                <w:rFonts w:ascii="宋体" w:hAnsi="宋体" w:hint="eastAsia"/>
                <w:color w:val="000000"/>
                <w:kern w:val="0"/>
                <w:szCs w:val="21"/>
              </w:rPr>
              <w:t>20,010,058.79</w:t>
            </w:r>
          </w:p>
        </w:tc>
        <w:tc>
          <w:tcPr>
            <w:tcW w:w="850" w:type="dxa"/>
            <w:vAlign w:val="center"/>
          </w:tcPr>
          <w:p w:rsidR="007D7CC1" w:rsidRDefault="00306E89">
            <w:pPr>
              <w:jc w:val="center"/>
            </w:pPr>
            <w:r>
              <w:rPr>
                <w:rFonts w:ascii="宋体" w:hAnsi="宋体" w:hint="eastAsia"/>
                <w:color w:val="000000"/>
                <w:kern w:val="0"/>
                <w:szCs w:val="21"/>
              </w:rPr>
              <w:t>57,539.63</w:t>
            </w:r>
          </w:p>
        </w:tc>
        <w:tc>
          <w:tcPr>
            <w:tcW w:w="1134" w:type="dxa"/>
            <w:vAlign w:val="center"/>
          </w:tcPr>
          <w:p w:rsidR="007D7CC1" w:rsidRDefault="00306E89">
            <w:pPr>
              <w:jc w:val="center"/>
            </w:pPr>
            <w:r>
              <w:rPr>
                <w:rFonts w:ascii="宋体" w:hAnsi="宋体" w:hint="eastAsia"/>
                <w:color w:val="000000"/>
                <w:kern w:val="0"/>
                <w:szCs w:val="21"/>
              </w:rPr>
              <w:t>20,067,598.42</w:t>
            </w:r>
          </w:p>
        </w:tc>
        <w:tc>
          <w:tcPr>
            <w:tcW w:w="1419" w:type="dxa"/>
            <w:vAlign w:val="center"/>
          </w:tcPr>
          <w:p w:rsidR="007D7CC1" w:rsidRDefault="00306E89">
            <w:pPr>
              <w:jc w:val="center"/>
            </w:pPr>
            <w:r>
              <w:rPr>
                <w:rFonts w:ascii="宋体" w:hAnsi="宋体" w:hint="eastAsia"/>
                <w:color w:val="000000"/>
                <w:kern w:val="0"/>
                <w:szCs w:val="21"/>
              </w:rPr>
              <w:t>-</w:t>
            </w:r>
          </w:p>
        </w:tc>
        <w:tc>
          <w:tcPr>
            <w:tcW w:w="1130" w:type="dxa"/>
            <w:vAlign w:val="center"/>
          </w:tcPr>
          <w:p w:rsidR="007D7CC1" w:rsidRDefault="00306E89">
            <w:pPr>
              <w:jc w:val="center"/>
            </w:pPr>
            <w:r>
              <w:rPr>
                <w:rFonts w:ascii="宋体" w:hAnsi="宋体" w:hint="eastAsia"/>
                <w:color w:val="000000"/>
                <w:kern w:val="0"/>
                <w:szCs w:val="21"/>
              </w:rPr>
              <w:t>-</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306E89">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7D7CC1" w:rsidRDefault="00306E89">
      <w:pPr>
        <w:spacing w:before="29" w:line="288" w:lineRule="auto"/>
        <w:ind w:firstLineChars="200" w:firstLine="480"/>
        <w:rPr>
          <w:color w:val="000000"/>
          <w:sz w:val="24"/>
        </w:rPr>
      </w:pPr>
      <w:r>
        <w:rPr>
          <w:color w:val="000000"/>
          <w:sz w:val="24"/>
        </w:rPr>
        <w:t>1</w:t>
      </w:r>
      <w:r>
        <w:rPr>
          <w:color w:val="000000"/>
          <w:sz w:val="24"/>
        </w:rPr>
        <w:t>、中国证监会准予交银施罗德天运宝货币市场基金募集注册的文件；</w:t>
      </w:r>
      <w:r>
        <w:rPr>
          <w:color w:val="000000"/>
          <w:sz w:val="24"/>
        </w:rPr>
        <w:t xml:space="preserve"> </w:t>
      </w:r>
    </w:p>
    <w:p w:rsidR="007D7CC1" w:rsidRDefault="00306E89">
      <w:pPr>
        <w:spacing w:before="29" w:line="288" w:lineRule="auto"/>
        <w:ind w:firstLineChars="200" w:firstLine="480"/>
        <w:rPr>
          <w:color w:val="000000"/>
          <w:sz w:val="24"/>
        </w:rPr>
      </w:pPr>
      <w:r>
        <w:rPr>
          <w:color w:val="000000"/>
          <w:sz w:val="24"/>
        </w:rPr>
        <w:t>2</w:t>
      </w:r>
      <w:r>
        <w:rPr>
          <w:color w:val="000000"/>
          <w:sz w:val="24"/>
        </w:rPr>
        <w:t>、《交银施罗德天运宝货币市场基金基金合同》；</w:t>
      </w:r>
      <w:r>
        <w:rPr>
          <w:color w:val="000000"/>
          <w:sz w:val="24"/>
        </w:rPr>
        <w:t xml:space="preserve"> </w:t>
      </w:r>
    </w:p>
    <w:p w:rsidR="007D7CC1" w:rsidRDefault="00306E89">
      <w:pPr>
        <w:spacing w:before="29" w:line="288" w:lineRule="auto"/>
        <w:ind w:firstLineChars="200" w:firstLine="480"/>
        <w:rPr>
          <w:color w:val="000000"/>
          <w:sz w:val="24"/>
        </w:rPr>
      </w:pPr>
      <w:r>
        <w:rPr>
          <w:color w:val="000000"/>
          <w:sz w:val="24"/>
        </w:rPr>
        <w:t>3</w:t>
      </w:r>
      <w:r>
        <w:rPr>
          <w:color w:val="000000"/>
          <w:sz w:val="24"/>
        </w:rPr>
        <w:t>、《交银施罗德天运宝货币市场基金招募说明书》；</w:t>
      </w:r>
      <w:r>
        <w:rPr>
          <w:color w:val="000000"/>
          <w:sz w:val="24"/>
        </w:rPr>
        <w:t xml:space="preserve"> </w:t>
      </w:r>
    </w:p>
    <w:p w:rsidR="007D7CC1" w:rsidRDefault="00306E89">
      <w:pPr>
        <w:spacing w:before="29" w:line="288" w:lineRule="auto"/>
        <w:ind w:firstLineChars="200" w:firstLine="480"/>
        <w:rPr>
          <w:color w:val="000000"/>
          <w:sz w:val="24"/>
        </w:rPr>
      </w:pPr>
      <w:r>
        <w:rPr>
          <w:color w:val="000000"/>
          <w:sz w:val="24"/>
        </w:rPr>
        <w:t>4</w:t>
      </w:r>
      <w:r>
        <w:rPr>
          <w:color w:val="000000"/>
          <w:sz w:val="24"/>
        </w:rPr>
        <w:t>、《交银施罗德天运宝货币市场基金托管协议》；</w:t>
      </w:r>
      <w:r>
        <w:rPr>
          <w:color w:val="000000"/>
          <w:sz w:val="24"/>
        </w:rPr>
        <w:t xml:space="preserve"> </w:t>
      </w:r>
    </w:p>
    <w:p w:rsidR="007D7CC1" w:rsidRDefault="00306E89">
      <w:pPr>
        <w:spacing w:before="29" w:line="288" w:lineRule="auto"/>
        <w:ind w:firstLineChars="200" w:firstLine="480"/>
        <w:rPr>
          <w:color w:val="000000"/>
          <w:sz w:val="24"/>
        </w:rPr>
      </w:pPr>
      <w:r>
        <w:rPr>
          <w:color w:val="000000"/>
          <w:sz w:val="24"/>
        </w:rPr>
        <w:t>5</w:t>
      </w:r>
      <w:r>
        <w:rPr>
          <w:color w:val="000000"/>
          <w:sz w:val="24"/>
        </w:rPr>
        <w:t>、关于申请募集注册交银施罗德天运宝货币市场基金的法律意见书；</w:t>
      </w:r>
      <w:r>
        <w:rPr>
          <w:color w:val="000000"/>
          <w:sz w:val="24"/>
        </w:rPr>
        <w:t xml:space="preserve"> </w:t>
      </w:r>
    </w:p>
    <w:p w:rsidR="007D7CC1" w:rsidRDefault="00306E8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D7CC1" w:rsidRDefault="00306E8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7D7CC1" w:rsidRDefault="00306E89">
      <w:pPr>
        <w:spacing w:before="29" w:line="288" w:lineRule="auto"/>
        <w:ind w:firstLineChars="200" w:firstLine="480"/>
        <w:rPr>
          <w:color w:val="000000"/>
          <w:sz w:val="24"/>
        </w:rPr>
      </w:pPr>
      <w:r>
        <w:rPr>
          <w:color w:val="000000"/>
          <w:sz w:val="24"/>
        </w:rPr>
        <w:t>8</w:t>
      </w:r>
      <w:r>
        <w:rPr>
          <w:color w:val="000000"/>
          <w:sz w:val="24"/>
        </w:rPr>
        <w:t>、报告期内交银施罗德天运宝货币市场基金在指定报刊上各项公告的原稿。</w:t>
      </w:r>
    </w:p>
    <w:p w:rsidR="00AB373C" w:rsidRPr="000E4C40" w:rsidRDefault="00AB373C" w:rsidP="00281564">
      <w:pPr>
        <w:spacing w:before="29" w:line="288" w:lineRule="auto"/>
        <w:ind w:firstLineChars="200" w:firstLine="480"/>
        <w:rPr>
          <w:color w:val="000000"/>
          <w:sz w:val="24"/>
        </w:rPr>
      </w:pP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7D7CC1" w:rsidRDefault="00306E89">
      <w:pPr>
        <w:spacing w:before="29" w:line="288" w:lineRule="auto"/>
        <w:ind w:firstLineChars="200" w:firstLine="480"/>
        <w:rPr>
          <w:color w:val="000000"/>
          <w:sz w:val="24"/>
        </w:rPr>
      </w:pPr>
      <w:r>
        <w:rPr>
          <w:color w:val="000000"/>
          <w:sz w:val="24"/>
        </w:rPr>
        <w:lastRenderedPageBreak/>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723" w:rsidRDefault="00AC7723">
      <w:r>
        <w:separator/>
      </w:r>
    </w:p>
  </w:endnote>
  <w:endnote w:type="continuationSeparator" w:id="0">
    <w:p w:rsidR="00AC7723" w:rsidRDefault="00AC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sidR="007D7CC1">
      <w:rPr>
        <w:kern w:val="0"/>
        <w:szCs w:val="21"/>
      </w:rPr>
      <w:fldChar w:fldCharType="begin"/>
    </w:r>
    <w:r>
      <w:rPr>
        <w:kern w:val="0"/>
        <w:szCs w:val="21"/>
      </w:rPr>
      <w:instrText xml:space="preserve"> PAGE </w:instrText>
    </w:r>
    <w:r w:rsidR="007D7CC1">
      <w:rPr>
        <w:kern w:val="0"/>
        <w:szCs w:val="21"/>
      </w:rPr>
      <w:fldChar w:fldCharType="separate"/>
    </w:r>
    <w:r w:rsidR="00B2386B">
      <w:rPr>
        <w:noProof/>
        <w:kern w:val="0"/>
        <w:szCs w:val="21"/>
      </w:rPr>
      <w:t>10</w:t>
    </w:r>
    <w:r w:rsidR="007D7CC1">
      <w:rPr>
        <w:kern w:val="0"/>
        <w:szCs w:val="21"/>
      </w:rPr>
      <w:fldChar w:fldCharType="end"/>
    </w:r>
    <w:r>
      <w:rPr>
        <w:rFonts w:hint="eastAsia"/>
        <w:kern w:val="0"/>
        <w:szCs w:val="21"/>
      </w:rPr>
      <w:t>页共</w:t>
    </w:r>
    <w:r w:rsidR="007D7CC1">
      <w:rPr>
        <w:rFonts w:hint="eastAsia"/>
        <w:kern w:val="0"/>
        <w:szCs w:val="21"/>
      </w:rPr>
      <w:fldChar w:fldCharType="begin"/>
    </w:r>
    <w:r>
      <w:rPr>
        <w:kern w:val="0"/>
        <w:szCs w:val="21"/>
      </w:rPr>
      <w:instrText xml:space="preserve"> NUMPAGES </w:instrText>
    </w:r>
    <w:r w:rsidR="007D7CC1">
      <w:rPr>
        <w:rFonts w:hint="eastAsia"/>
        <w:kern w:val="0"/>
        <w:szCs w:val="21"/>
      </w:rPr>
      <w:fldChar w:fldCharType="separate"/>
    </w:r>
    <w:r w:rsidR="00B2386B">
      <w:rPr>
        <w:noProof/>
        <w:kern w:val="0"/>
        <w:szCs w:val="21"/>
      </w:rPr>
      <w:t>14</w:t>
    </w:r>
    <w:r w:rsidR="007D7CC1">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723" w:rsidRDefault="00AC7723">
      <w:r>
        <w:separator/>
      </w:r>
    </w:p>
  </w:footnote>
  <w:footnote w:type="continuationSeparator" w:id="0">
    <w:p w:rsidR="00AC7723" w:rsidRDefault="00AC7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交银施罗德天运宝货币市场基金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6E89"/>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0A5F"/>
    <w:rsid w:val="006724A2"/>
    <w:rsid w:val="00672BEF"/>
    <w:rsid w:val="00672C2D"/>
    <w:rsid w:val="00673BA5"/>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D7CC1"/>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C7723"/>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386B"/>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D625A"/>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EFBE1E9-885E-4BE5-90F7-EF077D14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8A95319-FDCD-43DF-A546-A7234ECD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14</Pages>
  <Words>1179</Words>
  <Characters>6723</Characters>
  <Application>Microsoft Office Word</Application>
  <DocSecurity>0</DocSecurity>
  <Lines>56</Lines>
  <Paragraphs>15</Paragraphs>
  <ScaleCrop>false</ScaleCrop>
  <Company>jysld</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328</cp:revision>
  <cp:lastPrinted>2009-01-22T10:11:00Z</cp:lastPrinted>
  <dcterms:created xsi:type="dcterms:W3CDTF">2012-11-21T05:49:00Z</dcterms:created>
  <dcterms:modified xsi:type="dcterms:W3CDTF">2019-07-15T02:58:00Z</dcterms:modified>
</cp:coreProperties>
</file>