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交银施罗德核心资产混合型证券投资基金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二〇一九年七月十七日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C05103" w:rsidRDefault="008D2A9C">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C05103" w:rsidRDefault="008D2A9C">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2019</w:t>
      </w:r>
      <w:r>
        <w:rPr>
          <w:color w:val="000000"/>
          <w:sz w:val="24"/>
          <w:szCs w:val="24"/>
        </w:rPr>
        <w:t>年</w:t>
      </w:r>
      <w:r>
        <w:rPr>
          <w:color w:val="000000"/>
          <w:sz w:val="24"/>
          <w:szCs w:val="24"/>
        </w:rPr>
        <w:t>7</w:t>
      </w:r>
      <w:r>
        <w:rPr>
          <w:color w:val="000000"/>
          <w:sz w:val="24"/>
          <w:szCs w:val="24"/>
        </w:rPr>
        <w:t>月</w:t>
      </w:r>
      <w:r>
        <w:rPr>
          <w:color w:val="000000"/>
          <w:sz w:val="24"/>
          <w:szCs w:val="24"/>
        </w:rPr>
        <w:t>16</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C05103" w:rsidRDefault="008D2A9C">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C05103" w:rsidRDefault="008D2A9C">
      <w:pPr>
        <w:spacing w:before="29" w:line="288" w:lineRule="auto"/>
        <w:ind w:firstLineChars="200" w:firstLine="480"/>
        <w:rPr>
          <w:color w:val="000000"/>
          <w:sz w:val="24"/>
          <w:szCs w:val="24"/>
        </w:rPr>
      </w:pPr>
      <w:r>
        <w:rPr>
          <w:color w:val="000000"/>
          <w:sz w:val="24"/>
          <w:szCs w:val="24"/>
        </w:rPr>
        <w:t>基金的过往业绩并不代表其未来表现。投资有风险</w:t>
      </w:r>
      <w:r>
        <w:rPr>
          <w:color w:val="000000"/>
          <w:sz w:val="24"/>
          <w:szCs w:val="24"/>
        </w:rPr>
        <w:t>，投资者在作出投资决策前应仔细阅读本基金的招募说明书。</w:t>
      </w:r>
      <w:r>
        <w:rPr>
          <w:color w:val="000000"/>
          <w:sz w:val="24"/>
          <w:szCs w:val="24"/>
        </w:rPr>
        <w:t xml:space="preserve"> </w:t>
      </w:r>
    </w:p>
    <w:p w:rsidR="00C05103" w:rsidRDefault="008D2A9C">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交银核心资产混合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006202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006202</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2019</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18</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292,625,238.65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本基金主要投资于具有核心资产的上市公司，在合理控制风险并保持基金资产良好流动性的前提下，力争实现基金资产的长期稳定增值。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×50%+</w:t>
            </w:r>
            <w:r w:rsidRPr="00414345">
              <w:rPr>
                <w:color w:val="000000"/>
                <w:kern w:val="0"/>
                <w:sz w:val="24"/>
                <w:szCs w:val="24"/>
              </w:rPr>
              <w:t>恒生指数收益率</w:t>
            </w:r>
            <w:r w:rsidRPr="00414345">
              <w:rPr>
                <w:color w:val="000000"/>
                <w:kern w:val="0"/>
                <w:sz w:val="24"/>
                <w:szCs w:val="24"/>
              </w:rPr>
              <w:t>×30%+</w:t>
            </w:r>
            <w:r w:rsidRPr="00414345">
              <w:rPr>
                <w:color w:val="000000"/>
                <w:kern w:val="0"/>
                <w:sz w:val="24"/>
                <w:szCs w:val="24"/>
              </w:rPr>
              <w:t>中证综合债券指数收益率</w:t>
            </w:r>
            <w:r w:rsidRPr="00414345">
              <w:rPr>
                <w:color w:val="000000"/>
                <w:kern w:val="0"/>
                <w:sz w:val="24"/>
                <w:szCs w:val="24"/>
              </w:rPr>
              <w:t>×20%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C05103" w:rsidRDefault="008D2A9C">
            <w:pPr>
              <w:adjustRightInd w:val="0"/>
              <w:spacing w:before="29" w:line="288" w:lineRule="auto"/>
              <w:ind w:left="17"/>
              <w:jc w:val="left"/>
              <w:rPr>
                <w:color w:val="000000"/>
                <w:sz w:val="24"/>
                <w:szCs w:val="24"/>
              </w:rPr>
            </w:pPr>
            <w:r>
              <w:rPr>
                <w:color w:val="000000"/>
                <w:kern w:val="0"/>
                <w:sz w:val="24"/>
                <w:szCs w:val="24"/>
              </w:rPr>
              <w:t>本基金是一只混合型基金，其预期风险和预期收益高于债券型基金和货币市场基金，低于股票型基金。</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本基金可投资港股通标的股票，会面临港股通机制下因投资环境、投资标的、市场制度以及交易规则等差异带来的特有风险。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58208F" w:rsidRPr="00414345" w:rsidTr="0058208F">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58208F" w:rsidRPr="00414345" w:rsidTr="0058208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3,161,240.44</w:t>
            </w:r>
          </w:p>
        </w:tc>
      </w:tr>
      <w:tr w:rsidR="0058208F" w:rsidRPr="00414345" w:rsidTr="0058208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-2,426,079.52</w:t>
            </w:r>
          </w:p>
        </w:tc>
      </w:tr>
      <w:tr w:rsidR="0058208F" w:rsidRPr="00414345" w:rsidTr="0058208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-0.0076</w:t>
            </w:r>
          </w:p>
        </w:tc>
      </w:tr>
      <w:tr w:rsidR="0058208F" w:rsidRPr="00414345" w:rsidTr="0058208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302,669,803.75</w:t>
            </w:r>
          </w:p>
        </w:tc>
      </w:tr>
      <w:tr w:rsidR="0058208F" w:rsidRPr="00414345" w:rsidTr="0058208F">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1.0343</w:t>
            </w:r>
          </w:p>
        </w:tc>
      </w:tr>
    </w:tbl>
    <w:p w:rsidR="00C05103" w:rsidRDefault="008D2A9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C05103" w:rsidRDefault="008D2A9C">
      <w:pPr>
        <w:autoSpaceDE w:val="0"/>
        <w:autoSpaceDN w:val="0"/>
        <w:adjustRightInd w:val="0"/>
        <w:spacing w:before="29" w:line="288" w:lineRule="auto"/>
        <w:jc w:val="left"/>
        <w:rPr>
          <w:color w:val="000000"/>
          <w:sz w:val="24"/>
          <w:szCs w:val="24"/>
        </w:rPr>
      </w:pPr>
      <w:r>
        <w:rPr>
          <w:color w:val="000000"/>
          <w:sz w:val="24"/>
          <w:szCs w:val="24"/>
        </w:rPr>
        <w:t xml:space="preserve">    2</w:t>
      </w:r>
      <w:r>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C05103">
        <w:trPr>
          <w:jc w:val="center"/>
        </w:trPr>
        <w:tc>
          <w:tcPr>
            <w:tcW w:w="1701" w:type="dxa"/>
            <w:vAlign w:val="center"/>
          </w:tcPr>
          <w:p w:rsidR="00C05103" w:rsidRDefault="008D2A9C">
            <w:pPr>
              <w:jc w:val="left"/>
            </w:pPr>
            <w:r>
              <w:rPr>
                <w:color w:val="000000"/>
                <w:sz w:val="24"/>
                <w:szCs w:val="24"/>
              </w:rPr>
              <w:t>过去三个月</w:t>
            </w:r>
          </w:p>
        </w:tc>
        <w:tc>
          <w:tcPr>
            <w:tcW w:w="1045" w:type="dxa"/>
            <w:vAlign w:val="center"/>
          </w:tcPr>
          <w:p w:rsidR="00C05103" w:rsidRDefault="008D2A9C">
            <w:pPr>
              <w:jc w:val="center"/>
            </w:pPr>
            <w:r>
              <w:rPr>
                <w:color w:val="000000"/>
                <w:sz w:val="24"/>
                <w:szCs w:val="24"/>
              </w:rPr>
              <w:t>-1.89%</w:t>
            </w:r>
          </w:p>
        </w:tc>
        <w:tc>
          <w:tcPr>
            <w:tcW w:w="1344" w:type="dxa"/>
            <w:vAlign w:val="center"/>
          </w:tcPr>
          <w:p w:rsidR="00C05103" w:rsidRDefault="008D2A9C">
            <w:pPr>
              <w:jc w:val="center"/>
            </w:pPr>
            <w:r>
              <w:rPr>
                <w:color w:val="000000"/>
                <w:sz w:val="24"/>
                <w:szCs w:val="24"/>
              </w:rPr>
              <w:t>1.30%</w:t>
            </w:r>
          </w:p>
        </w:tc>
        <w:tc>
          <w:tcPr>
            <w:tcW w:w="1194" w:type="dxa"/>
            <w:vAlign w:val="center"/>
          </w:tcPr>
          <w:p w:rsidR="00C05103" w:rsidRDefault="008D2A9C">
            <w:pPr>
              <w:jc w:val="center"/>
            </w:pPr>
            <w:r>
              <w:rPr>
                <w:color w:val="000000"/>
                <w:sz w:val="24"/>
                <w:szCs w:val="24"/>
              </w:rPr>
              <w:t>-0.86%</w:t>
            </w:r>
          </w:p>
        </w:tc>
        <w:tc>
          <w:tcPr>
            <w:tcW w:w="1492" w:type="dxa"/>
            <w:vAlign w:val="center"/>
          </w:tcPr>
          <w:p w:rsidR="00C05103" w:rsidRDefault="008D2A9C">
            <w:pPr>
              <w:jc w:val="center"/>
            </w:pPr>
            <w:r>
              <w:rPr>
                <w:color w:val="000000"/>
                <w:sz w:val="24"/>
                <w:szCs w:val="24"/>
              </w:rPr>
              <w:t>0.97%</w:t>
            </w:r>
          </w:p>
        </w:tc>
        <w:tc>
          <w:tcPr>
            <w:tcW w:w="1194" w:type="dxa"/>
            <w:vAlign w:val="center"/>
          </w:tcPr>
          <w:p w:rsidR="00C05103" w:rsidRDefault="008D2A9C">
            <w:pPr>
              <w:jc w:val="center"/>
            </w:pPr>
            <w:r>
              <w:rPr>
                <w:color w:val="000000"/>
                <w:sz w:val="24"/>
                <w:szCs w:val="24"/>
              </w:rPr>
              <w:t>-1.03%</w:t>
            </w:r>
          </w:p>
        </w:tc>
        <w:tc>
          <w:tcPr>
            <w:tcW w:w="898" w:type="dxa"/>
            <w:vAlign w:val="center"/>
          </w:tcPr>
          <w:p w:rsidR="00C05103" w:rsidRDefault="008D2A9C">
            <w:pPr>
              <w:jc w:val="center"/>
            </w:pPr>
            <w:r>
              <w:rPr>
                <w:color w:val="000000"/>
                <w:sz w:val="24"/>
                <w:szCs w:val="24"/>
              </w:rPr>
              <w:t>0.33%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w:t>
      </w:r>
      <w:r w:rsidR="00C6002A" w:rsidRPr="00414345">
        <w:rPr>
          <w:b/>
          <w:bCs/>
          <w:color w:val="000000"/>
          <w:sz w:val="24"/>
        </w:rPr>
        <w:lastRenderedPageBreak/>
        <w:t>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交银施罗德核心资产混合型证券投资基金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2019</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18</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2019</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18</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w:t>
      </w:r>
      <w:r w:rsidRPr="00414345">
        <w:rPr>
          <w:color w:val="000000"/>
          <w:sz w:val="24"/>
          <w:szCs w:val="24"/>
        </w:rPr>
        <w:t>2019</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日，本基金尚处于建仓期。</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C05103">
        <w:trPr>
          <w:jc w:val="center"/>
        </w:trPr>
        <w:tc>
          <w:tcPr>
            <w:tcW w:w="846" w:type="dxa"/>
            <w:vAlign w:val="center"/>
          </w:tcPr>
          <w:p w:rsidR="00C05103" w:rsidRDefault="008D2A9C">
            <w:pPr>
              <w:jc w:val="center"/>
            </w:pPr>
            <w:r>
              <w:rPr>
                <w:color w:val="000000"/>
                <w:sz w:val="24"/>
                <w:szCs w:val="24"/>
              </w:rPr>
              <w:t>陈俊华</w:t>
            </w:r>
          </w:p>
        </w:tc>
        <w:tc>
          <w:tcPr>
            <w:tcW w:w="845" w:type="dxa"/>
            <w:vAlign w:val="center"/>
          </w:tcPr>
          <w:p w:rsidR="00C05103" w:rsidRDefault="008D2A9C">
            <w:pPr>
              <w:jc w:val="center"/>
            </w:pPr>
            <w:r>
              <w:rPr>
                <w:color w:val="000000"/>
                <w:sz w:val="24"/>
                <w:szCs w:val="24"/>
              </w:rPr>
              <w:t>交银环球精选混合</w:t>
            </w:r>
            <w:r>
              <w:rPr>
                <w:color w:val="000000"/>
                <w:sz w:val="24"/>
                <w:szCs w:val="24"/>
              </w:rPr>
              <w:t>(QDII)</w:t>
            </w:r>
            <w:r>
              <w:rPr>
                <w:color w:val="000000"/>
                <w:sz w:val="24"/>
                <w:szCs w:val="24"/>
              </w:rPr>
              <w:t>、交银全球资源混</w:t>
            </w:r>
            <w:r>
              <w:rPr>
                <w:color w:val="000000"/>
                <w:sz w:val="24"/>
                <w:szCs w:val="24"/>
              </w:rPr>
              <w:lastRenderedPageBreak/>
              <w:t>合</w:t>
            </w:r>
            <w:r>
              <w:rPr>
                <w:color w:val="000000"/>
                <w:sz w:val="24"/>
                <w:szCs w:val="24"/>
              </w:rPr>
              <w:t>(QDII)</w:t>
            </w:r>
            <w:r>
              <w:rPr>
                <w:color w:val="000000"/>
                <w:sz w:val="24"/>
                <w:szCs w:val="24"/>
              </w:rPr>
              <w:t>、交银沪港深价值精选混合、交银核心资产混合的基金经理，公司跨境投资副总监</w:t>
            </w:r>
          </w:p>
        </w:tc>
        <w:tc>
          <w:tcPr>
            <w:tcW w:w="1549" w:type="dxa"/>
            <w:vAlign w:val="center"/>
          </w:tcPr>
          <w:p w:rsidR="00C05103" w:rsidRDefault="008D2A9C">
            <w:pPr>
              <w:jc w:val="center"/>
            </w:pPr>
            <w:r>
              <w:rPr>
                <w:color w:val="000000"/>
                <w:sz w:val="24"/>
                <w:szCs w:val="24"/>
              </w:rPr>
              <w:lastRenderedPageBreak/>
              <w:t>2019-01-18</w:t>
            </w:r>
          </w:p>
        </w:tc>
        <w:tc>
          <w:tcPr>
            <w:tcW w:w="1548" w:type="dxa"/>
            <w:vAlign w:val="center"/>
          </w:tcPr>
          <w:p w:rsidR="00C05103" w:rsidRDefault="008D2A9C">
            <w:pPr>
              <w:jc w:val="center"/>
            </w:pPr>
            <w:r>
              <w:rPr>
                <w:color w:val="000000"/>
                <w:sz w:val="24"/>
                <w:szCs w:val="24"/>
              </w:rPr>
              <w:t>-</w:t>
            </w:r>
          </w:p>
        </w:tc>
        <w:tc>
          <w:tcPr>
            <w:tcW w:w="1407" w:type="dxa"/>
            <w:vAlign w:val="center"/>
          </w:tcPr>
          <w:p w:rsidR="00C05103" w:rsidRDefault="008D2A9C">
            <w:pPr>
              <w:jc w:val="center"/>
            </w:pPr>
            <w:r>
              <w:rPr>
                <w:color w:val="000000"/>
                <w:sz w:val="24"/>
                <w:szCs w:val="24"/>
              </w:rPr>
              <w:t>14</w:t>
            </w:r>
            <w:r>
              <w:rPr>
                <w:color w:val="000000"/>
                <w:sz w:val="24"/>
                <w:szCs w:val="24"/>
              </w:rPr>
              <w:t>年</w:t>
            </w:r>
          </w:p>
        </w:tc>
        <w:tc>
          <w:tcPr>
            <w:tcW w:w="2673" w:type="dxa"/>
            <w:vAlign w:val="center"/>
          </w:tcPr>
          <w:p w:rsidR="00C05103" w:rsidRDefault="008D2A9C">
            <w:r>
              <w:rPr>
                <w:color w:val="000000"/>
                <w:sz w:val="24"/>
                <w:szCs w:val="24"/>
              </w:rPr>
              <w:t>陈俊华女士，中国国籍，上海交通大学金融学硕士。历任国泰君安证券研究部研究员、中国国际金融有限公司研究部公用事业组负责人。</w:t>
            </w:r>
            <w:r>
              <w:rPr>
                <w:color w:val="000000"/>
                <w:sz w:val="24"/>
                <w:szCs w:val="24"/>
              </w:rPr>
              <w:t>2015</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C05103" w:rsidRDefault="008D2A9C">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C05103" w:rsidRDefault="008D2A9C">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C05103" w:rsidRDefault="008D2A9C">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w:t>
      </w:r>
      <w:r>
        <w:rPr>
          <w:color w:val="000000"/>
          <w:sz w:val="24"/>
          <w:szCs w:val="24"/>
        </w:rPr>
        <w:lastRenderedPageBreak/>
        <w:t>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w:t>
      </w:r>
      <w:r w:rsidRPr="00414345">
        <w:rPr>
          <w:color w:val="000000"/>
          <w:sz w:val="24"/>
          <w:szCs w:val="24"/>
        </w:rPr>
        <w:t>5%</w:t>
      </w:r>
      <w:r w:rsidRPr="00414345">
        <w:rPr>
          <w:color w:val="000000"/>
          <w:sz w:val="24"/>
          <w:szCs w:val="24"/>
        </w:rPr>
        <w:t>的情况有</w:t>
      </w:r>
      <w:r w:rsidRPr="00414345">
        <w:rPr>
          <w:color w:val="000000"/>
          <w:sz w:val="24"/>
          <w:szCs w:val="24"/>
        </w:rPr>
        <w:t>1</w:t>
      </w:r>
      <w:r w:rsidRPr="00414345">
        <w:rPr>
          <w:color w:val="000000"/>
          <w:sz w:val="24"/>
          <w:szCs w:val="24"/>
        </w:rPr>
        <w:t>次，是投资组合因投资策略需要而发生同日反向交易，未发现不公平交易和利益输送的情况。本基金与本公司管理的其他投资组合在不同时间窗下（如日内、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日内）同向交易的交易价差未发现异常。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C05103" w:rsidRDefault="008D2A9C">
      <w:pPr>
        <w:spacing w:before="29" w:line="288" w:lineRule="auto"/>
        <w:ind w:firstLineChars="200" w:firstLine="480"/>
        <w:rPr>
          <w:color w:val="000000"/>
          <w:sz w:val="24"/>
          <w:szCs w:val="24"/>
        </w:rPr>
      </w:pPr>
      <w:r>
        <w:rPr>
          <w:color w:val="000000"/>
          <w:sz w:val="24"/>
          <w:szCs w:val="24"/>
        </w:rPr>
        <w:t>2019</w:t>
      </w:r>
      <w:r>
        <w:rPr>
          <w:color w:val="000000"/>
          <w:sz w:val="24"/>
          <w:szCs w:val="24"/>
        </w:rPr>
        <w:t>年二季度，全球股市均有较大波动，宏观预期的波动仍是驱动市场的主因。影响因素主要来自两方面：一是贸易分歧的谈判进程；二是欧美市场对于流动性预期的波动。二季度，欧、美十年期国债收益率一度降到历史低点，反映出投资者风险偏好快速降低。随后，联储降息预期的变化、中美贸易摩擦分歧的波动，给股市造成了短期波动。落实到具体结构来看，港股受海外流动性的</w:t>
      </w:r>
      <w:r>
        <w:rPr>
          <w:color w:val="000000"/>
          <w:sz w:val="24"/>
          <w:szCs w:val="24"/>
        </w:rPr>
        <w:t>影响更大一些，二季度反弹相对薄弱。</w:t>
      </w:r>
      <w:r>
        <w:rPr>
          <w:color w:val="000000"/>
          <w:sz w:val="24"/>
          <w:szCs w:val="24"/>
        </w:rPr>
        <w:t>A</w:t>
      </w:r>
      <w:r>
        <w:rPr>
          <w:color w:val="000000"/>
          <w:sz w:val="24"/>
          <w:szCs w:val="24"/>
        </w:rPr>
        <w:t>股市场局部热点较多：北上资金关注细分行业龙头、科创版成立带来相关科技股关注度提升等等。总结而言，市场短期的波动幅度比我们预期的更为剧烈。</w:t>
      </w:r>
    </w:p>
    <w:p w:rsidR="00C05103" w:rsidRDefault="008D2A9C">
      <w:pPr>
        <w:spacing w:before="29" w:line="288" w:lineRule="auto"/>
        <w:ind w:firstLineChars="200" w:firstLine="480"/>
        <w:rPr>
          <w:color w:val="000000"/>
          <w:sz w:val="24"/>
          <w:szCs w:val="24"/>
        </w:rPr>
      </w:pPr>
      <w:r>
        <w:rPr>
          <w:color w:val="000000"/>
          <w:sz w:val="24"/>
          <w:szCs w:val="24"/>
        </w:rPr>
        <w:t>回顾二季度，我们逐步优化仓位配置，持股更为集中，积极布局具备比较优势的行业龙头。增加了对于消费和科技板块细分龙头的持仓，对于地产板块进行了调整。另一方面，我们对于公司财务更趋严苛，更为关注候选标的的财务稳健性。回顾二季度操作，选股对组合产生了正面推动，未来我们力求更好发挥长处；不足在于，我们中高仓位运行，没有有效规避四、五月的市场下跌，</w:t>
      </w:r>
      <w:r>
        <w:rPr>
          <w:color w:val="000000"/>
          <w:sz w:val="24"/>
          <w:szCs w:val="24"/>
        </w:rPr>
        <w:t>给组合造成了一定回撤，未来我们将在回撤控制方面做更多的努力。</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2019</w:t>
      </w:r>
      <w:r w:rsidRPr="00414345">
        <w:rPr>
          <w:color w:val="000000"/>
          <w:sz w:val="24"/>
          <w:szCs w:val="24"/>
        </w:rPr>
        <w:t>年三季度，我们较上半年更为乐观一些。首先，贸易摩擦或将在较长时间内存续，对于股市的边际影响在减弱。其次，在资金流动性方面，我们认为边际趋紧的概率较小。最后，也是最为重要的，我们仍然密切关注</w:t>
      </w:r>
      <w:r w:rsidRPr="00414345">
        <w:rPr>
          <w:color w:val="000000"/>
          <w:sz w:val="24"/>
          <w:szCs w:val="24"/>
        </w:rPr>
        <w:t>“</w:t>
      </w:r>
      <w:r w:rsidRPr="00414345">
        <w:rPr>
          <w:color w:val="000000"/>
          <w:sz w:val="24"/>
          <w:szCs w:val="24"/>
        </w:rPr>
        <w:t>减税降费</w:t>
      </w:r>
      <w:r w:rsidRPr="00414345">
        <w:rPr>
          <w:color w:val="000000"/>
          <w:sz w:val="24"/>
          <w:szCs w:val="24"/>
        </w:rPr>
        <w:t>”</w:t>
      </w:r>
      <w:r w:rsidRPr="00414345">
        <w:rPr>
          <w:color w:val="000000"/>
          <w:sz w:val="24"/>
          <w:szCs w:val="24"/>
        </w:rPr>
        <w:t>对于企业的实质性的改善效应，而这将在下半年逐步体现。上市公司层面，我们仍然看好消费、科技板块，对于制造业，也保持乐观。目前制造业的估值已经部分反映了悲观预期。从调研情况看，实体本身也经历了一段出清的过程，行业内分化加速，部分龙头开始逐步企稳，且更长期、更宽范围来看，全球范围内，中国的</w:t>
      </w:r>
      <w:r w:rsidRPr="00414345">
        <w:rPr>
          <w:color w:val="000000"/>
          <w:sz w:val="24"/>
          <w:szCs w:val="24"/>
        </w:rPr>
        <w:t>“</w:t>
      </w:r>
      <w:r w:rsidRPr="00414345">
        <w:rPr>
          <w:color w:val="000000"/>
          <w:sz w:val="24"/>
          <w:szCs w:val="24"/>
        </w:rPr>
        <w:t>制造业供应链</w:t>
      </w:r>
      <w:r w:rsidRPr="00414345">
        <w:rPr>
          <w:color w:val="000000"/>
          <w:sz w:val="24"/>
          <w:szCs w:val="24"/>
        </w:rPr>
        <w:t>”</w:t>
      </w:r>
      <w:r w:rsidRPr="00414345">
        <w:rPr>
          <w:color w:val="000000"/>
          <w:sz w:val="24"/>
          <w:szCs w:val="24"/>
        </w:rPr>
        <w:t>优势十分显著且难以撼动。我们相信，在制造业领域，仍会走出一批优秀的公司，优质的投资标的。下半年，我们仍坚持深入研究，集中持股的策略，积极布局具备比较优势的行业龙头。我们将继续勤勉尽责地积极调研，努力为投资人赚取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CE39AB">
              <w:rPr>
                <w:rFonts w:eastAsiaTheme="minorEastAsia" w:hint="eastAsia"/>
                <w:color w:val="000000" w:themeColor="text1"/>
                <w:sz w:val="24"/>
                <w:szCs w:val="24"/>
              </w:rPr>
              <w:t>（</w:t>
            </w:r>
            <w:r w:rsidR="00CE39AB">
              <w:rPr>
                <w:rFonts w:eastAsiaTheme="minorEastAsia" w:hint="eastAsia"/>
                <w:color w:val="000000" w:themeColor="text1"/>
                <w:sz w:val="24"/>
                <w:szCs w:val="24"/>
              </w:rPr>
              <w:t>%</w:t>
            </w:r>
            <w:r w:rsidR="00CE39A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242,632,733.77</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78.00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242,632,733.77</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78.00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9,995,000.00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3.21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9,995,000.00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3.21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w:t>
            </w:r>
            <w:proofErr w:type="gramStart"/>
            <w:r w:rsidRPr="007B5F21">
              <w:rPr>
                <w:rFonts w:eastAsiaTheme="minorEastAsia"/>
                <w:color w:val="000000" w:themeColor="text1"/>
                <w:sz w:val="24"/>
                <w:szCs w:val="24"/>
              </w:rPr>
              <w:t>品投资</w:t>
            </w:r>
            <w:proofErr w:type="gramEnd"/>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49,326,087.22</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15.86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9,132,381.50</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2.94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311,086,202.49</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lastRenderedPageBreak/>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186,328.85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0.06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74,907,638.76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24.75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18,840,087.18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6.22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15,500,000.00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32,467,721.94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10.73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9,405,000.00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12,607,833.48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23,106.60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163,937,716.81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54.16</w:t>
            </w:r>
          </w:p>
        </w:tc>
      </w:tr>
    </w:tbl>
    <w:p w:rsidR="005D2CF1" w:rsidRDefault="005D2CF1"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F51C4E" w:rsidRPr="00FF0BBF" w:rsidTr="00AD114B">
        <w:trPr>
          <w:jc w:val="center"/>
        </w:trPr>
        <w:tc>
          <w:tcPr>
            <w:tcW w:w="2397"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行业类别</w:t>
            </w:r>
          </w:p>
        </w:tc>
        <w:tc>
          <w:tcPr>
            <w:tcW w:w="3119"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公允价值（人民币）</w:t>
            </w:r>
          </w:p>
        </w:tc>
        <w:tc>
          <w:tcPr>
            <w:tcW w:w="3118"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占基金资产净值比例（</w:t>
            </w:r>
            <w:r w:rsidRPr="00FF0BBF">
              <w:rPr>
                <w:rFonts w:hint="eastAsia"/>
                <w:color w:val="000000"/>
                <w:sz w:val="24"/>
              </w:rPr>
              <w:t>%</w:t>
            </w:r>
            <w:r w:rsidRPr="00FF0BBF">
              <w:rPr>
                <w:rFonts w:hint="eastAsia"/>
                <w:color w:val="000000"/>
                <w:sz w:val="24"/>
              </w:rPr>
              <w:t>）</w:t>
            </w:r>
          </w:p>
        </w:tc>
      </w:tr>
      <w:tr w:rsidR="00C05103">
        <w:trPr>
          <w:jc w:val="center"/>
        </w:trPr>
        <w:tc>
          <w:tcPr>
            <w:tcW w:w="2397" w:type="dxa"/>
            <w:vAlign w:val="center"/>
          </w:tcPr>
          <w:p w:rsidR="00C05103" w:rsidRDefault="008D2A9C">
            <w:pPr>
              <w:jc w:val="center"/>
            </w:pPr>
            <w:r>
              <w:rPr>
                <w:color w:val="000000"/>
                <w:sz w:val="24"/>
              </w:rPr>
              <w:t>房地产</w:t>
            </w:r>
          </w:p>
        </w:tc>
        <w:tc>
          <w:tcPr>
            <w:tcW w:w="3119" w:type="dxa"/>
            <w:vAlign w:val="center"/>
          </w:tcPr>
          <w:p w:rsidR="00C05103" w:rsidRDefault="008D2A9C">
            <w:pPr>
              <w:jc w:val="center"/>
            </w:pPr>
            <w:r>
              <w:rPr>
                <w:color w:val="000000"/>
                <w:sz w:val="24"/>
              </w:rPr>
              <w:t>27,251,866.80</w:t>
            </w:r>
          </w:p>
        </w:tc>
        <w:tc>
          <w:tcPr>
            <w:tcW w:w="3118" w:type="dxa"/>
            <w:vAlign w:val="center"/>
          </w:tcPr>
          <w:p w:rsidR="00C05103" w:rsidRDefault="008D2A9C">
            <w:pPr>
              <w:jc w:val="center"/>
            </w:pPr>
            <w:r>
              <w:rPr>
                <w:color w:val="000000"/>
                <w:sz w:val="24"/>
              </w:rPr>
              <w:t>9.00</w:t>
            </w:r>
          </w:p>
        </w:tc>
      </w:tr>
      <w:tr w:rsidR="00C05103">
        <w:trPr>
          <w:jc w:val="center"/>
        </w:trPr>
        <w:tc>
          <w:tcPr>
            <w:tcW w:w="2397" w:type="dxa"/>
            <w:vAlign w:val="center"/>
          </w:tcPr>
          <w:p w:rsidR="00C05103" w:rsidRDefault="008D2A9C">
            <w:pPr>
              <w:jc w:val="center"/>
            </w:pPr>
            <w:r>
              <w:rPr>
                <w:color w:val="000000"/>
                <w:sz w:val="24"/>
              </w:rPr>
              <w:t>通讯服务</w:t>
            </w:r>
          </w:p>
        </w:tc>
        <w:tc>
          <w:tcPr>
            <w:tcW w:w="3119" w:type="dxa"/>
            <w:vAlign w:val="center"/>
          </w:tcPr>
          <w:p w:rsidR="00C05103" w:rsidRDefault="008D2A9C">
            <w:pPr>
              <w:jc w:val="center"/>
            </w:pPr>
            <w:r>
              <w:rPr>
                <w:color w:val="000000"/>
                <w:sz w:val="24"/>
              </w:rPr>
              <w:t>23,061,166.56</w:t>
            </w:r>
          </w:p>
        </w:tc>
        <w:tc>
          <w:tcPr>
            <w:tcW w:w="3118" w:type="dxa"/>
            <w:vAlign w:val="center"/>
          </w:tcPr>
          <w:p w:rsidR="00C05103" w:rsidRDefault="008D2A9C">
            <w:pPr>
              <w:jc w:val="center"/>
            </w:pPr>
            <w:r>
              <w:rPr>
                <w:color w:val="000000"/>
                <w:sz w:val="24"/>
              </w:rPr>
              <w:t>7.62</w:t>
            </w:r>
          </w:p>
        </w:tc>
      </w:tr>
      <w:tr w:rsidR="00C05103">
        <w:trPr>
          <w:jc w:val="center"/>
        </w:trPr>
        <w:tc>
          <w:tcPr>
            <w:tcW w:w="2397" w:type="dxa"/>
            <w:vAlign w:val="center"/>
          </w:tcPr>
          <w:p w:rsidR="00C05103" w:rsidRDefault="008D2A9C">
            <w:pPr>
              <w:jc w:val="center"/>
            </w:pPr>
            <w:r>
              <w:rPr>
                <w:color w:val="000000"/>
                <w:sz w:val="24"/>
              </w:rPr>
              <w:t>金融</w:t>
            </w:r>
          </w:p>
        </w:tc>
        <w:tc>
          <w:tcPr>
            <w:tcW w:w="3119" w:type="dxa"/>
            <w:vAlign w:val="center"/>
          </w:tcPr>
          <w:p w:rsidR="00C05103" w:rsidRDefault="008D2A9C">
            <w:pPr>
              <w:jc w:val="center"/>
            </w:pPr>
            <w:r>
              <w:rPr>
                <w:color w:val="000000"/>
                <w:sz w:val="24"/>
              </w:rPr>
              <w:t>11,800,392.60</w:t>
            </w:r>
          </w:p>
        </w:tc>
        <w:tc>
          <w:tcPr>
            <w:tcW w:w="3118" w:type="dxa"/>
            <w:vAlign w:val="center"/>
          </w:tcPr>
          <w:p w:rsidR="00C05103" w:rsidRDefault="008D2A9C">
            <w:pPr>
              <w:jc w:val="center"/>
            </w:pPr>
            <w:r>
              <w:rPr>
                <w:color w:val="000000"/>
                <w:sz w:val="24"/>
              </w:rPr>
              <w:t>3.90</w:t>
            </w:r>
          </w:p>
        </w:tc>
      </w:tr>
      <w:tr w:rsidR="00C05103">
        <w:trPr>
          <w:jc w:val="center"/>
        </w:trPr>
        <w:tc>
          <w:tcPr>
            <w:tcW w:w="2397" w:type="dxa"/>
            <w:vAlign w:val="center"/>
          </w:tcPr>
          <w:p w:rsidR="00C05103" w:rsidRDefault="008D2A9C">
            <w:pPr>
              <w:jc w:val="center"/>
            </w:pPr>
            <w:r>
              <w:rPr>
                <w:color w:val="000000"/>
                <w:sz w:val="24"/>
              </w:rPr>
              <w:t>公用事业</w:t>
            </w:r>
          </w:p>
        </w:tc>
        <w:tc>
          <w:tcPr>
            <w:tcW w:w="3119" w:type="dxa"/>
            <w:vAlign w:val="center"/>
          </w:tcPr>
          <w:p w:rsidR="00C05103" w:rsidRDefault="008D2A9C">
            <w:pPr>
              <w:jc w:val="center"/>
            </w:pPr>
            <w:r>
              <w:rPr>
                <w:color w:val="000000"/>
                <w:sz w:val="24"/>
              </w:rPr>
              <w:t>9,482,734.80</w:t>
            </w:r>
          </w:p>
        </w:tc>
        <w:tc>
          <w:tcPr>
            <w:tcW w:w="3118" w:type="dxa"/>
            <w:vAlign w:val="center"/>
          </w:tcPr>
          <w:p w:rsidR="00C05103" w:rsidRDefault="008D2A9C">
            <w:pPr>
              <w:jc w:val="center"/>
            </w:pPr>
            <w:r>
              <w:rPr>
                <w:color w:val="000000"/>
                <w:sz w:val="24"/>
              </w:rPr>
              <w:t>3.13</w:t>
            </w:r>
          </w:p>
        </w:tc>
      </w:tr>
      <w:tr w:rsidR="00C05103">
        <w:trPr>
          <w:jc w:val="center"/>
        </w:trPr>
        <w:tc>
          <w:tcPr>
            <w:tcW w:w="2397" w:type="dxa"/>
            <w:vAlign w:val="center"/>
          </w:tcPr>
          <w:p w:rsidR="00C05103" w:rsidRDefault="008D2A9C">
            <w:pPr>
              <w:jc w:val="center"/>
            </w:pPr>
            <w:r>
              <w:rPr>
                <w:color w:val="000000"/>
                <w:sz w:val="24"/>
              </w:rPr>
              <w:t>信息技术</w:t>
            </w:r>
          </w:p>
        </w:tc>
        <w:tc>
          <w:tcPr>
            <w:tcW w:w="3119" w:type="dxa"/>
            <w:vAlign w:val="center"/>
          </w:tcPr>
          <w:p w:rsidR="00C05103" w:rsidRDefault="008D2A9C">
            <w:pPr>
              <w:jc w:val="center"/>
            </w:pPr>
            <w:r>
              <w:rPr>
                <w:color w:val="000000"/>
                <w:sz w:val="24"/>
              </w:rPr>
              <w:t>7,098,856.20</w:t>
            </w:r>
          </w:p>
        </w:tc>
        <w:tc>
          <w:tcPr>
            <w:tcW w:w="3118" w:type="dxa"/>
            <w:vAlign w:val="center"/>
          </w:tcPr>
          <w:p w:rsidR="00C05103" w:rsidRDefault="008D2A9C">
            <w:pPr>
              <w:jc w:val="center"/>
            </w:pPr>
            <w:r>
              <w:rPr>
                <w:color w:val="000000"/>
                <w:sz w:val="24"/>
              </w:rPr>
              <w:t>2.35</w:t>
            </w:r>
          </w:p>
        </w:tc>
      </w:tr>
      <w:tr w:rsidR="00F51C4E" w:rsidRPr="00FF0BBF" w:rsidTr="00AD114B">
        <w:trPr>
          <w:jc w:val="center"/>
        </w:trPr>
        <w:tc>
          <w:tcPr>
            <w:tcW w:w="2397"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lastRenderedPageBreak/>
              <w:t>合计</w:t>
            </w:r>
          </w:p>
        </w:tc>
        <w:tc>
          <w:tcPr>
            <w:tcW w:w="3119"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78,695,016.96</w:t>
            </w:r>
          </w:p>
        </w:tc>
        <w:tc>
          <w:tcPr>
            <w:tcW w:w="3118"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26.00</w:t>
            </w:r>
          </w:p>
        </w:tc>
      </w:tr>
    </w:tbl>
    <w:p w:rsidR="00F51C4E" w:rsidRDefault="00F51C4E" w:rsidP="00F51C4E">
      <w:pPr>
        <w:spacing w:before="29" w:line="360" w:lineRule="auto"/>
        <w:ind w:left="17"/>
        <w:rPr>
          <w:color w:val="000000"/>
          <w:sz w:val="24"/>
        </w:rPr>
      </w:pPr>
      <w:r w:rsidRPr="00FF0BBF">
        <w:rPr>
          <w:color w:val="000000"/>
          <w:sz w:val="24"/>
        </w:rPr>
        <w:t>注：以上分类采用全球行业分类标准（</w:t>
      </w:r>
      <w:r w:rsidRPr="00FF0BBF">
        <w:rPr>
          <w:color w:val="000000"/>
          <w:sz w:val="24"/>
        </w:rPr>
        <w:t>GICS</w:t>
      </w:r>
      <w:r w:rsidRPr="00FF0BBF">
        <w:rPr>
          <w:color w:val="000000"/>
          <w:sz w:val="24"/>
        </w:rPr>
        <w:t>）。</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C05103">
        <w:trPr>
          <w:jc w:val="center"/>
        </w:trPr>
        <w:tc>
          <w:tcPr>
            <w:tcW w:w="855" w:type="dxa"/>
            <w:vAlign w:val="center"/>
          </w:tcPr>
          <w:p w:rsidR="00C05103" w:rsidRDefault="008D2A9C">
            <w:pPr>
              <w:jc w:val="center"/>
            </w:pPr>
            <w:r>
              <w:rPr>
                <w:color w:val="000000"/>
                <w:sz w:val="24"/>
                <w:szCs w:val="24"/>
              </w:rPr>
              <w:t>1</w:t>
            </w:r>
          </w:p>
        </w:tc>
        <w:tc>
          <w:tcPr>
            <w:tcW w:w="1334" w:type="dxa"/>
            <w:vAlign w:val="center"/>
          </w:tcPr>
          <w:p w:rsidR="00C05103" w:rsidRDefault="008D2A9C">
            <w:pPr>
              <w:jc w:val="center"/>
            </w:pPr>
            <w:r>
              <w:rPr>
                <w:color w:val="000000"/>
                <w:sz w:val="24"/>
                <w:szCs w:val="24"/>
              </w:rPr>
              <w:t>600036</w:t>
            </w:r>
          </w:p>
        </w:tc>
        <w:tc>
          <w:tcPr>
            <w:tcW w:w="1777" w:type="dxa"/>
            <w:vAlign w:val="center"/>
          </w:tcPr>
          <w:p w:rsidR="00C05103" w:rsidRDefault="008D2A9C">
            <w:pPr>
              <w:jc w:val="center"/>
            </w:pPr>
            <w:r>
              <w:rPr>
                <w:color w:val="000000"/>
                <w:sz w:val="24"/>
                <w:szCs w:val="24"/>
              </w:rPr>
              <w:t>招商银行</w:t>
            </w:r>
          </w:p>
        </w:tc>
        <w:tc>
          <w:tcPr>
            <w:tcW w:w="1334" w:type="dxa"/>
            <w:vAlign w:val="center"/>
          </w:tcPr>
          <w:p w:rsidR="00C05103" w:rsidRDefault="008D2A9C">
            <w:pPr>
              <w:jc w:val="right"/>
            </w:pPr>
            <w:r>
              <w:rPr>
                <w:color w:val="000000"/>
                <w:sz w:val="24"/>
                <w:szCs w:val="24"/>
              </w:rPr>
              <w:t>507,400</w:t>
            </w:r>
          </w:p>
        </w:tc>
        <w:tc>
          <w:tcPr>
            <w:tcW w:w="1924" w:type="dxa"/>
            <w:vAlign w:val="center"/>
          </w:tcPr>
          <w:p w:rsidR="00C05103" w:rsidRDefault="008D2A9C">
            <w:pPr>
              <w:jc w:val="right"/>
            </w:pPr>
            <w:r>
              <w:rPr>
                <w:color w:val="000000"/>
                <w:sz w:val="24"/>
                <w:szCs w:val="24"/>
              </w:rPr>
              <w:t>18,256,252.00</w:t>
            </w:r>
          </w:p>
        </w:tc>
        <w:tc>
          <w:tcPr>
            <w:tcW w:w="1644" w:type="dxa"/>
            <w:vAlign w:val="center"/>
          </w:tcPr>
          <w:p w:rsidR="00C05103" w:rsidRDefault="008D2A9C">
            <w:pPr>
              <w:jc w:val="right"/>
            </w:pPr>
            <w:r>
              <w:rPr>
                <w:color w:val="000000"/>
                <w:sz w:val="24"/>
                <w:szCs w:val="24"/>
              </w:rPr>
              <w:t>6.03</w:t>
            </w:r>
          </w:p>
        </w:tc>
      </w:tr>
      <w:tr w:rsidR="00C05103">
        <w:trPr>
          <w:jc w:val="center"/>
        </w:trPr>
        <w:tc>
          <w:tcPr>
            <w:tcW w:w="855" w:type="dxa"/>
            <w:vAlign w:val="center"/>
          </w:tcPr>
          <w:p w:rsidR="00C05103" w:rsidRDefault="008D2A9C">
            <w:pPr>
              <w:jc w:val="center"/>
            </w:pPr>
            <w:r>
              <w:rPr>
                <w:color w:val="000000"/>
                <w:sz w:val="24"/>
                <w:szCs w:val="24"/>
              </w:rPr>
              <w:t>2</w:t>
            </w:r>
          </w:p>
        </w:tc>
        <w:tc>
          <w:tcPr>
            <w:tcW w:w="1334" w:type="dxa"/>
            <w:vAlign w:val="center"/>
          </w:tcPr>
          <w:p w:rsidR="00C05103" w:rsidRDefault="008D2A9C">
            <w:pPr>
              <w:jc w:val="center"/>
            </w:pPr>
            <w:r>
              <w:rPr>
                <w:color w:val="000000"/>
                <w:sz w:val="24"/>
                <w:szCs w:val="24"/>
              </w:rPr>
              <w:t>H01918</w:t>
            </w:r>
          </w:p>
        </w:tc>
        <w:tc>
          <w:tcPr>
            <w:tcW w:w="1777" w:type="dxa"/>
            <w:vAlign w:val="center"/>
          </w:tcPr>
          <w:p w:rsidR="00C05103" w:rsidRDefault="008D2A9C">
            <w:pPr>
              <w:jc w:val="center"/>
            </w:pPr>
            <w:r>
              <w:rPr>
                <w:color w:val="000000"/>
                <w:sz w:val="24"/>
                <w:szCs w:val="24"/>
              </w:rPr>
              <w:t>融创中国</w:t>
            </w:r>
          </w:p>
        </w:tc>
        <w:tc>
          <w:tcPr>
            <w:tcW w:w="1334" w:type="dxa"/>
            <w:vAlign w:val="center"/>
          </w:tcPr>
          <w:p w:rsidR="00C05103" w:rsidRDefault="008D2A9C">
            <w:pPr>
              <w:jc w:val="right"/>
            </w:pPr>
            <w:r>
              <w:rPr>
                <w:color w:val="000000"/>
                <w:sz w:val="24"/>
                <w:szCs w:val="24"/>
              </w:rPr>
              <w:t>500,000</w:t>
            </w:r>
          </w:p>
        </w:tc>
        <w:tc>
          <w:tcPr>
            <w:tcW w:w="1924" w:type="dxa"/>
            <w:vAlign w:val="center"/>
          </w:tcPr>
          <w:p w:rsidR="00C05103" w:rsidRDefault="008D2A9C">
            <w:pPr>
              <w:jc w:val="right"/>
            </w:pPr>
            <w:r>
              <w:rPr>
                <w:color w:val="000000"/>
                <w:sz w:val="24"/>
                <w:szCs w:val="24"/>
              </w:rPr>
              <w:t>16,889,472.00</w:t>
            </w:r>
          </w:p>
        </w:tc>
        <w:tc>
          <w:tcPr>
            <w:tcW w:w="1644" w:type="dxa"/>
            <w:vAlign w:val="center"/>
          </w:tcPr>
          <w:p w:rsidR="00C05103" w:rsidRDefault="008D2A9C">
            <w:pPr>
              <w:jc w:val="right"/>
            </w:pPr>
            <w:r>
              <w:rPr>
                <w:color w:val="000000"/>
                <w:sz w:val="24"/>
                <w:szCs w:val="24"/>
              </w:rPr>
              <w:t>5.58</w:t>
            </w:r>
          </w:p>
        </w:tc>
      </w:tr>
      <w:tr w:rsidR="00C05103">
        <w:trPr>
          <w:jc w:val="center"/>
        </w:trPr>
        <w:tc>
          <w:tcPr>
            <w:tcW w:w="855" w:type="dxa"/>
            <w:vAlign w:val="center"/>
          </w:tcPr>
          <w:p w:rsidR="00C05103" w:rsidRDefault="008D2A9C">
            <w:pPr>
              <w:jc w:val="center"/>
            </w:pPr>
            <w:r>
              <w:rPr>
                <w:color w:val="000000"/>
                <w:sz w:val="24"/>
                <w:szCs w:val="24"/>
              </w:rPr>
              <w:t>3</w:t>
            </w:r>
          </w:p>
        </w:tc>
        <w:tc>
          <w:tcPr>
            <w:tcW w:w="1334" w:type="dxa"/>
            <w:vAlign w:val="center"/>
          </w:tcPr>
          <w:p w:rsidR="00C05103" w:rsidRDefault="008D2A9C">
            <w:pPr>
              <w:jc w:val="center"/>
            </w:pPr>
            <w:r>
              <w:rPr>
                <w:color w:val="000000"/>
                <w:sz w:val="24"/>
                <w:szCs w:val="24"/>
              </w:rPr>
              <w:t>300207</w:t>
            </w:r>
          </w:p>
        </w:tc>
        <w:tc>
          <w:tcPr>
            <w:tcW w:w="1777" w:type="dxa"/>
            <w:vAlign w:val="center"/>
          </w:tcPr>
          <w:p w:rsidR="00C05103" w:rsidRDefault="008D2A9C">
            <w:pPr>
              <w:jc w:val="center"/>
            </w:pPr>
            <w:r>
              <w:rPr>
                <w:color w:val="000000"/>
                <w:sz w:val="24"/>
                <w:szCs w:val="24"/>
              </w:rPr>
              <w:t>欣旺达</w:t>
            </w:r>
          </w:p>
        </w:tc>
        <w:tc>
          <w:tcPr>
            <w:tcW w:w="1334" w:type="dxa"/>
            <w:vAlign w:val="center"/>
          </w:tcPr>
          <w:p w:rsidR="00C05103" w:rsidRDefault="008D2A9C">
            <w:pPr>
              <w:jc w:val="right"/>
            </w:pPr>
            <w:r>
              <w:rPr>
                <w:color w:val="000000"/>
                <w:sz w:val="24"/>
                <w:szCs w:val="24"/>
              </w:rPr>
              <w:t>1,400,000</w:t>
            </w:r>
          </w:p>
        </w:tc>
        <w:tc>
          <w:tcPr>
            <w:tcW w:w="1924" w:type="dxa"/>
            <w:vAlign w:val="center"/>
          </w:tcPr>
          <w:p w:rsidR="00C05103" w:rsidRDefault="008D2A9C">
            <w:pPr>
              <w:jc w:val="right"/>
            </w:pPr>
            <w:r>
              <w:rPr>
                <w:color w:val="000000"/>
                <w:sz w:val="24"/>
                <w:szCs w:val="24"/>
              </w:rPr>
              <w:t>16,128,000.00</w:t>
            </w:r>
          </w:p>
        </w:tc>
        <w:tc>
          <w:tcPr>
            <w:tcW w:w="1644" w:type="dxa"/>
            <w:vAlign w:val="center"/>
          </w:tcPr>
          <w:p w:rsidR="00C05103" w:rsidRDefault="008D2A9C">
            <w:pPr>
              <w:jc w:val="right"/>
            </w:pPr>
            <w:r>
              <w:rPr>
                <w:color w:val="000000"/>
                <w:sz w:val="24"/>
                <w:szCs w:val="24"/>
              </w:rPr>
              <w:t>5.33</w:t>
            </w:r>
          </w:p>
        </w:tc>
      </w:tr>
      <w:tr w:rsidR="00C05103">
        <w:trPr>
          <w:jc w:val="center"/>
        </w:trPr>
        <w:tc>
          <w:tcPr>
            <w:tcW w:w="855" w:type="dxa"/>
            <w:vAlign w:val="center"/>
          </w:tcPr>
          <w:p w:rsidR="00C05103" w:rsidRDefault="008D2A9C">
            <w:pPr>
              <w:jc w:val="center"/>
            </w:pPr>
            <w:r>
              <w:rPr>
                <w:color w:val="000000"/>
                <w:sz w:val="24"/>
                <w:szCs w:val="24"/>
              </w:rPr>
              <w:t>4</w:t>
            </w:r>
          </w:p>
        </w:tc>
        <w:tc>
          <w:tcPr>
            <w:tcW w:w="1334" w:type="dxa"/>
            <w:vAlign w:val="center"/>
          </w:tcPr>
          <w:p w:rsidR="00C05103" w:rsidRDefault="008D2A9C">
            <w:pPr>
              <w:jc w:val="center"/>
            </w:pPr>
            <w:r>
              <w:rPr>
                <w:color w:val="000000"/>
                <w:sz w:val="24"/>
                <w:szCs w:val="24"/>
              </w:rPr>
              <w:t>601318</w:t>
            </w:r>
          </w:p>
        </w:tc>
        <w:tc>
          <w:tcPr>
            <w:tcW w:w="1777" w:type="dxa"/>
            <w:vAlign w:val="center"/>
          </w:tcPr>
          <w:p w:rsidR="00C05103" w:rsidRDefault="008D2A9C">
            <w:pPr>
              <w:jc w:val="center"/>
            </w:pPr>
            <w:r>
              <w:rPr>
                <w:color w:val="000000"/>
                <w:sz w:val="24"/>
                <w:szCs w:val="24"/>
              </w:rPr>
              <w:t>中国平安</w:t>
            </w:r>
          </w:p>
        </w:tc>
        <w:tc>
          <w:tcPr>
            <w:tcW w:w="1334" w:type="dxa"/>
            <w:vAlign w:val="center"/>
          </w:tcPr>
          <w:p w:rsidR="00C05103" w:rsidRDefault="008D2A9C">
            <w:pPr>
              <w:jc w:val="right"/>
            </w:pPr>
            <w:r>
              <w:rPr>
                <w:color w:val="000000"/>
                <w:sz w:val="24"/>
                <w:szCs w:val="24"/>
              </w:rPr>
              <w:t>160,000</w:t>
            </w:r>
          </w:p>
        </w:tc>
        <w:tc>
          <w:tcPr>
            <w:tcW w:w="1924" w:type="dxa"/>
            <w:vAlign w:val="center"/>
          </w:tcPr>
          <w:p w:rsidR="00C05103" w:rsidRDefault="008D2A9C">
            <w:pPr>
              <w:jc w:val="right"/>
            </w:pPr>
            <w:r>
              <w:rPr>
                <w:color w:val="000000"/>
                <w:sz w:val="24"/>
                <w:szCs w:val="24"/>
              </w:rPr>
              <w:t>14,177,600.00</w:t>
            </w:r>
          </w:p>
        </w:tc>
        <w:tc>
          <w:tcPr>
            <w:tcW w:w="1644" w:type="dxa"/>
            <w:vAlign w:val="center"/>
          </w:tcPr>
          <w:p w:rsidR="00C05103" w:rsidRDefault="008D2A9C">
            <w:pPr>
              <w:jc w:val="right"/>
            </w:pPr>
            <w:r>
              <w:rPr>
                <w:color w:val="000000"/>
                <w:sz w:val="24"/>
                <w:szCs w:val="24"/>
              </w:rPr>
              <w:t>4.68</w:t>
            </w:r>
          </w:p>
        </w:tc>
      </w:tr>
      <w:tr w:rsidR="00C05103">
        <w:trPr>
          <w:jc w:val="center"/>
        </w:trPr>
        <w:tc>
          <w:tcPr>
            <w:tcW w:w="855" w:type="dxa"/>
            <w:vAlign w:val="center"/>
          </w:tcPr>
          <w:p w:rsidR="00C05103" w:rsidRDefault="008D2A9C">
            <w:pPr>
              <w:jc w:val="center"/>
            </w:pPr>
            <w:r>
              <w:rPr>
                <w:color w:val="000000"/>
                <w:sz w:val="24"/>
                <w:szCs w:val="24"/>
              </w:rPr>
              <w:t>5</w:t>
            </w:r>
          </w:p>
        </w:tc>
        <w:tc>
          <w:tcPr>
            <w:tcW w:w="1334" w:type="dxa"/>
            <w:vAlign w:val="center"/>
          </w:tcPr>
          <w:p w:rsidR="00C05103" w:rsidRDefault="008D2A9C">
            <w:pPr>
              <w:jc w:val="center"/>
            </w:pPr>
            <w:r>
              <w:rPr>
                <w:color w:val="000000"/>
                <w:sz w:val="24"/>
                <w:szCs w:val="24"/>
              </w:rPr>
              <w:t>H00788</w:t>
            </w:r>
          </w:p>
        </w:tc>
        <w:tc>
          <w:tcPr>
            <w:tcW w:w="1777" w:type="dxa"/>
            <w:vAlign w:val="center"/>
          </w:tcPr>
          <w:p w:rsidR="00C05103" w:rsidRDefault="008D2A9C">
            <w:pPr>
              <w:jc w:val="center"/>
            </w:pPr>
            <w:r>
              <w:rPr>
                <w:color w:val="000000"/>
                <w:sz w:val="24"/>
                <w:szCs w:val="24"/>
              </w:rPr>
              <w:t>中国铁塔</w:t>
            </w:r>
          </w:p>
        </w:tc>
        <w:tc>
          <w:tcPr>
            <w:tcW w:w="1334" w:type="dxa"/>
            <w:vAlign w:val="center"/>
          </w:tcPr>
          <w:p w:rsidR="00C05103" w:rsidRDefault="008D2A9C">
            <w:pPr>
              <w:jc w:val="right"/>
            </w:pPr>
            <w:r>
              <w:rPr>
                <w:color w:val="000000"/>
                <w:sz w:val="24"/>
                <w:szCs w:val="24"/>
              </w:rPr>
              <w:t>7,000,000</w:t>
            </w:r>
          </w:p>
        </w:tc>
        <w:tc>
          <w:tcPr>
            <w:tcW w:w="1924" w:type="dxa"/>
            <w:vAlign w:val="center"/>
          </w:tcPr>
          <w:p w:rsidR="00C05103" w:rsidRDefault="008D2A9C">
            <w:pPr>
              <w:jc w:val="right"/>
            </w:pPr>
            <w:r>
              <w:rPr>
                <w:color w:val="000000"/>
                <w:sz w:val="24"/>
                <w:szCs w:val="24"/>
              </w:rPr>
              <w:t>12,623,121.00</w:t>
            </w:r>
          </w:p>
        </w:tc>
        <w:tc>
          <w:tcPr>
            <w:tcW w:w="1644" w:type="dxa"/>
            <w:vAlign w:val="center"/>
          </w:tcPr>
          <w:p w:rsidR="00C05103" w:rsidRDefault="008D2A9C">
            <w:pPr>
              <w:jc w:val="right"/>
            </w:pPr>
            <w:r>
              <w:rPr>
                <w:color w:val="000000"/>
                <w:sz w:val="24"/>
                <w:szCs w:val="24"/>
              </w:rPr>
              <w:t>4.17</w:t>
            </w:r>
          </w:p>
        </w:tc>
      </w:tr>
      <w:tr w:rsidR="00C05103">
        <w:trPr>
          <w:jc w:val="center"/>
        </w:trPr>
        <w:tc>
          <w:tcPr>
            <w:tcW w:w="855" w:type="dxa"/>
            <w:vAlign w:val="center"/>
          </w:tcPr>
          <w:p w:rsidR="00C05103" w:rsidRDefault="008D2A9C">
            <w:pPr>
              <w:jc w:val="center"/>
            </w:pPr>
            <w:r>
              <w:rPr>
                <w:color w:val="000000"/>
                <w:sz w:val="24"/>
                <w:szCs w:val="24"/>
              </w:rPr>
              <w:t>6</w:t>
            </w:r>
          </w:p>
        </w:tc>
        <w:tc>
          <w:tcPr>
            <w:tcW w:w="1334" w:type="dxa"/>
            <w:vAlign w:val="center"/>
          </w:tcPr>
          <w:p w:rsidR="00C05103" w:rsidRDefault="008D2A9C">
            <w:pPr>
              <w:jc w:val="center"/>
            </w:pPr>
            <w:r>
              <w:rPr>
                <w:color w:val="000000"/>
                <w:sz w:val="24"/>
                <w:szCs w:val="24"/>
              </w:rPr>
              <w:t>002511</w:t>
            </w:r>
          </w:p>
        </w:tc>
        <w:tc>
          <w:tcPr>
            <w:tcW w:w="1777" w:type="dxa"/>
            <w:vAlign w:val="center"/>
          </w:tcPr>
          <w:p w:rsidR="00C05103" w:rsidRDefault="008D2A9C">
            <w:pPr>
              <w:jc w:val="center"/>
            </w:pPr>
            <w:r>
              <w:rPr>
                <w:color w:val="000000"/>
                <w:sz w:val="24"/>
                <w:szCs w:val="24"/>
              </w:rPr>
              <w:t>中顺洁柔</w:t>
            </w:r>
          </w:p>
        </w:tc>
        <w:tc>
          <w:tcPr>
            <w:tcW w:w="1334" w:type="dxa"/>
            <w:vAlign w:val="center"/>
          </w:tcPr>
          <w:p w:rsidR="00C05103" w:rsidRDefault="008D2A9C">
            <w:pPr>
              <w:jc w:val="right"/>
            </w:pPr>
            <w:r>
              <w:rPr>
                <w:color w:val="000000"/>
                <w:sz w:val="24"/>
                <w:szCs w:val="24"/>
              </w:rPr>
              <w:t>999,915</w:t>
            </w:r>
          </w:p>
        </w:tc>
        <w:tc>
          <w:tcPr>
            <w:tcW w:w="1924" w:type="dxa"/>
            <w:vAlign w:val="center"/>
          </w:tcPr>
          <w:p w:rsidR="00C05103" w:rsidRDefault="008D2A9C">
            <w:pPr>
              <w:jc w:val="right"/>
            </w:pPr>
            <w:r>
              <w:rPr>
                <w:color w:val="000000"/>
                <w:sz w:val="24"/>
                <w:szCs w:val="24"/>
              </w:rPr>
              <w:t>12,278,956.20</w:t>
            </w:r>
          </w:p>
        </w:tc>
        <w:tc>
          <w:tcPr>
            <w:tcW w:w="1644" w:type="dxa"/>
            <w:vAlign w:val="center"/>
          </w:tcPr>
          <w:p w:rsidR="00C05103" w:rsidRDefault="008D2A9C">
            <w:pPr>
              <w:jc w:val="right"/>
            </w:pPr>
            <w:r>
              <w:rPr>
                <w:color w:val="000000"/>
                <w:sz w:val="24"/>
                <w:szCs w:val="24"/>
              </w:rPr>
              <w:t>4.06</w:t>
            </w:r>
          </w:p>
        </w:tc>
      </w:tr>
      <w:tr w:rsidR="00C05103">
        <w:trPr>
          <w:jc w:val="center"/>
        </w:trPr>
        <w:tc>
          <w:tcPr>
            <w:tcW w:w="855" w:type="dxa"/>
            <w:vAlign w:val="center"/>
          </w:tcPr>
          <w:p w:rsidR="00C05103" w:rsidRDefault="008D2A9C">
            <w:pPr>
              <w:jc w:val="center"/>
            </w:pPr>
            <w:r>
              <w:rPr>
                <w:color w:val="000000"/>
                <w:sz w:val="24"/>
                <w:szCs w:val="24"/>
              </w:rPr>
              <w:t>7</w:t>
            </w:r>
          </w:p>
        </w:tc>
        <w:tc>
          <w:tcPr>
            <w:tcW w:w="1334" w:type="dxa"/>
            <w:vAlign w:val="center"/>
          </w:tcPr>
          <w:p w:rsidR="00C05103" w:rsidRDefault="008D2A9C">
            <w:pPr>
              <w:jc w:val="center"/>
            </w:pPr>
            <w:r>
              <w:rPr>
                <w:color w:val="000000"/>
                <w:sz w:val="24"/>
                <w:szCs w:val="24"/>
              </w:rPr>
              <w:t>H06030</w:t>
            </w:r>
          </w:p>
        </w:tc>
        <w:tc>
          <w:tcPr>
            <w:tcW w:w="1777" w:type="dxa"/>
            <w:vAlign w:val="center"/>
          </w:tcPr>
          <w:p w:rsidR="00C05103" w:rsidRDefault="008D2A9C">
            <w:pPr>
              <w:jc w:val="center"/>
            </w:pPr>
            <w:r>
              <w:rPr>
                <w:color w:val="000000"/>
                <w:sz w:val="24"/>
                <w:szCs w:val="24"/>
              </w:rPr>
              <w:t>中信证券</w:t>
            </w:r>
          </w:p>
        </w:tc>
        <w:tc>
          <w:tcPr>
            <w:tcW w:w="1334" w:type="dxa"/>
            <w:vAlign w:val="center"/>
          </w:tcPr>
          <w:p w:rsidR="00C05103" w:rsidRDefault="008D2A9C">
            <w:pPr>
              <w:jc w:val="right"/>
            </w:pPr>
            <w:r>
              <w:rPr>
                <w:color w:val="000000"/>
                <w:sz w:val="24"/>
                <w:szCs w:val="24"/>
              </w:rPr>
              <w:t>824,000</w:t>
            </w:r>
          </w:p>
        </w:tc>
        <w:tc>
          <w:tcPr>
            <w:tcW w:w="1924" w:type="dxa"/>
            <w:vAlign w:val="center"/>
          </w:tcPr>
          <w:p w:rsidR="00C05103" w:rsidRDefault="008D2A9C">
            <w:pPr>
              <w:jc w:val="right"/>
            </w:pPr>
            <w:r>
              <w:rPr>
                <w:color w:val="000000"/>
                <w:sz w:val="24"/>
                <w:szCs w:val="24"/>
              </w:rPr>
              <w:t>11,800,392.60</w:t>
            </w:r>
          </w:p>
        </w:tc>
        <w:tc>
          <w:tcPr>
            <w:tcW w:w="1644" w:type="dxa"/>
            <w:vAlign w:val="center"/>
          </w:tcPr>
          <w:p w:rsidR="00C05103" w:rsidRDefault="008D2A9C">
            <w:pPr>
              <w:jc w:val="right"/>
            </w:pPr>
            <w:r>
              <w:rPr>
                <w:color w:val="000000"/>
                <w:sz w:val="24"/>
                <w:szCs w:val="24"/>
              </w:rPr>
              <w:t>3.90</w:t>
            </w:r>
          </w:p>
        </w:tc>
      </w:tr>
      <w:tr w:rsidR="00C05103">
        <w:trPr>
          <w:jc w:val="center"/>
        </w:trPr>
        <w:tc>
          <w:tcPr>
            <w:tcW w:w="855" w:type="dxa"/>
            <w:vAlign w:val="center"/>
          </w:tcPr>
          <w:p w:rsidR="00C05103" w:rsidRDefault="008D2A9C">
            <w:pPr>
              <w:jc w:val="center"/>
            </w:pPr>
            <w:r>
              <w:rPr>
                <w:color w:val="000000"/>
                <w:sz w:val="24"/>
                <w:szCs w:val="24"/>
              </w:rPr>
              <w:t>8</w:t>
            </w:r>
          </w:p>
        </w:tc>
        <w:tc>
          <w:tcPr>
            <w:tcW w:w="1334" w:type="dxa"/>
            <w:vAlign w:val="center"/>
          </w:tcPr>
          <w:p w:rsidR="00C05103" w:rsidRDefault="008D2A9C">
            <w:pPr>
              <w:jc w:val="center"/>
            </w:pPr>
            <w:r>
              <w:rPr>
                <w:color w:val="000000"/>
                <w:sz w:val="24"/>
                <w:szCs w:val="24"/>
              </w:rPr>
              <w:t>000651</w:t>
            </w:r>
          </w:p>
        </w:tc>
        <w:tc>
          <w:tcPr>
            <w:tcW w:w="1777" w:type="dxa"/>
            <w:vAlign w:val="center"/>
          </w:tcPr>
          <w:p w:rsidR="00C05103" w:rsidRDefault="008D2A9C">
            <w:pPr>
              <w:jc w:val="center"/>
            </w:pPr>
            <w:r>
              <w:rPr>
                <w:color w:val="000000"/>
                <w:sz w:val="24"/>
                <w:szCs w:val="24"/>
              </w:rPr>
              <w:t>格力电器</w:t>
            </w:r>
          </w:p>
        </w:tc>
        <w:tc>
          <w:tcPr>
            <w:tcW w:w="1334" w:type="dxa"/>
            <w:vAlign w:val="center"/>
          </w:tcPr>
          <w:p w:rsidR="00C05103" w:rsidRDefault="008D2A9C">
            <w:pPr>
              <w:jc w:val="right"/>
            </w:pPr>
            <w:r>
              <w:rPr>
                <w:color w:val="000000"/>
                <w:sz w:val="24"/>
                <w:szCs w:val="24"/>
              </w:rPr>
              <w:t>199,934</w:t>
            </w:r>
          </w:p>
        </w:tc>
        <w:tc>
          <w:tcPr>
            <w:tcW w:w="1924" w:type="dxa"/>
            <w:vAlign w:val="center"/>
          </w:tcPr>
          <w:p w:rsidR="00C05103" w:rsidRDefault="008D2A9C">
            <w:pPr>
              <w:jc w:val="right"/>
            </w:pPr>
            <w:r>
              <w:rPr>
                <w:color w:val="000000"/>
                <w:sz w:val="24"/>
                <w:szCs w:val="24"/>
              </w:rPr>
              <w:t>10,996,370.00</w:t>
            </w:r>
          </w:p>
        </w:tc>
        <w:tc>
          <w:tcPr>
            <w:tcW w:w="1644" w:type="dxa"/>
            <w:vAlign w:val="center"/>
          </w:tcPr>
          <w:p w:rsidR="00C05103" w:rsidRDefault="008D2A9C">
            <w:pPr>
              <w:jc w:val="right"/>
            </w:pPr>
            <w:r>
              <w:rPr>
                <w:color w:val="000000"/>
                <w:sz w:val="24"/>
                <w:szCs w:val="24"/>
              </w:rPr>
              <w:t>3.63</w:t>
            </w:r>
          </w:p>
        </w:tc>
      </w:tr>
      <w:tr w:rsidR="00C05103">
        <w:trPr>
          <w:jc w:val="center"/>
        </w:trPr>
        <w:tc>
          <w:tcPr>
            <w:tcW w:w="855" w:type="dxa"/>
            <w:vAlign w:val="center"/>
          </w:tcPr>
          <w:p w:rsidR="00C05103" w:rsidRDefault="008D2A9C">
            <w:pPr>
              <w:jc w:val="center"/>
            </w:pPr>
            <w:r>
              <w:rPr>
                <w:color w:val="000000"/>
                <w:sz w:val="24"/>
                <w:szCs w:val="24"/>
              </w:rPr>
              <w:t>9</w:t>
            </w:r>
          </w:p>
        </w:tc>
        <w:tc>
          <w:tcPr>
            <w:tcW w:w="1334" w:type="dxa"/>
            <w:vAlign w:val="center"/>
          </w:tcPr>
          <w:p w:rsidR="00C05103" w:rsidRDefault="008D2A9C">
            <w:pPr>
              <w:jc w:val="center"/>
            </w:pPr>
            <w:r>
              <w:rPr>
                <w:color w:val="000000"/>
                <w:sz w:val="24"/>
                <w:szCs w:val="24"/>
              </w:rPr>
              <w:t>002555</w:t>
            </w:r>
          </w:p>
        </w:tc>
        <w:tc>
          <w:tcPr>
            <w:tcW w:w="1777" w:type="dxa"/>
            <w:vAlign w:val="center"/>
          </w:tcPr>
          <w:p w:rsidR="00C05103" w:rsidRDefault="008D2A9C">
            <w:pPr>
              <w:jc w:val="center"/>
            </w:pPr>
            <w:r>
              <w:rPr>
                <w:color w:val="000000"/>
                <w:sz w:val="24"/>
                <w:szCs w:val="24"/>
              </w:rPr>
              <w:t>三七互娱</w:t>
            </w:r>
          </w:p>
        </w:tc>
        <w:tc>
          <w:tcPr>
            <w:tcW w:w="1334" w:type="dxa"/>
            <w:vAlign w:val="center"/>
          </w:tcPr>
          <w:p w:rsidR="00C05103" w:rsidRDefault="008D2A9C">
            <w:pPr>
              <w:jc w:val="right"/>
            </w:pPr>
            <w:r>
              <w:rPr>
                <w:color w:val="000000"/>
                <w:sz w:val="24"/>
                <w:szCs w:val="24"/>
              </w:rPr>
              <w:t>800,000</w:t>
            </w:r>
          </w:p>
        </w:tc>
        <w:tc>
          <w:tcPr>
            <w:tcW w:w="1924" w:type="dxa"/>
            <w:vAlign w:val="center"/>
          </w:tcPr>
          <w:p w:rsidR="00C05103" w:rsidRDefault="008D2A9C">
            <w:pPr>
              <w:jc w:val="right"/>
            </w:pPr>
            <w:r>
              <w:rPr>
                <w:color w:val="000000"/>
                <w:sz w:val="24"/>
                <w:szCs w:val="24"/>
              </w:rPr>
              <w:t>10,840,000.00</w:t>
            </w:r>
          </w:p>
        </w:tc>
        <w:tc>
          <w:tcPr>
            <w:tcW w:w="1644" w:type="dxa"/>
            <w:vAlign w:val="center"/>
          </w:tcPr>
          <w:p w:rsidR="00C05103" w:rsidRDefault="008D2A9C">
            <w:pPr>
              <w:jc w:val="right"/>
            </w:pPr>
            <w:r>
              <w:rPr>
                <w:color w:val="000000"/>
                <w:sz w:val="24"/>
                <w:szCs w:val="24"/>
              </w:rPr>
              <w:t>3.58</w:t>
            </w:r>
          </w:p>
        </w:tc>
      </w:tr>
      <w:tr w:rsidR="00C05103">
        <w:trPr>
          <w:jc w:val="center"/>
        </w:trPr>
        <w:tc>
          <w:tcPr>
            <w:tcW w:w="855" w:type="dxa"/>
            <w:vAlign w:val="center"/>
          </w:tcPr>
          <w:p w:rsidR="00C05103" w:rsidRDefault="008D2A9C">
            <w:pPr>
              <w:jc w:val="center"/>
            </w:pPr>
            <w:r>
              <w:rPr>
                <w:color w:val="000000"/>
                <w:sz w:val="24"/>
                <w:szCs w:val="24"/>
              </w:rPr>
              <w:t>10</w:t>
            </w:r>
          </w:p>
        </w:tc>
        <w:tc>
          <w:tcPr>
            <w:tcW w:w="1334" w:type="dxa"/>
            <w:vAlign w:val="center"/>
          </w:tcPr>
          <w:p w:rsidR="00C05103" w:rsidRDefault="008D2A9C">
            <w:pPr>
              <w:jc w:val="center"/>
            </w:pPr>
            <w:r>
              <w:rPr>
                <w:color w:val="000000"/>
                <w:sz w:val="24"/>
                <w:szCs w:val="24"/>
              </w:rPr>
              <w:t>H00960</w:t>
            </w:r>
          </w:p>
        </w:tc>
        <w:tc>
          <w:tcPr>
            <w:tcW w:w="1777" w:type="dxa"/>
            <w:vAlign w:val="center"/>
          </w:tcPr>
          <w:p w:rsidR="00C05103" w:rsidRDefault="008D2A9C">
            <w:pPr>
              <w:jc w:val="center"/>
            </w:pPr>
            <w:r>
              <w:rPr>
                <w:color w:val="000000"/>
                <w:sz w:val="24"/>
                <w:szCs w:val="24"/>
              </w:rPr>
              <w:t>龙湖集团</w:t>
            </w:r>
          </w:p>
        </w:tc>
        <w:tc>
          <w:tcPr>
            <w:tcW w:w="1334" w:type="dxa"/>
            <w:vAlign w:val="center"/>
          </w:tcPr>
          <w:p w:rsidR="00C05103" w:rsidRDefault="008D2A9C">
            <w:pPr>
              <w:jc w:val="right"/>
            </w:pPr>
            <w:r>
              <w:rPr>
                <w:color w:val="000000"/>
                <w:sz w:val="24"/>
                <w:szCs w:val="24"/>
              </w:rPr>
              <w:t>400,000</w:t>
            </w:r>
          </w:p>
        </w:tc>
        <w:tc>
          <w:tcPr>
            <w:tcW w:w="1924" w:type="dxa"/>
            <w:vAlign w:val="center"/>
          </w:tcPr>
          <w:p w:rsidR="00C05103" w:rsidRDefault="008D2A9C">
            <w:pPr>
              <w:jc w:val="right"/>
            </w:pPr>
            <w:r>
              <w:rPr>
                <w:color w:val="000000"/>
                <w:sz w:val="24"/>
                <w:szCs w:val="24"/>
              </w:rPr>
              <w:t>10,362,394.80</w:t>
            </w:r>
          </w:p>
        </w:tc>
        <w:tc>
          <w:tcPr>
            <w:tcW w:w="1644" w:type="dxa"/>
            <w:vAlign w:val="center"/>
          </w:tcPr>
          <w:p w:rsidR="00C05103" w:rsidRDefault="008D2A9C">
            <w:pPr>
              <w:jc w:val="right"/>
            </w:pPr>
            <w:r>
              <w:rPr>
                <w:color w:val="000000"/>
                <w:sz w:val="24"/>
                <w:szCs w:val="24"/>
              </w:rPr>
              <w:t>3.42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9,995,000.00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3.30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9,995,000.00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3.30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proofErr w:type="gramStart"/>
            <w:r w:rsidR="00963F40" w:rsidRPr="00414345">
              <w:rPr>
                <w:color w:val="000000"/>
                <w:sz w:val="24"/>
                <w:szCs w:val="24"/>
              </w:rPr>
              <w:t>券</w:t>
            </w:r>
            <w:proofErr w:type="gramEnd"/>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lastRenderedPageBreak/>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9,995,000.00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3.30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C05103">
        <w:trPr>
          <w:jc w:val="center"/>
        </w:trPr>
        <w:tc>
          <w:tcPr>
            <w:tcW w:w="850" w:type="dxa"/>
            <w:vAlign w:val="center"/>
          </w:tcPr>
          <w:p w:rsidR="00C05103" w:rsidRDefault="008D2A9C">
            <w:pPr>
              <w:jc w:val="center"/>
            </w:pPr>
            <w:r>
              <w:rPr>
                <w:color w:val="000000"/>
                <w:sz w:val="24"/>
                <w:szCs w:val="24"/>
              </w:rPr>
              <w:t>1</w:t>
            </w:r>
          </w:p>
        </w:tc>
        <w:tc>
          <w:tcPr>
            <w:tcW w:w="1475" w:type="dxa"/>
            <w:vAlign w:val="center"/>
          </w:tcPr>
          <w:p w:rsidR="00C05103" w:rsidRDefault="008D2A9C">
            <w:pPr>
              <w:jc w:val="center"/>
            </w:pPr>
            <w:r>
              <w:rPr>
                <w:color w:val="000000"/>
                <w:sz w:val="24"/>
                <w:szCs w:val="24"/>
              </w:rPr>
              <w:t>190206</w:t>
            </w:r>
          </w:p>
        </w:tc>
        <w:tc>
          <w:tcPr>
            <w:tcW w:w="1769" w:type="dxa"/>
            <w:vAlign w:val="center"/>
          </w:tcPr>
          <w:p w:rsidR="00C05103" w:rsidRDefault="008D2A9C">
            <w:pPr>
              <w:jc w:val="center"/>
            </w:pPr>
            <w:r>
              <w:rPr>
                <w:color w:val="000000"/>
                <w:sz w:val="24"/>
                <w:szCs w:val="24"/>
              </w:rPr>
              <w:t>19</w:t>
            </w:r>
            <w:r>
              <w:rPr>
                <w:color w:val="000000"/>
                <w:sz w:val="24"/>
                <w:szCs w:val="24"/>
              </w:rPr>
              <w:t>国开</w:t>
            </w:r>
            <w:r>
              <w:rPr>
                <w:color w:val="000000"/>
                <w:sz w:val="24"/>
                <w:szCs w:val="24"/>
              </w:rPr>
              <w:t>06</w:t>
            </w:r>
          </w:p>
        </w:tc>
        <w:tc>
          <w:tcPr>
            <w:tcW w:w="1387" w:type="dxa"/>
            <w:vAlign w:val="center"/>
          </w:tcPr>
          <w:p w:rsidR="00C05103" w:rsidRDefault="008D2A9C">
            <w:pPr>
              <w:jc w:val="right"/>
            </w:pPr>
            <w:r>
              <w:rPr>
                <w:color w:val="000000"/>
                <w:sz w:val="24"/>
                <w:szCs w:val="24"/>
              </w:rPr>
              <w:t>100,000</w:t>
            </w:r>
          </w:p>
        </w:tc>
        <w:tc>
          <w:tcPr>
            <w:tcW w:w="2150" w:type="dxa"/>
            <w:vAlign w:val="center"/>
          </w:tcPr>
          <w:p w:rsidR="00C05103" w:rsidRDefault="008D2A9C">
            <w:pPr>
              <w:jc w:val="right"/>
            </w:pPr>
            <w:r>
              <w:rPr>
                <w:color w:val="000000"/>
                <w:sz w:val="24"/>
                <w:szCs w:val="24"/>
              </w:rPr>
              <w:t>9,995,000.00</w:t>
            </w:r>
          </w:p>
        </w:tc>
        <w:tc>
          <w:tcPr>
            <w:tcW w:w="1237" w:type="dxa"/>
            <w:vAlign w:val="center"/>
          </w:tcPr>
          <w:p w:rsidR="00C05103" w:rsidRDefault="008D2A9C">
            <w:pPr>
              <w:jc w:val="right"/>
            </w:pPr>
            <w:r>
              <w:rPr>
                <w:color w:val="000000"/>
                <w:sz w:val="24"/>
                <w:szCs w:val="24"/>
              </w:rPr>
              <w:t>3.30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5D2CF1" w:rsidRDefault="005D2CF1" w:rsidP="00C15CAC">
      <w:pPr>
        <w:autoSpaceDE w:val="0"/>
        <w:autoSpaceDN w:val="0"/>
        <w:adjustRightInd w:val="0"/>
        <w:spacing w:before="29" w:line="288" w:lineRule="auto"/>
        <w:jc w:val="left"/>
        <w:rPr>
          <w:b/>
          <w:bCs/>
          <w:color w:val="000000"/>
          <w:kern w:val="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828,719.42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7,070,856.50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1,062,800.00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61,429.36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108,503.72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72.50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9,132,381.50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5D2CF1" w:rsidRPr="00414345" w:rsidRDefault="005D2CF1" w:rsidP="00C15CAC">
      <w:pPr>
        <w:autoSpaceDE w:val="0"/>
        <w:autoSpaceDN w:val="0"/>
        <w:adjustRightInd w:val="0"/>
        <w:spacing w:before="29" w:line="288" w:lineRule="auto"/>
        <w:jc w:val="left"/>
        <w:rPr>
          <w:rFonts w:hint="eastAsia"/>
          <w:color w:val="000000"/>
          <w:sz w:val="24"/>
          <w:szCs w:val="24"/>
        </w:rPr>
      </w:pPr>
      <w:bookmarkStart w:id="0" w:name="_GoBack"/>
      <w:bookmarkEnd w:id="0"/>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w:t>
      </w:r>
      <w:proofErr w:type="gramStart"/>
      <w:r w:rsidR="004061AC" w:rsidRPr="00414345">
        <w:rPr>
          <w:bCs/>
          <w:color w:val="000000"/>
          <w:kern w:val="0"/>
          <w:sz w:val="24"/>
          <w:szCs w:val="24"/>
        </w:rPr>
        <w:t>期末前</w:t>
      </w:r>
      <w:proofErr w:type="gramEnd"/>
      <w:r w:rsidR="004061AC" w:rsidRPr="00414345">
        <w:rPr>
          <w:bCs/>
          <w:color w:val="000000"/>
          <w:kern w:val="0"/>
          <w:sz w:val="24"/>
          <w:szCs w:val="24"/>
        </w:rPr>
        <w:t>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519,732,927.87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19,442,127.24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246,549,816.46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292,625,238.65</w:t>
            </w:r>
          </w:p>
        </w:tc>
      </w:tr>
    </w:tbl>
    <w:p w:rsidR="00C05103" w:rsidRDefault="008D2A9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lastRenderedPageBreak/>
        <w:t>§</w:t>
      </w:r>
      <w:r w:rsidR="00ED2620" w:rsidRPr="00ED2620">
        <w:rPr>
          <w:rFonts w:eastAsiaTheme="minorEastAsia"/>
          <w:color w:val="000000"/>
          <w:kern w:val="0"/>
          <w:sz w:val="24"/>
          <w:szCs w:val="24"/>
        </w:rPr>
        <w:t xml:space="preserve">7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 xml:space="preserve"> </w:t>
      </w: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8.1 影响投资者决策的其他重要信息</w:t>
      </w:r>
    </w:p>
    <w:p w:rsidR="003C50AD" w:rsidRPr="004F4D27" w:rsidRDefault="003C50AD" w:rsidP="003C50AD">
      <w:pPr>
        <w:spacing w:line="360" w:lineRule="auto"/>
        <w:ind w:firstLineChars="200" w:firstLine="420"/>
        <w:rPr>
          <w:rFonts w:ascii="宋体" w:hAnsi="宋体"/>
          <w:color w:val="000000"/>
        </w:rPr>
      </w:pPr>
      <w:r w:rsidRPr="004F4D27">
        <w:rPr>
          <w:rFonts w:ascii="宋体" w:hAnsi="宋体"/>
          <w:color w:val="000000"/>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C05103" w:rsidRDefault="008D2A9C">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、中国证监会准予交银施罗德核心资产混合型证券投资基金募集注册的文件；</w:t>
      </w:r>
      <w:r>
        <w:rPr>
          <w:color w:val="000000"/>
          <w:sz w:val="24"/>
          <w:szCs w:val="24"/>
        </w:rPr>
        <w:t xml:space="preserve"> </w:t>
      </w:r>
    </w:p>
    <w:p w:rsidR="00C05103" w:rsidRDefault="008D2A9C">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、《交银施罗德核心资产混合型证券投资基金基金合同》；</w:t>
      </w:r>
      <w:r>
        <w:rPr>
          <w:color w:val="000000"/>
          <w:sz w:val="24"/>
          <w:szCs w:val="24"/>
        </w:rPr>
        <w:t xml:space="preserve"> </w:t>
      </w:r>
    </w:p>
    <w:p w:rsidR="00C05103" w:rsidRDefault="008D2A9C">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、《交银施罗德核心资产混合型证券投资基金招募说明书》；</w:t>
      </w:r>
      <w:r>
        <w:rPr>
          <w:color w:val="000000"/>
          <w:sz w:val="24"/>
          <w:szCs w:val="24"/>
        </w:rPr>
        <w:t xml:space="preserve"> </w:t>
      </w:r>
    </w:p>
    <w:p w:rsidR="00C05103" w:rsidRDefault="008D2A9C">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、《交银施罗德核心资产混合型证券投资基金托管协议》；</w:t>
      </w:r>
      <w:r>
        <w:rPr>
          <w:color w:val="000000"/>
          <w:sz w:val="24"/>
          <w:szCs w:val="24"/>
        </w:rPr>
        <w:t xml:space="preserve"> </w:t>
      </w:r>
    </w:p>
    <w:p w:rsidR="00C05103" w:rsidRDefault="008D2A9C">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、关于申请募集注册交银施罗德核心资产混合型证券投资基金的法律意见书；</w:t>
      </w:r>
      <w:r>
        <w:rPr>
          <w:color w:val="000000"/>
          <w:sz w:val="24"/>
          <w:szCs w:val="24"/>
        </w:rPr>
        <w:t xml:space="preserve"> </w:t>
      </w:r>
    </w:p>
    <w:p w:rsidR="00C05103" w:rsidRDefault="008D2A9C">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C05103" w:rsidRDefault="008D2A9C">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、报告期内交银施罗德核心资产混合型证券投资基金在指定报刊上各项公告的原稿。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C05103" w:rsidRDefault="008D2A9C">
      <w:pPr>
        <w:spacing w:before="29" w:line="288" w:lineRule="auto"/>
        <w:ind w:firstLineChars="200" w:firstLine="480"/>
        <w:rPr>
          <w:color w:val="000000"/>
          <w:sz w:val="24"/>
          <w:szCs w:val="24"/>
        </w:rPr>
      </w:pPr>
      <w:r>
        <w:rPr>
          <w:color w:val="000000"/>
          <w:sz w:val="24"/>
          <w:szCs w:val="24"/>
        </w:rPr>
        <w:t>投资者可在办公时间内至基金</w:t>
      </w:r>
      <w:r>
        <w:rPr>
          <w:color w:val="000000"/>
          <w:sz w:val="24"/>
          <w:szCs w:val="24"/>
        </w:rPr>
        <w:t>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A9C" w:rsidRDefault="008D2A9C" w:rsidP="00876D65">
      <w:r>
        <w:separator/>
      </w:r>
    </w:p>
  </w:endnote>
  <w:endnote w:type="continuationSeparator" w:id="0">
    <w:p w:rsidR="008D2A9C" w:rsidRDefault="008D2A9C"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5D2CF1">
      <w:rPr>
        <w:noProof/>
        <w:kern w:val="0"/>
        <w:szCs w:val="21"/>
      </w:rPr>
      <w:t>11</w:t>
    </w:r>
    <w:r w:rsidR="00381EE8">
      <w:rPr>
        <w:kern w:val="0"/>
        <w:szCs w:val="21"/>
      </w:rPr>
      <w:fldChar w:fldCharType="end"/>
    </w:r>
    <w:proofErr w:type="gramStart"/>
    <w:r>
      <w:rPr>
        <w:rFonts w:hint="eastAsia"/>
        <w:kern w:val="0"/>
        <w:szCs w:val="21"/>
      </w:rPr>
      <w:t>页共</w:t>
    </w:r>
    <w:proofErr w:type="gramEnd"/>
    <w:r w:rsidR="00381EE8">
      <w:rPr>
        <w:kern w:val="0"/>
        <w:szCs w:val="21"/>
      </w:rPr>
      <w:fldChar w:fldCharType="begin"/>
    </w:r>
    <w:r>
      <w:rPr>
        <w:kern w:val="0"/>
        <w:szCs w:val="21"/>
      </w:rPr>
      <w:instrText xml:space="preserve"> NUMPAGES </w:instrText>
    </w:r>
    <w:r w:rsidR="00381EE8">
      <w:rPr>
        <w:kern w:val="0"/>
        <w:szCs w:val="21"/>
      </w:rPr>
      <w:fldChar w:fldCharType="separate"/>
    </w:r>
    <w:r w:rsidR="005D2CF1">
      <w:rPr>
        <w:noProof/>
        <w:kern w:val="0"/>
        <w:szCs w:val="21"/>
      </w:rPr>
      <w:t>13</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A9C" w:rsidRDefault="008D2A9C" w:rsidP="00876D65">
      <w:r>
        <w:separator/>
      </w:r>
    </w:p>
  </w:footnote>
  <w:footnote w:type="continuationSeparator" w:id="0">
    <w:p w:rsidR="008D2A9C" w:rsidRDefault="008D2A9C"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交银施罗德核心资产混合型证券投资基金</w:t>
    </w:r>
    <w:r w:rsidRPr="003E676C">
      <w:rPr>
        <w:sz w:val="24"/>
        <w:szCs w:val="24"/>
      </w:rPr>
      <w:t>2019</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08F"/>
    <w:rsid w:val="00582D99"/>
    <w:rsid w:val="00585263"/>
    <w:rsid w:val="005866D3"/>
    <w:rsid w:val="0059076B"/>
    <w:rsid w:val="005910BF"/>
    <w:rsid w:val="005A0A33"/>
    <w:rsid w:val="005A0F1F"/>
    <w:rsid w:val="005A3D62"/>
    <w:rsid w:val="005A6675"/>
    <w:rsid w:val="005B09FA"/>
    <w:rsid w:val="005B2E9C"/>
    <w:rsid w:val="005B3CC0"/>
    <w:rsid w:val="005B4C8F"/>
    <w:rsid w:val="005B4F93"/>
    <w:rsid w:val="005B73D2"/>
    <w:rsid w:val="005D2B36"/>
    <w:rsid w:val="005D2CF1"/>
    <w:rsid w:val="005E475E"/>
    <w:rsid w:val="005F118D"/>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2A9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E19A9"/>
    <w:rsid w:val="009E31DA"/>
    <w:rsid w:val="009E402C"/>
    <w:rsid w:val="009E7C6A"/>
    <w:rsid w:val="009F27F9"/>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05103"/>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4BA83-A693-42DE-A18D-5D65EE473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1821</TotalTime>
  <Pages>13</Pages>
  <Words>1127</Words>
  <Characters>6425</Characters>
  <Application>Microsoft Office Word</Application>
  <DocSecurity>0</DocSecurity>
  <Lines>53</Lines>
  <Paragraphs>15</Paragraphs>
  <ScaleCrop>false</ScaleCrop>
  <Company/>
  <LinksUpToDate>false</LinksUpToDate>
  <CharactersWithSpaces>7537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曹国良</cp:lastModifiedBy>
  <cp:revision>592</cp:revision>
  <dcterms:created xsi:type="dcterms:W3CDTF">2012-10-16T06:07:00Z</dcterms:created>
  <dcterms:modified xsi:type="dcterms:W3CDTF">2019-07-08T03:03:00Z</dcterms:modified>
</cp:coreProperties>
</file>