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交银施罗德品质升级混合型证券投资基金</w:t>
      </w:r>
    </w:p>
    <w:p w:rsidR="002279D3" w:rsidRPr="0081286B" w:rsidRDefault="002279D3" w:rsidP="00C15CAC">
      <w:pPr>
        <w:spacing w:before="29" w:line="288" w:lineRule="auto"/>
        <w:jc w:val="center"/>
        <w:rPr>
          <w:b/>
          <w:sz w:val="36"/>
          <w:szCs w:val="36"/>
        </w:rPr>
      </w:pPr>
      <w:r w:rsidRPr="0081286B">
        <w:rPr>
          <w:b/>
          <w:sz w:val="36"/>
          <w:szCs w:val="36"/>
        </w:rPr>
        <w:t>2019</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2019</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基金托管人：中国农业银行股份有限公司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二〇一九年七月十七日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40BF5" w:rsidRDefault="00612E2D">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基金托管人中国农业银行股份有限公司根据本基金合同规定，于</w:t>
      </w:r>
      <w:r>
        <w:rPr>
          <w:color w:val="000000"/>
          <w:sz w:val="24"/>
          <w:szCs w:val="24"/>
        </w:rPr>
        <w:t>2019</w:t>
      </w:r>
      <w:r>
        <w:rPr>
          <w:color w:val="000000"/>
          <w:sz w:val="24"/>
          <w:szCs w:val="24"/>
        </w:rPr>
        <w:t>年</w:t>
      </w:r>
      <w:r>
        <w:rPr>
          <w:color w:val="000000"/>
          <w:sz w:val="24"/>
          <w:szCs w:val="24"/>
        </w:rPr>
        <w:t>7</w:t>
      </w:r>
      <w:r>
        <w:rPr>
          <w:color w:val="000000"/>
          <w:sz w:val="24"/>
          <w:szCs w:val="24"/>
        </w:rPr>
        <w:t>月</w:t>
      </w:r>
      <w:r>
        <w:rPr>
          <w:color w:val="000000"/>
          <w:sz w:val="24"/>
          <w:szCs w:val="24"/>
        </w:rPr>
        <w:t>16</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交银品质升级混合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005004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005004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2018</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8</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1,324,327,002.70</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本基金在有效控制投资风险的前提下，聚焦居民生活品质升级的方向和趋势，通过把握消费成长领域的投资机会，力争为基金份额持有人获得超越业绩比较基准的收益。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×60%+</w:t>
            </w:r>
            <w:r w:rsidRPr="00414345">
              <w:rPr>
                <w:color w:val="000000"/>
                <w:kern w:val="0"/>
                <w:sz w:val="24"/>
                <w:szCs w:val="24"/>
              </w:rPr>
              <w:t>中证综合债券指数收益率</w:t>
            </w:r>
            <w:r w:rsidRPr="00414345">
              <w:rPr>
                <w:color w:val="000000"/>
                <w:kern w:val="0"/>
                <w:sz w:val="24"/>
                <w:szCs w:val="24"/>
              </w:rPr>
              <w:lastRenderedPageBreak/>
              <w:t>×40%</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中国农业银行股份有限公司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3450C5" w:rsidRPr="00414345" w:rsidTr="003450C5">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(2019</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-2019</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3450C5" w:rsidRPr="00414345" w:rsidTr="003450C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56,811,655.58</w:t>
            </w:r>
          </w:p>
        </w:tc>
      </w:tr>
      <w:tr w:rsidR="003450C5" w:rsidRPr="00414345" w:rsidTr="003450C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14,233,922.43</w:t>
            </w:r>
          </w:p>
        </w:tc>
      </w:tr>
      <w:tr w:rsidR="003450C5" w:rsidRPr="00414345" w:rsidTr="003450C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0.0104</w:t>
            </w:r>
          </w:p>
        </w:tc>
      </w:tr>
      <w:tr w:rsidR="003450C5" w:rsidRPr="00414345" w:rsidTr="003450C5">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1,346,592,308.22</w:t>
            </w:r>
          </w:p>
        </w:tc>
      </w:tr>
      <w:tr w:rsidR="003450C5" w:rsidRPr="00414345" w:rsidTr="003450C5">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1.0168</w:t>
            </w:r>
          </w:p>
        </w:tc>
      </w:tr>
    </w:tbl>
    <w:p w:rsidR="00D40BF5" w:rsidRDefault="00612E2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B63FF0">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40BF5">
        <w:trPr>
          <w:jc w:val="center"/>
        </w:trPr>
        <w:tc>
          <w:tcPr>
            <w:tcW w:w="1701" w:type="dxa"/>
            <w:vAlign w:val="center"/>
          </w:tcPr>
          <w:p w:rsidR="00D40BF5" w:rsidRDefault="00612E2D">
            <w:pPr>
              <w:jc w:val="left"/>
            </w:pPr>
            <w:r>
              <w:rPr>
                <w:color w:val="000000"/>
                <w:sz w:val="24"/>
                <w:szCs w:val="24"/>
              </w:rPr>
              <w:t>过去三个月</w:t>
            </w:r>
          </w:p>
        </w:tc>
        <w:tc>
          <w:tcPr>
            <w:tcW w:w="1045" w:type="dxa"/>
            <w:vAlign w:val="center"/>
          </w:tcPr>
          <w:p w:rsidR="00D40BF5" w:rsidRDefault="00612E2D">
            <w:pPr>
              <w:jc w:val="center"/>
            </w:pPr>
            <w:r>
              <w:rPr>
                <w:color w:val="000000"/>
                <w:sz w:val="24"/>
                <w:szCs w:val="24"/>
              </w:rPr>
              <w:t>0.74%</w:t>
            </w:r>
          </w:p>
        </w:tc>
        <w:tc>
          <w:tcPr>
            <w:tcW w:w="1344" w:type="dxa"/>
            <w:vAlign w:val="center"/>
          </w:tcPr>
          <w:p w:rsidR="00D40BF5" w:rsidRDefault="00612E2D">
            <w:pPr>
              <w:jc w:val="center"/>
            </w:pPr>
            <w:r>
              <w:rPr>
                <w:color w:val="000000"/>
                <w:sz w:val="24"/>
                <w:szCs w:val="24"/>
              </w:rPr>
              <w:t>1.80%</w:t>
            </w:r>
          </w:p>
        </w:tc>
        <w:tc>
          <w:tcPr>
            <w:tcW w:w="1194" w:type="dxa"/>
            <w:vAlign w:val="center"/>
          </w:tcPr>
          <w:p w:rsidR="00D40BF5" w:rsidRDefault="00612E2D">
            <w:pPr>
              <w:jc w:val="center"/>
            </w:pPr>
            <w:r>
              <w:rPr>
                <w:color w:val="000000"/>
                <w:sz w:val="24"/>
                <w:szCs w:val="24"/>
              </w:rPr>
              <w:t>-0.30%</w:t>
            </w:r>
          </w:p>
        </w:tc>
        <w:tc>
          <w:tcPr>
            <w:tcW w:w="1492" w:type="dxa"/>
            <w:vAlign w:val="center"/>
          </w:tcPr>
          <w:p w:rsidR="00D40BF5" w:rsidRDefault="00612E2D">
            <w:pPr>
              <w:jc w:val="center"/>
            </w:pPr>
            <w:r>
              <w:rPr>
                <w:color w:val="000000"/>
                <w:sz w:val="24"/>
                <w:szCs w:val="24"/>
              </w:rPr>
              <w:t>0.91%</w:t>
            </w:r>
          </w:p>
        </w:tc>
        <w:tc>
          <w:tcPr>
            <w:tcW w:w="1194" w:type="dxa"/>
            <w:vAlign w:val="center"/>
          </w:tcPr>
          <w:p w:rsidR="00D40BF5" w:rsidRDefault="00612E2D">
            <w:pPr>
              <w:jc w:val="center"/>
            </w:pPr>
            <w:r>
              <w:rPr>
                <w:color w:val="000000"/>
                <w:sz w:val="24"/>
                <w:szCs w:val="24"/>
              </w:rPr>
              <w:t>1.04%</w:t>
            </w:r>
          </w:p>
        </w:tc>
        <w:tc>
          <w:tcPr>
            <w:tcW w:w="898" w:type="dxa"/>
            <w:vAlign w:val="center"/>
          </w:tcPr>
          <w:p w:rsidR="00D40BF5" w:rsidRDefault="00612E2D">
            <w:pPr>
              <w:jc w:val="center"/>
            </w:pPr>
            <w:r>
              <w:rPr>
                <w:color w:val="000000"/>
                <w:sz w:val="24"/>
                <w:szCs w:val="24"/>
              </w:rPr>
              <w:t>0.89%</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交银施罗德品质升级混合型证券投资基金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2018</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8</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2019</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2018</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8</w:t>
      </w:r>
      <w:r w:rsidRPr="00414345">
        <w:rPr>
          <w:color w:val="000000"/>
          <w:sz w:val="24"/>
          <w:szCs w:val="24"/>
        </w:rPr>
        <w:t>日，截至报告期期末，本基金已完成建仓但报告期期末距建仓结束未满一年。本基金建仓期为自基金合同生效日起的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40BF5">
        <w:trPr>
          <w:jc w:val="center"/>
        </w:trPr>
        <w:tc>
          <w:tcPr>
            <w:tcW w:w="846" w:type="dxa"/>
            <w:vAlign w:val="center"/>
          </w:tcPr>
          <w:p w:rsidR="00D40BF5" w:rsidRDefault="00612E2D">
            <w:pPr>
              <w:jc w:val="center"/>
            </w:pPr>
            <w:r>
              <w:rPr>
                <w:color w:val="000000"/>
                <w:sz w:val="24"/>
                <w:szCs w:val="24"/>
              </w:rPr>
              <w:t>韩威俊</w:t>
            </w:r>
          </w:p>
        </w:tc>
        <w:tc>
          <w:tcPr>
            <w:tcW w:w="845" w:type="dxa"/>
            <w:vAlign w:val="center"/>
          </w:tcPr>
          <w:p w:rsidR="00D40BF5" w:rsidRDefault="00612E2D">
            <w:pPr>
              <w:jc w:val="center"/>
            </w:pPr>
            <w:r>
              <w:rPr>
                <w:color w:val="000000"/>
                <w:sz w:val="24"/>
                <w:szCs w:val="24"/>
              </w:rPr>
              <w:t>交银趋势混合、交银策略回报灵活配置混合、交银消费新驱</w:t>
            </w:r>
            <w:r>
              <w:rPr>
                <w:color w:val="000000"/>
                <w:sz w:val="24"/>
                <w:szCs w:val="24"/>
              </w:rPr>
              <w:lastRenderedPageBreak/>
              <w:t>动股票、交银股息优化混合、交银品质升级混合的基金经理</w:t>
            </w:r>
          </w:p>
        </w:tc>
        <w:tc>
          <w:tcPr>
            <w:tcW w:w="1549" w:type="dxa"/>
            <w:vAlign w:val="center"/>
          </w:tcPr>
          <w:p w:rsidR="00D40BF5" w:rsidRDefault="00612E2D">
            <w:pPr>
              <w:jc w:val="center"/>
            </w:pPr>
            <w:r>
              <w:rPr>
                <w:color w:val="000000"/>
                <w:sz w:val="24"/>
                <w:szCs w:val="24"/>
              </w:rPr>
              <w:lastRenderedPageBreak/>
              <w:t>2018-02-08</w:t>
            </w:r>
          </w:p>
        </w:tc>
        <w:tc>
          <w:tcPr>
            <w:tcW w:w="1548" w:type="dxa"/>
            <w:vAlign w:val="center"/>
          </w:tcPr>
          <w:p w:rsidR="00D40BF5" w:rsidRDefault="00612E2D">
            <w:pPr>
              <w:jc w:val="center"/>
            </w:pPr>
            <w:r>
              <w:rPr>
                <w:color w:val="000000"/>
                <w:sz w:val="24"/>
                <w:szCs w:val="24"/>
              </w:rPr>
              <w:t>-</w:t>
            </w:r>
          </w:p>
        </w:tc>
        <w:tc>
          <w:tcPr>
            <w:tcW w:w="1407" w:type="dxa"/>
            <w:vAlign w:val="center"/>
          </w:tcPr>
          <w:p w:rsidR="00D40BF5" w:rsidRDefault="00612E2D">
            <w:pPr>
              <w:jc w:val="center"/>
            </w:pPr>
            <w:r>
              <w:rPr>
                <w:color w:val="000000"/>
                <w:sz w:val="24"/>
                <w:szCs w:val="24"/>
              </w:rPr>
              <w:t>13</w:t>
            </w:r>
            <w:r>
              <w:rPr>
                <w:color w:val="000000"/>
                <w:sz w:val="24"/>
                <w:szCs w:val="24"/>
              </w:rPr>
              <w:t>年</w:t>
            </w:r>
          </w:p>
        </w:tc>
        <w:tc>
          <w:tcPr>
            <w:tcW w:w="2673" w:type="dxa"/>
            <w:vAlign w:val="center"/>
          </w:tcPr>
          <w:p w:rsidR="00D40BF5" w:rsidRDefault="00612E2D">
            <w:r>
              <w:rPr>
                <w:color w:val="000000"/>
                <w:sz w:val="24"/>
                <w:szCs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szCs w:val="24"/>
              </w:rPr>
              <w:t>2013</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40BF5" w:rsidRDefault="00612E2D">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40BF5" w:rsidRDefault="00612E2D">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40BF5" w:rsidRDefault="00612E2D">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lastRenderedPageBreak/>
        <w:t>本基金于本报告期内未发现异常交易行为。本报告期内，本公司管理的所有投资组合参与的交易所公开竞价同日反向交易成交较少的单边交易量超过该证券当日总成交量</w:t>
      </w:r>
      <w:r w:rsidRPr="00414345">
        <w:rPr>
          <w:color w:val="000000"/>
          <w:sz w:val="24"/>
          <w:szCs w:val="24"/>
        </w:rPr>
        <w:t>5%</w:t>
      </w:r>
      <w:r w:rsidRPr="00414345">
        <w:rPr>
          <w:color w:val="000000"/>
          <w:sz w:val="24"/>
          <w:szCs w:val="24"/>
        </w:rPr>
        <w:t>的情况有</w:t>
      </w:r>
      <w:r w:rsidRPr="00414345">
        <w:rPr>
          <w:color w:val="000000"/>
          <w:sz w:val="24"/>
          <w:szCs w:val="24"/>
        </w:rPr>
        <w:t>1</w:t>
      </w:r>
      <w:r w:rsidRPr="00414345">
        <w:rPr>
          <w:color w:val="000000"/>
          <w:sz w:val="24"/>
          <w:szCs w:val="24"/>
        </w:rPr>
        <w:t>次，是投资组合因投资策略需要而发生同日反向交易，未发现不公平交易和利益输送的情况。本基金与本公司管理的其他投资组合在不同时间窗下（如日内、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日内）同向交易的交易价差未发现异常。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40BF5" w:rsidRDefault="00612E2D">
      <w:pPr>
        <w:spacing w:before="29" w:line="288" w:lineRule="auto"/>
        <w:ind w:firstLineChars="200" w:firstLine="480"/>
        <w:rPr>
          <w:color w:val="000000"/>
          <w:sz w:val="24"/>
          <w:szCs w:val="24"/>
        </w:rPr>
      </w:pPr>
      <w:r>
        <w:rPr>
          <w:color w:val="000000"/>
          <w:sz w:val="24"/>
          <w:szCs w:val="24"/>
        </w:rPr>
        <w:t>回顾</w:t>
      </w:r>
      <w:r>
        <w:rPr>
          <w:color w:val="000000"/>
          <w:sz w:val="24"/>
          <w:szCs w:val="24"/>
        </w:rPr>
        <w:t>2019</w:t>
      </w:r>
      <w:r>
        <w:rPr>
          <w:color w:val="000000"/>
          <w:sz w:val="24"/>
          <w:szCs w:val="24"/>
        </w:rPr>
        <w:t>年二季度，中美贸易战持续发酵，整个市场成交量大幅下滑，市场观望情绪明显提升。由于人民币贬值影响，外资在四至五月出现比较明显的流出，整个市场向集中度较高的龙头白马大幅集中。</w:t>
      </w:r>
    </w:p>
    <w:p w:rsidR="00D40BF5" w:rsidRDefault="00612E2D">
      <w:pPr>
        <w:spacing w:before="29" w:line="288" w:lineRule="auto"/>
        <w:ind w:firstLineChars="200" w:firstLine="480"/>
        <w:rPr>
          <w:color w:val="000000"/>
          <w:sz w:val="24"/>
          <w:szCs w:val="24"/>
        </w:rPr>
      </w:pPr>
      <w:r>
        <w:rPr>
          <w:color w:val="000000"/>
          <w:sz w:val="24"/>
          <w:szCs w:val="24"/>
        </w:rPr>
        <w:t>本基金在</w:t>
      </w:r>
      <w:r>
        <w:rPr>
          <w:color w:val="000000"/>
          <w:sz w:val="24"/>
          <w:szCs w:val="24"/>
        </w:rPr>
        <w:t>2019</w:t>
      </w:r>
      <w:r>
        <w:rPr>
          <w:color w:val="000000"/>
          <w:sz w:val="24"/>
          <w:szCs w:val="24"/>
        </w:rPr>
        <w:t>年二季度基本上围绕着消费白马龙头作为底仓的配置思路，个股持仓比例有所提升，主要增持二季度业绩较好并且存在上调盈利预测可能性的个股，获得了比较明显的相对收益和绝对收益。</w:t>
      </w:r>
    </w:p>
    <w:p w:rsidR="00D40BF5" w:rsidRDefault="00612E2D">
      <w:pPr>
        <w:spacing w:before="29" w:line="288" w:lineRule="auto"/>
        <w:ind w:firstLineChars="200" w:firstLine="480"/>
        <w:rPr>
          <w:color w:val="000000"/>
          <w:sz w:val="24"/>
          <w:szCs w:val="24"/>
        </w:rPr>
      </w:pPr>
      <w:r>
        <w:rPr>
          <w:color w:val="000000"/>
          <w:sz w:val="24"/>
          <w:szCs w:val="24"/>
        </w:rPr>
        <w:t>展望</w:t>
      </w:r>
      <w:r>
        <w:rPr>
          <w:color w:val="000000"/>
          <w:sz w:val="24"/>
          <w:szCs w:val="24"/>
        </w:rPr>
        <w:t>2019</w:t>
      </w:r>
      <w:r>
        <w:rPr>
          <w:color w:val="000000"/>
          <w:sz w:val="24"/>
          <w:szCs w:val="24"/>
        </w:rPr>
        <w:t>年三季度，预计市场流动性会出现比较明显的改善，特别是长端利率水平可能会有比较明显的下降。随着海外进入降息周期以后，人民币贬值压力也会有所降低，国内货币政策调整的空间也将变大，整个市场的流动性呈现较为宽松的状态。但是，由于宏观经济增速放缓以及各行业增速的放缓，全市场基本面开始出现一定的向下压力，在一定程度上对冲了流动性宽松。</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本基金在三季度拟将保持消费白马和地产作为底仓的配置思路，同时考虑适当减持纯靠估值提升的个股。</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p w:rsidR="006B5F69" w:rsidRPr="007B5F21" w:rsidRDefault="009C1009" w:rsidP="009C1009">
      <w:pPr>
        <w:autoSpaceDE w:val="0"/>
        <w:autoSpaceDN w:val="0"/>
        <w:adjustRightInd w:val="0"/>
        <w:spacing w:line="360" w:lineRule="auto"/>
        <w:jc w:val="right"/>
        <w:rPr>
          <w:rFonts w:eastAsiaTheme="minorEastAsia"/>
          <w:b/>
          <w:color w:val="000000" w:themeColor="text1"/>
          <w:kern w:val="0"/>
          <w:sz w:val="24"/>
          <w:szCs w:val="24"/>
        </w:rPr>
      </w:pPr>
      <w:r w:rsidRPr="009C1009">
        <w:rPr>
          <w:rFonts w:hint="eastAsia"/>
          <w:color w:val="000000"/>
          <w:kern w:val="0"/>
        </w:rPr>
        <w:t>金额单位：人民币元</w:t>
      </w:r>
    </w:p>
    <w:tbl>
      <w:tblPr>
        <w:tblStyle w:val="af7"/>
        <w:tblW w:w="8897" w:type="dxa"/>
        <w:tblInd w:w="108" w:type="dxa"/>
        <w:tblLayout w:type="fixed"/>
        <w:tblLook w:val="04A0" w:firstRow="1" w:lastRow="0" w:firstColumn="1" w:lastColumn="0" w:noHBand="0" w:noVBand="1"/>
      </w:tblPr>
      <w:tblGrid>
        <w:gridCol w:w="720"/>
        <w:gridCol w:w="2682"/>
        <w:gridCol w:w="2552"/>
        <w:gridCol w:w="2943"/>
      </w:tblGrid>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68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p>
        </w:tc>
        <w:tc>
          <w:tcPr>
            <w:tcW w:w="2943"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r w:rsidR="00CE39AB">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1,267,485,619.56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90.36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1,267,485,619.56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90.36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2</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4</w:t>
            </w:r>
          </w:p>
        </w:tc>
        <w:tc>
          <w:tcPr>
            <w:tcW w:w="2682"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682"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134,364,772.16</w:t>
            </w:r>
          </w:p>
        </w:tc>
        <w:tc>
          <w:tcPr>
            <w:tcW w:w="2943"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9.58</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824,324.33</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0.06</w:t>
            </w:r>
          </w:p>
        </w:tc>
      </w:tr>
      <w:tr w:rsidR="00BF0019" w:rsidRPr="007B5F21" w:rsidTr="00487A40">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682"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1,402,674,716.05</w:t>
            </w:r>
          </w:p>
        </w:tc>
        <w:tc>
          <w:tcPr>
            <w:tcW w:w="2943"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Default="00F51C4E" w:rsidP="00F51C4E">
      <w:pPr>
        <w:rPr>
          <w:rFonts w:eastAsiaTheme="minorEastAsia"/>
          <w:b/>
          <w:color w:val="000000" w:themeColor="text1"/>
          <w:kern w:val="0"/>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p w:rsidR="007B2639" w:rsidRPr="007B2639" w:rsidRDefault="009C1009" w:rsidP="009C1009">
      <w:pPr>
        <w:jc w:val="right"/>
        <w:rPr>
          <w:sz w:val="24"/>
        </w:rPr>
      </w:pPr>
      <w:r w:rsidRPr="009C1009">
        <w:rPr>
          <w:rFonts w:eastAsiaTheme="minorEastAsia" w:hint="eastAsia"/>
          <w:color w:val="000000" w:themeColor="text1"/>
          <w:kern w:val="0"/>
          <w:sz w:val="24"/>
        </w:rPr>
        <w:t>金额单位：人民币元</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B11F31" w:rsidP="00C15CAC">
            <w:pPr>
              <w:adjustRightInd w:val="0"/>
              <w:snapToGrid w:val="0"/>
              <w:spacing w:before="29" w:line="288" w:lineRule="auto"/>
              <w:jc w:val="center"/>
              <w:rPr>
                <w:sz w:val="24"/>
                <w:szCs w:val="24"/>
              </w:rPr>
            </w:pPr>
            <w:r>
              <w:rPr>
                <w:sz w:val="24"/>
                <w:szCs w:val="24"/>
              </w:rPr>
              <w:t>公允价值</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363,431.25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1,067,769,569.46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33,252,324.00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2.47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16,275,000.00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33,869.94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120,190,012.71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8.93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23,566,699.84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535,105.76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5,476,500.00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23,106.60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1,267,485,619.56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94.13</w:t>
            </w:r>
          </w:p>
        </w:tc>
      </w:tr>
    </w:tbl>
    <w:p w:rsidR="00525A0C" w:rsidRDefault="00525A0C"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40BF5">
        <w:trPr>
          <w:jc w:val="center"/>
        </w:trPr>
        <w:tc>
          <w:tcPr>
            <w:tcW w:w="855" w:type="dxa"/>
            <w:vAlign w:val="center"/>
          </w:tcPr>
          <w:p w:rsidR="00D40BF5" w:rsidRDefault="00612E2D">
            <w:pPr>
              <w:jc w:val="center"/>
            </w:pPr>
            <w:r>
              <w:rPr>
                <w:color w:val="000000"/>
                <w:sz w:val="24"/>
                <w:szCs w:val="24"/>
              </w:rPr>
              <w:t>1</w:t>
            </w:r>
          </w:p>
        </w:tc>
        <w:tc>
          <w:tcPr>
            <w:tcW w:w="1334" w:type="dxa"/>
            <w:vAlign w:val="center"/>
          </w:tcPr>
          <w:p w:rsidR="00D40BF5" w:rsidRDefault="00612E2D">
            <w:pPr>
              <w:jc w:val="center"/>
            </w:pPr>
            <w:r>
              <w:rPr>
                <w:color w:val="000000"/>
                <w:sz w:val="24"/>
                <w:szCs w:val="24"/>
              </w:rPr>
              <w:t>603369</w:t>
            </w:r>
          </w:p>
        </w:tc>
        <w:tc>
          <w:tcPr>
            <w:tcW w:w="1777" w:type="dxa"/>
            <w:vAlign w:val="center"/>
          </w:tcPr>
          <w:p w:rsidR="00D40BF5" w:rsidRDefault="00612E2D">
            <w:pPr>
              <w:jc w:val="center"/>
            </w:pPr>
            <w:r>
              <w:rPr>
                <w:color w:val="000000"/>
                <w:sz w:val="24"/>
                <w:szCs w:val="24"/>
              </w:rPr>
              <w:t>今世缘</w:t>
            </w:r>
          </w:p>
        </w:tc>
        <w:tc>
          <w:tcPr>
            <w:tcW w:w="1334" w:type="dxa"/>
            <w:vAlign w:val="center"/>
          </w:tcPr>
          <w:p w:rsidR="00D40BF5" w:rsidRDefault="00612E2D">
            <w:pPr>
              <w:jc w:val="right"/>
            </w:pPr>
            <w:r>
              <w:rPr>
                <w:color w:val="000000"/>
                <w:sz w:val="24"/>
                <w:szCs w:val="24"/>
              </w:rPr>
              <w:t>4,676,608</w:t>
            </w:r>
          </w:p>
        </w:tc>
        <w:tc>
          <w:tcPr>
            <w:tcW w:w="1924" w:type="dxa"/>
            <w:vAlign w:val="center"/>
          </w:tcPr>
          <w:p w:rsidR="00D40BF5" w:rsidRDefault="00612E2D">
            <w:pPr>
              <w:jc w:val="right"/>
            </w:pPr>
            <w:r>
              <w:rPr>
                <w:color w:val="000000"/>
                <w:sz w:val="24"/>
                <w:szCs w:val="24"/>
              </w:rPr>
              <w:t>130,430,597.12</w:t>
            </w:r>
          </w:p>
        </w:tc>
        <w:tc>
          <w:tcPr>
            <w:tcW w:w="1644" w:type="dxa"/>
            <w:vAlign w:val="center"/>
          </w:tcPr>
          <w:p w:rsidR="00D40BF5" w:rsidRDefault="00612E2D">
            <w:pPr>
              <w:jc w:val="right"/>
            </w:pPr>
            <w:r>
              <w:rPr>
                <w:color w:val="000000"/>
                <w:sz w:val="24"/>
                <w:szCs w:val="24"/>
              </w:rPr>
              <w:t>9.69</w:t>
            </w:r>
          </w:p>
        </w:tc>
      </w:tr>
      <w:tr w:rsidR="00D40BF5">
        <w:trPr>
          <w:jc w:val="center"/>
        </w:trPr>
        <w:tc>
          <w:tcPr>
            <w:tcW w:w="855" w:type="dxa"/>
            <w:vAlign w:val="center"/>
          </w:tcPr>
          <w:p w:rsidR="00D40BF5" w:rsidRDefault="00612E2D">
            <w:pPr>
              <w:jc w:val="center"/>
            </w:pPr>
            <w:r>
              <w:rPr>
                <w:color w:val="000000"/>
                <w:sz w:val="24"/>
                <w:szCs w:val="24"/>
              </w:rPr>
              <w:t>2</w:t>
            </w:r>
          </w:p>
        </w:tc>
        <w:tc>
          <w:tcPr>
            <w:tcW w:w="1334" w:type="dxa"/>
            <w:vAlign w:val="center"/>
          </w:tcPr>
          <w:p w:rsidR="00D40BF5" w:rsidRDefault="00612E2D">
            <w:pPr>
              <w:jc w:val="center"/>
            </w:pPr>
            <w:r>
              <w:rPr>
                <w:color w:val="000000"/>
                <w:sz w:val="24"/>
                <w:szCs w:val="24"/>
              </w:rPr>
              <w:t>000858</w:t>
            </w:r>
          </w:p>
        </w:tc>
        <w:tc>
          <w:tcPr>
            <w:tcW w:w="1777" w:type="dxa"/>
            <w:vAlign w:val="center"/>
          </w:tcPr>
          <w:p w:rsidR="00D40BF5" w:rsidRDefault="00612E2D">
            <w:pPr>
              <w:jc w:val="center"/>
            </w:pPr>
            <w:r>
              <w:rPr>
                <w:color w:val="000000"/>
                <w:sz w:val="24"/>
                <w:szCs w:val="24"/>
              </w:rPr>
              <w:t>五粮液</w:t>
            </w:r>
          </w:p>
        </w:tc>
        <w:tc>
          <w:tcPr>
            <w:tcW w:w="1334" w:type="dxa"/>
            <w:vAlign w:val="center"/>
          </w:tcPr>
          <w:p w:rsidR="00D40BF5" w:rsidRDefault="00612E2D">
            <w:pPr>
              <w:jc w:val="right"/>
            </w:pPr>
            <w:r>
              <w:rPr>
                <w:color w:val="000000"/>
                <w:sz w:val="24"/>
                <w:szCs w:val="24"/>
              </w:rPr>
              <w:t>1,048,989</w:t>
            </w:r>
          </w:p>
        </w:tc>
        <w:tc>
          <w:tcPr>
            <w:tcW w:w="1924" w:type="dxa"/>
            <w:vAlign w:val="center"/>
          </w:tcPr>
          <w:p w:rsidR="00D40BF5" w:rsidRDefault="00612E2D">
            <w:pPr>
              <w:jc w:val="right"/>
            </w:pPr>
            <w:r>
              <w:rPr>
                <w:color w:val="000000"/>
                <w:sz w:val="24"/>
                <w:szCs w:val="24"/>
              </w:rPr>
              <w:t>123,728,252.55</w:t>
            </w:r>
          </w:p>
        </w:tc>
        <w:tc>
          <w:tcPr>
            <w:tcW w:w="1644" w:type="dxa"/>
            <w:vAlign w:val="center"/>
          </w:tcPr>
          <w:p w:rsidR="00D40BF5" w:rsidRDefault="00612E2D">
            <w:pPr>
              <w:jc w:val="right"/>
            </w:pPr>
            <w:r>
              <w:rPr>
                <w:color w:val="000000"/>
                <w:sz w:val="24"/>
                <w:szCs w:val="24"/>
              </w:rPr>
              <w:t>9.19</w:t>
            </w:r>
          </w:p>
        </w:tc>
      </w:tr>
      <w:tr w:rsidR="00D40BF5">
        <w:trPr>
          <w:jc w:val="center"/>
        </w:trPr>
        <w:tc>
          <w:tcPr>
            <w:tcW w:w="855" w:type="dxa"/>
            <w:vAlign w:val="center"/>
          </w:tcPr>
          <w:p w:rsidR="00D40BF5" w:rsidRDefault="00612E2D">
            <w:pPr>
              <w:jc w:val="center"/>
            </w:pPr>
            <w:r>
              <w:rPr>
                <w:color w:val="000000"/>
                <w:sz w:val="24"/>
                <w:szCs w:val="24"/>
              </w:rPr>
              <w:t>3</w:t>
            </w:r>
          </w:p>
        </w:tc>
        <w:tc>
          <w:tcPr>
            <w:tcW w:w="1334" w:type="dxa"/>
            <w:vAlign w:val="center"/>
          </w:tcPr>
          <w:p w:rsidR="00D40BF5" w:rsidRDefault="00612E2D">
            <w:pPr>
              <w:jc w:val="center"/>
            </w:pPr>
            <w:r>
              <w:rPr>
                <w:color w:val="000000"/>
                <w:sz w:val="24"/>
                <w:szCs w:val="24"/>
              </w:rPr>
              <w:t>300146</w:t>
            </w:r>
          </w:p>
        </w:tc>
        <w:tc>
          <w:tcPr>
            <w:tcW w:w="1777" w:type="dxa"/>
            <w:vAlign w:val="center"/>
          </w:tcPr>
          <w:p w:rsidR="00D40BF5" w:rsidRDefault="00612E2D">
            <w:pPr>
              <w:jc w:val="center"/>
            </w:pPr>
            <w:r>
              <w:rPr>
                <w:color w:val="000000"/>
                <w:sz w:val="24"/>
                <w:szCs w:val="24"/>
              </w:rPr>
              <w:t>汤臣倍健</w:t>
            </w:r>
          </w:p>
        </w:tc>
        <w:tc>
          <w:tcPr>
            <w:tcW w:w="1334" w:type="dxa"/>
            <w:vAlign w:val="center"/>
          </w:tcPr>
          <w:p w:rsidR="00D40BF5" w:rsidRDefault="00612E2D">
            <w:pPr>
              <w:jc w:val="right"/>
            </w:pPr>
            <w:r>
              <w:rPr>
                <w:color w:val="000000"/>
                <w:sz w:val="24"/>
                <w:szCs w:val="24"/>
              </w:rPr>
              <w:t>6,301,417</w:t>
            </w:r>
          </w:p>
        </w:tc>
        <w:tc>
          <w:tcPr>
            <w:tcW w:w="1924" w:type="dxa"/>
            <w:vAlign w:val="center"/>
          </w:tcPr>
          <w:p w:rsidR="00D40BF5" w:rsidRDefault="00612E2D">
            <w:pPr>
              <w:jc w:val="right"/>
            </w:pPr>
            <w:r>
              <w:rPr>
                <w:color w:val="000000"/>
                <w:sz w:val="24"/>
                <w:szCs w:val="24"/>
              </w:rPr>
              <w:t>122,247,489.80</w:t>
            </w:r>
          </w:p>
        </w:tc>
        <w:tc>
          <w:tcPr>
            <w:tcW w:w="1644" w:type="dxa"/>
            <w:vAlign w:val="center"/>
          </w:tcPr>
          <w:p w:rsidR="00D40BF5" w:rsidRDefault="00612E2D">
            <w:pPr>
              <w:jc w:val="right"/>
            </w:pPr>
            <w:r>
              <w:rPr>
                <w:color w:val="000000"/>
                <w:sz w:val="24"/>
                <w:szCs w:val="24"/>
              </w:rPr>
              <w:t>9.08</w:t>
            </w:r>
          </w:p>
        </w:tc>
      </w:tr>
      <w:tr w:rsidR="00D40BF5">
        <w:trPr>
          <w:jc w:val="center"/>
        </w:trPr>
        <w:tc>
          <w:tcPr>
            <w:tcW w:w="855" w:type="dxa"/>
            <w:vAlign w:val="center"/>
          </w:tcPr>
          <w:p w:rsidR="00D40BF5" w:rsidRDefault="00612E2D">
            <w:pPr>
              <w:jc w:val="center"/>
            </w:pPr>
            <w:r>
              <w:rPr>
                <w:color w:val="000000"/>
                <w:sz w:val="24"/>
                <w:szCs w:val="24"/>
              </w:rPr>
              <w:t>4</w:t>
            </w:r>
          </w:p>
        </w:tc>
        <w:tc>
          <w:tcPr>
            <w:tcW w:w="1334" w:type="dxa"/>
            <w:vAlign w:val="center"/>
          </w:tcPr>
          <w:p w:rsidR="00D40BF5" w:rsidRDefault="00612E2D">
            <w:pPr>
              <w:jc w:val="center"/>
            </w:pPr>
            <w:r>
              <w:rPr>
                <w:color w:val="000000"/>
                <w:sz w:val="24"/>
                <w:szCs w:val="24"/>
              </w:rPr>
              <w:t>600519</w:t>
            </w:r>
          </w:p>
        </w:tc>
        <w:tc>
          <w:tcPr>
            <w:tcW w:w="1777" w:type="dxa"/>
            <w:vAlign w:val="center"/>
          </w:tcPr>
          <w:p w:rsidR="00D40BF5" w:rsidRDefault="00612E2D">
            <w:pPr>
              <w:jc w:val="center"/>
            </w:pPr>
            <w:r>
              <w:rPr>
                <w:color w:val="000000"/>
                <w:sz w:val="24"/>
                <w:szCs w:val="24"/>
              </w:rPr>
              <w:t>贵州茅台</w:t>
            </w:r>
          </w:p>
        </w:tc>
        <w:tc>
          <w:tcPr>
            <w:tcW w:w="1334" w:type="dxa"/>
            <w:vAlign w:val="center"/>
          </w:tcPr>
          <w:p w:rsidR="00D40BF5" w:rsidRDefault="00612E2D">
            <w:pPr>
              <w:jc w:val="right"/>
            </w:pPr>
            <w:r>
              <w:rPr>
                <w:color w:val="000000"/>
                <w:sz w:val="24"/>
                <w:szCs w:val="24"/>
              </w:rPr>
              <w:t>123,464</w:t>
            </w:r>
          </w:p>
        </w:tc>
        <w:tc>
          <w:tcPr>
            <w:tcW w:w="1924" w:type="dxa"/>
            <w:vAlign w:val="center"/>
          </w:tcPr>
          <w:p w:rsidR="00D40BF5" w:rsidRDefault="00612E2D">
            <w:pPr>
              <w:jc w:val="right"/>
            </w:pPr>
            <w:r>
              <w:rPr>
                <w:color w:val="000000"/>
                <w:sz w:val="24"/>
                <w:szCs w:val="24"/>
              </w:rPr>
              <w:t>121,488,576.00</w:t>
            </w:r>
          </w:p>
        </w:tc>
        <w:tc>
          <w:tcPr>
            <w:tcW w:w="1644" w:type="dxa"/>
            <w:vAlign w:val="center"/>
          </w:tcPr>
          <w:p w:rsidR="00D40BF5" w:rsidRDefault="00612E2D">
            <w:pPr>
              <w:jc w:val="right"/>
            </w:pPr>
            <w:r>
              <w:rPr>
                <w:color w:val="000000"/>
                <w:sz w:val="24"/>
                <w:szCs w:val="24"/>
              </w:rPr>
              <w:t>9.02</w:t>
            </w:r>
          </w:p>
        </w:tc>
      </w:tr>
      <w:tr w:rsidR="00D40BF5">
        <w:trPr>
          <w:jc w:val="center"/>
        </w:trPr>
        <w:tc>
          <w:tcPr>
            <w:tcW w:w="855" w:type="dxa"/>
            <w:vAlign w:val="center"/>
          </w:tcPr>
          <w:p w:rsidR="00D40BF5" w:rsidRDefault="00612E2D">
            <w:pPr>
              <w:jc w:val="center"/>
            </w:pPr>
            <w:r>
              <w:rPr>
                <w:color w:val="000000"/>
                <w:sz w:val="24"/>
                <w:szCs w:val="24"/>
              </w:rPr>
              <w:t>5</w:t>
            </w:r>
          </w:p>
        </w:tc>
        <w:tc>
          <w:tcPr>
            <w:tcW w:w="1334" w:type="dxa"/>
            <w:vAlign w:val="center"/>
          </w:tcPr>
          <w:p w:rsidR="00D40BF5" w:rsidRDefault="00612E2D">
            <w:pPr>
              <w:jc w:val="center"/>
            </w:pPr>
            <w:r>
              <w:rPr>
                <w:color w:val="000000"/>
                <w:sz w:val="24"/>
                <w:szCs w:val="24"/>
              </w:rPr>
              <w:t>600559</w:t>
            </w:r>
          </w:p>
        </w:tc>
        <w:tc>
          <w:tcPr>
            <w:tcW w:w="1777" w:type="dxa"/>
            <w:vAlign w:val="center"/>
          </w:tcPr>
          <w:p w:rsidR="00D40BF5" w:rsidRDefault="00612E2D">
            <w:pPr>
              <w:jc w:val="center"/>
            </w:pPr>
            <w:r>
              <w:rPr>
                <w:color w:val="000000"/>
                <w:sz w:val="24"/>
                <w:szCs w:val="24"/>
              </w:rPr>
              <w:t>老白干酒</w:t>
            </w:r>
          </w:p>
        </w:tc>
        <w:tc>
          <w:tcPr>
            <w:tcW w:w="1334" w:type="dxa"/>
            <w:vAlign w:val="center"/>
          </w:tcPr>
          <w:p w:rsidR="00D40BF5" w:rsidRDefault="00612E2D">
            <w:pPr>
              <w:jc w:val="right"/>
            </w:pPr>
            <w:r>
              <w:rPr>
                <w:color w:val="000000"/>
                <w:sz w:val="24"/>
                <w:szCs w:val="24"/>
              </w:rPr>
              <w:t>9,370,438</w:t>
            </w:r>
          </w:p>
        </w:tc>
        <w:tc>
          <w:tcPr>
            <w:tcW w:w="1924" w:type="dxa"/>
            <w:vAlign w:val="center"/>
          </w:tcPr>
          <w:p w:rsidR="00D40BF5" w:rsidRDefault="00612E2D">
            <w:pPr>
              <w:jc w:val="right"/>
            </w:pPr>
            <w:r>
              <w:rPr>
                <w:color w:val="000000"/>
                <w:sz w:val="24"/>
                <w:szCs w:val="24"/>
              </w:rPr>
              <w:t>121,401,393.42</w:t>
            </w:r>
          </w:p>
        </w:tc>
        <w:tc>
          <w:tcPr>
            <w:tcW w:w="1644" w:type="dxa"/>
            <w:vAlign w:val="center"/>
          </w:tcPr>
          <w:p w:rsidR="00D40BF5" w:rsidRDefault="00612E2D">
            <w:pPr>
              <w:jc w:val="right"/>
            </w:pPr>
            <w:r>
              <w:rPr>
                <w:color w:val="000000"/>
                <w:sz w:val="24"/>
                <w:szCs w:val="24"/>
              </w:rPr>
              <w:t>9.02</w:t>
            </w:r>
          </w:p>
        </w:tc>
      </w:tr>
      <w:tr w:rsidR="00D40BF5">
        <w:trPr>
          <w:jc w:val="center"/>
        </w:trPr>
        <w:tc>
          <w:tcPr>
            <w:tcW w:w="855" w:type="dxa"/>
            <w:vAlign w:val="center"/>
          </w:tcPr>
          <w:p w:rsidR="00D40BF5" w:rsidRDefault="00612E2D">
            <w:pPr>
              <w:jc w:val="center"/>
            </w:pPr>
            <w:r>
              <w:rPr>
                <w:color w:val="000000"/>
                <w:sz w:val="24"/>
                <w:szCs w:val="24"/>
              </w:rPr>
              <w:t>6</w:t>
            </w:r>
          </w:p>
        </w:tc>
        <w:tc>
          <w:tcPr>
            <w:tcW w:w="1334" w:type="dxa"/>
            <w:vAlign w:val="center"/>
          </w:tcPr>
          <w:p w:rsidR="00D40BF5" w:rsidRDefault="00612E2D">
            <w:pPr>
              <w:jc w:val="center"/>
            </w:pPr>
            <w:r>
              <w:rPr>
                <w:color w:val="000000"/>
                <w:sz w:val="24"/>
                <w:szCs w:val="24"/>
              </w:rPr>
              <w:t>000651</w:t>
            </w:r>
          </w:p>
        </w:tc>
        <w:tc>
          <w:tcPr>
            <w:tcW w:w="1777" w:type="dxa"/>
            <w:vAlign w:val="center"/>
          </w:tcPr>
          <w:p w:rsidR="00D40BF5" w:rsidRDefault="00612E2D">
            <w:pPr>
              <w:jc w:val="center"/>
            </w:pPr>
            <w:r>
              <w:rPr>
                <w:color w:val="000000"/>
                <w:sz w:val="24"/>
                <w:szCs w:val="24"/>
              </w:rPr>
              <w:t>格力电器</w:t>
            </w:r>
          </w:p>
        </w:tc>
        <w:tc>
          <w:tcPr>
            <w:tcW w:w="1334" w:type="dxa"/>
            <w:vAlign w:val="center"/>
          </w:tcPr>
          <w:p w:rsidR="00D40BF5" w:rsidRDefault="00612E2D">
            <w:pPr>
              <w:jc w:val="right"/>
            </w:pPr>
            <w:r>
              <w:rPr>
                <w:color w:val="000000"/>
                <w:sz w:val="24"/>
                <w:szCs w:val="24"/>
              </w:rPr>
              <w:t>2,187,217</w:t>
            </w:r>
          </w:p>
        </w:tc>
        <w:tc>
          <w:tcPr>
            <w:tcW w:w="1924" w:type="dxa"/>
            <w:vAlign w:val="center"/>
          </w:tcPr>
          <w:p w:rsidR="00D40BF5" w:rsidRDefault="00612E2D">
            <w:pPr>
              <w:jc w:val="right"/>
            </w:pPr>
            <w:r>
              <w:rPr>
                <w:color w:val="000000"/>
                <w:sz w:val="24"/>
                <w:szCs w:val="24"/>
              </w:rPr>
              <w:t>120,296,935.00</w:t>
            </w:r>
          </w:p>
        </w:tc>
        <w:tc>
          <w:tcPr>
            <w:tcW w:w="1644" w:type="dxa"/>
            <w:vAlign w:val="center"/>
          </w:tcPr>
          <w:p w:rsidR="00D40BF5" w:rsidRDefault="00612E2D">
            <w:pPr>
              <w:jc w:val="right"/>
            </w:pPr>
            <w:r>
              <w:rPr>
                <w:color w:val="000000"/>
                <w:sz w:val="24"/>
                <w:szCs w:val="24"/>
              </w:rPr>
              <w:t>8.93</w:t>
            </w:r>
          </w:p>
        </w:tc>
      </w:tr>
      <w:tr w:rsidR="00D40BF5">
        <w:trPr>
          <w:jc w:val="center"/>
        </w:trPr>
        <w:tc>
          <w:tcPr>
            <w:tcW w:w="855" w:type="dxa"/>
            <w:vAlign w:val="center"/>
          </w:tcPr>
          <w:p w:rsidR="00D40BF5" w:rsidRDefault="00612E2D">
            <w:pPr>
              <w:jc w:val="center"/>
            </w:pPr>
            <w:r>
              <w:rPr>
                <w:color w:val="000000"/>
                <w:sz w:val="24"/>
                <w:szCs w:val="24"/>
              </w:rPr>
              <w:t>7</w:t>
            </w:r>
          </w:p>
        </w:tc>
        <w:tc>
          <w:tcPr>
            <w:tcW w:w="1334" w:type="dxa"/>
            <w:vAlign w:val="center"/>
          </w:tcPr>
          <w:p w:rsidR="00D40BF5" w:rsidRDefault="00612E2D">
            <w:pPr>
              <w:jc w:val="center"/>
            </w:pPr>
            <w:r>
              <w:rPr>
                <w:color w:val="000000"/>
                <w:sz w:val="24"/>
                <w:szCs w:val="24"/>
              </w:rPr>
              <w:t>601155</w:t>
            </w:r>
          </w:p>
        </w:tc>
        <w:tc>
          <w:tcPr>
            <w:tcW w:w="1777" w:type="dxa"/>
            <w:vAlign w:val="center"/>
          </w:tcPr>
          <w:p w:rsidR="00D40BF5" w:rsidRDefault="00612E2D">
            <w:pPr>
              <w:jc w:val="center"/>
            </w:pPr>
            <w:r>
              <w:rPr>
                <w:color w:val="000000"/>
                <w:sz w:val="24"/>
                <w:szCs w:val="24"/>
              </w:rPr>
              <w:t>新城控股</w:t>
            </w:r>
          </w:p>
        </w:tc>
        <w:tc>
          <w:tcPr>
            <w:tcW w:w="1334" w:type="dxa"/>
            <w:vAlign w:val="center"/>
          </w:tcPr>
          <w:p w:rsidR="00D40BF5" w:rsidRDefault="00612E2D">
            <w:pPr>
              <w:jc w:val="right"/>
            </w:pPr>
            <w:r>
              <w:rPr>
                <w:color w:val="000000"/>
                <w:sz w:val="24"/>
                <w:szCs w:val="24"/>
              </w:rPr>
              <w:t>3,019,091</w:t>
            </w:r>
          </w:p>
        </w:tc>
        <w:tc>
          <w:tcPr>
            <w:tcW w:w="1924" w:type="dxa"/>
            <w:vAlign w:val="center"/>
          </w:tcPr>
          <w:p w:rsidR="00D40BF5" w:rsidRDefault="00612E2D">
            <w:pPr>
              <w:jc w:val="right"/>
            </w:pPr>
            <w:r>
              <w:rPr>
                <w:color w:val="000000"/>
                <w:sz w:val="24"/>
                <w:szCs w:val="24"/>
              </w:rPr>
              <w:t>120,190,012.71</w:t>
            </w:r>
          </w:p>
        </w:tc>
        <w:tc>
          <w:tcPr>
            <w:tcW w:w="1644" w:type="dxa"/>
            <w:vAlign w:val="center"/>
          </w:tcPr>
          <w:p w:rsidR="00D40BF5" w:rsidRDefault="00612E2D">
            <w:pPr>
              <w:jc w:val="right"/>
            </w:pPr>
            <w:r>
              <w:rPr>
                <w:color w:val="000000"/>
                <w:sz w:val="24"/>
                <w:szCs w:val="24"/>
              </w:rPr>
              <w:t>8.93</w:t>
            </w:r>
          </w:p>
        </w:tc>
      </w:tr>
      <w:tr w:rsidR="00D40BF5">
        <w:trPr>
          <w:jc w:val="center"/>
        </w:trPr>
        <w:tc>
          <w:tcPr>
            <w:tcW w:w="855" w:type="dxa"/>
            <w:vAlign w:val="center"/>
          </w:tcPr>
          <w:p w:rsidR="00D40BF5" w:rsidRDefault="00612E2D">
            <w:pPr>
              <w:jc w:val="center"/>
            </w:pPr>
            <w:r>
              <w:rPr>
                <w:color w:val="000000"/>
                <w:sz w:val="24"/>
                <w:szCs w:val="24"/>
              </w:rPr>
              <w:t>8</w:t>
            </w:r>
          </w:p>
        </w:tc>
        <w:tc>
          <w:tcPr>
            <w:tcW w:w="1334" w:type="dxa"/>
            <w:vAlign w:val="center"/>
          </w:tcPr>
          <w:p w:rsidR="00D40BF5" w:rsidRDefault="00612E2D">
            <w:pPr>
              <w:jc w:val="center"/>
            </w:pPr>
            <w:r>
              <w:rPr>
                <w:color w:val="000000"/>
                <w:sz w:val="24"/>
                <w:szCs w:val="24"/>
              </w:rPr>
              <w:t>600887</w:t>
            </w:r>
          </w:p>
        </w:tc>
        <w:tc>
          <w:tcPr>
            <w:tcW w:w="1777" w:type="dxa"/>
            <w:vAlign w:val="center"/>
          </w:tcPr>
          <w:p w:rsidR="00D40BF5" w:rsidRDefault="00612E2D">
            <w:pPr>
              <w:jc w:val="center"/>
            </w:pPr>
            <w:r>
              <w:rPr>
                <w:color w:val="000000"/>
                <w:sz w:val="24"/>
                <w:szCs w:val="24"/>
              </w:rPr>
              <w:t>伊利股份</w:t>
            </w:r>
          </w:p>
        </w:tc>
        <w:tc>
          <w:tcPr>
            <w:tcW w:w="1334" w:type="dxa"/>
            <w:vAlign w:val="center"/>
          </w:tcPr>
          <w:p w:rsidR="00D40BF5" w:rsidRDefault="00612E2D">
            <w:pPr>
              <w:jc w:val="right"/>
            </w:pPr>
            <w:r>
              <w:rPr>
                <w:color w:val="000000"/>
                <w:sz w:val="24"/>
                <w:szCs w:val="24"/>
              </w:rPr>
              <w:t>3,568,238</w:t>
            </w:r>
          </w:p>
        </w:tc>
        <w:tc>
          <w:tcPr>
            <w:tcW w:w="1924" w:type="dxa"/>
            <w:vAlign w:val="center"/>
          </w:tcPr>
          <w:p w:rsidR="00D40BF5" w:rsidRDefault="00612E2D">
            <w:pPr>
              <w:jc w:val="right"/>
            </w:pPr>
            <w:r>
              <w:rPr>
                <w:color w:val="000000"/>
                <w:sz w:val="24"/>
                <w:szCs w:val="24"/>
              </w:rPr>
              <w:t>119,214,831.58</w:t>
            </w:r>
          </w:p>
        </w:tc>
        <w:tc>
          <w:tcPr>
            <w:tcW w:w="1644" w:type="dxa"/>
            <w:vAlign w:val="center"/>
          </w:tcPr>
          <w:p w:rsidR="00D40BF5" w:rsidRDefault="00612E2D">
            <w:pPr>
              <w:jc w:val="right"/>
            </w:pPr>
            <w:r>
              <w:rPr>
                <w:color w:val="000000"/>
                <w:sz w:val="24"/>
                <w:szCs w:val="24"/>
              </w:rPr>
              <w:t>8.85</w:t>
            </w:r>
          </w:p>
        </w:tc>
      </w:tr>
      <w:tr w:rsidR="00D40BF5">
        <w:trPr>
          <w:jc w:val="center"/>
        </w:trPr>
        <w:tc>
          <w:tcPr>
            <w:tcW w:w="855" w:type="dxa"/>
            <w:vAlign w:val="center"/>
          </w:tcPr>
          <w:p w:rsidR="00D40BF5" w:rsidRDefault="00612E2D">
            <w:pPr>
              <w:jc w:val="center"/>
            </w:pPr>
            <w:r>
              <w:rPr>
                <w:color w:val="000000"/>
                <w:sz w:val="24"/>
                <w:szCs w:val="24"/>
              </w:rPr>
              <w:t>9</w:t>
            </w:r>
          </w:p>
        </w:tc>
        <w:tc>
          <w:tcPr>
            <w:tcW w:w="1334" w:type="dxa"/>
            <w:vAlign w:val="center"/>
          </w:tcPr>
          <w:p w:rsidR="00D40BF5" w:rsidRDefault="00612E2D">
            <w:pPr>
              <w:jc w:val="center"/>
            </w:pPr>
            <w:r>
              <w:rPr>
                <w:color w:val="000000"/>
                <w:sz w:val="24"/>
                <w:szCs w:val="24"/>
              </w:rPr>
              <w:t>603886</w:t>
            </w:r>
          </w:p>
        </w:tc>
        <w:tc>
          <w:tcPr>
            <w:tcW w:w="1777" w:type="dxa"/>
            <w:vAlign w:val="center"/>
          </w:tcPr>
          <w:p w:rsidR="00D40BF5" w:rsidRDefault="00612E2D">
            <w:pPr>
              <w:jc w:val="center"/>
            </w:pPr>
            <w:r>
              <w:rPr>
                <w:color w:val="000000"/>
                <w:sz w:val="24"/>
                <w:szCs w:val="24"/>
              </w:rPr>
              <w:t>元祖股份</w:t>
            </w:r>
          </w:p>
        </w:tc>
        <w:tc>
          <w:tcPr>
            <w:tcW w:w="1334" w:type="dxa"/>
            <w:vAlign w:val="center"/>
          </w:tcPr>
          <w:p w:rsidR="00D40BF5" w:rsidRDefault="00612E2D">
            <w:pPr>
              <w:jc w:val="right"/>
            </w:pPr>
            <w:r>
              <w:rPr>
                <w:color w:val="000000"/>
                <w:sz w:val="24"/>
                <w:szCs w:val="24"/>
              </w:rPr>
              <w:t>4,214,366</w:t>
            </w:r>
          </w:p>
        </w:tc>
        <w:tc>
          <w:tcPr>
            <w:tcW w:w="1924" w:type="dxa"/>
            <w:vAlign w:val="center"/>
          </w:tcPr>
          <w:p w:rsidR="00D40BF5" w:rsidRDefault="00612E2D">
            <w:pPr>
              <w:jc w:val="right"/>
            </w:pPr>
            <w:r>
              <w:rPr>
                <w:color w:val="000000"/>
                <w:sz w:val="24"/>
                <w:szCs w:val="24"/>
              </w:rPr>
              <w:t>111,020,555.34</w:t>
            </w:r>
          </w:p>
        </w:tc>
        <w:tc>
          <w:tcPr>
            <w:tcW w:w="1644" w:type="dxa"/>
            <w:vAlign w:val="center"/>
          </w:tcPr>
          <w:p w:rsidR="00D40BF5" w:rsidRDefault="00612E2D">
            <w:pPr>
              <w:jc w:val="right"/>
            </w:pPr>
            <w:r>
              <w:rPr>
                <w:color w:val="000000"/>
                <w:sz w:val="24"/>
                <w:szCs w:val="24"/>
              </w:rPr>
              <w:t>8.24</w:t>
            </w:r>
          </w:p>
        </w:tc>
      </w:tr>
      <w:tr w:rsidR="00D40BF5">
        <w:trPr>
          <w:jc w:val="center"/>
        </w:trPr>
        <w:tc>
          <w:tcPr>
            <w:tcW w:w="855" w:type="dxa"/>
            <w:vAlign w:val="center"/>
          </w:tcPr>
          <w:p w:rsidR="00D40BF5" w:rsidRDefault="00612E2D">
            <w:pPr>
              <w:jc w:val="center"/>
            </w:pPr>
            <w:r>
              <w:rPr>
                <w:color w:val="000000"/>
                <w:sz w:val="24"/>
                <w:szCs w:val="24"/>
              </w:rPr>
              <w:t>10</w:t>
            </w:r>
          </w:p>
        </w:tc>
        <w:tc>
          <w:tcPr>
            <w:tcW w:w="1334" w:type="dxa"/>
            <w:vAlign w:val="center"/>
          </w:tcPr>
          <w:p w:rsidR="00D40BF5" w:rsidRDefault="00612E2D">
            <w:pPr>
              <w:jc w:val="center"/>
            </w:pPr>
            <w:r>
              <w:rPr>
                <w:color w:val="000000"/>
                <w:sz w:val="24"/>
                <w:szCs w:val="24"/>
              </w:rPr>
              <w:t>300755</w:t>
            </w:r>
          </w:p>
        </w:tc>
        <w:tc>
          <w:tcPr>
            <w:tcW w:w="1777" w:type="dxa"/>
            <w:vAlign w:val="center"/>
          </w:tcPr>
          <w:p w:rsidR="00D40BF5" w:rsidRDefault="00612E2D">
            <w:pPr>
              <w:jc w:val="center"/>
            </w:pPr>
            <w:r>
              <w:rPr>
                <w:color w:val="000000"/>
                <w:sz w:val="24"/>
                <w:szCs w:val="24"/>
              </w:rPr>
              <w:t>华致酒行</w:t>
            </w:r>
          </w:p>
        </w:tc>
        <w:tc>
          <w:tcPr>
            <w:tcW w:w="1334" w:type="dxa"/>
            <w:vAlign w:val="center"/>
          </w:tcPr>
          <w:p w:rsidR="00D40BF5" w:rsidRDefault="00612E2D">
            <w:pPr>
              <w:jc w:val="right"/>
            </w:pPr>
            <w:r>
              <w:rPr>
                <w:color w:val="000000"/>
                <w:sz w:val="24"/>
                <w:szCs w:val="24"/>
              </w:rPr>
              <w:t>944,400</w:t>
            </w:r>
          </w:p>
        </w:tc>
        <w:tc>
          <w:tcPr>
            <w:tcW w:w="1924" w:type="dxa"/>
            <w:vAlign w:val="center"/>
          </w:tcPr>
          <w:p w:rsidR="00D40BF5" w:rsidRDefault="00612E2D">
            <w:pPr>
              <w:jc w:val="right"/>
            </w:pPr>
            <w:r>
              <w:rPr>
                <w:color w:val="000000"/>
                <w:sz w:val="24"/>
                <w:szCs w:val="24"/>
              </w:rPr>
              <w:t>33,252,324.00</w:t>
            </w:r>
          </w:p>
        </w:tc>
        <w:tc>
          <w:tcPr>
            <w:tcW w:w="1644" w:type="dxa"/>
            <w:vAlign w:val="center"/>
          </w:tcPr>
          <w:p w:rsidR="00D40BF5" w:rsidRDefault="00612E2D">
            <w:pPr>
              <w:jc w:val="right"/>
            </w:pPr>
            <w:r>
              <w:rPr>
                <w:color w:val="000000"/>
                <w:sz w:val="24"/>
                <w:szCs w:val="24"/>
              </w:rPr>
              <w:t>2.47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525A0C" w:rsidRDefault="00525A0C" w:rsidP="00C15CAC">
      <w:pPr>
        <w:autoSpaceDE w:val="0"/>
        <w:autoSpaceDN w:val="0"/>
        <w:adjustRightInd w:val="0"/>
        <w:spacing w:before="29" w:line="288" w:lineRule="auto"/>
        <w:jc w:val="left"/>
        <w:rPr>
          <w:b/>
          <w:bCs/>
          <w:color w:val="000000"/>
          <w:kern w:val="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525A0C" w:rsidRDefault="00525A0C" w:rsidP="00C15CAC">
      <w:pPr>
        <w:autoSpaceDE w:val="0"/>
        <w:autoSpaceDN w:val="0"/>
        <w:adjustRightInd w:val="0"/>
        <w:spacing w:before="29" w:line="288" w:lineRule="auto"/>
        <w:jc w:val="left"/>
        <w:rPr>
          <w:b/>
          <w:bCs/>
          <w:color w:val="000000"/>
          <w:kern w:val="0"/>
          <w:sz w:val="24"/>
          <w:szCs w:val="24"/>
        </w:rPr>
      </w:pPr>
    </w:p>
    <w:p w:rsidR="004061AC" w:rsidRDefault="00B63FF0" w:rsidP="00C15CAC">
      <w:pPr>
        <w:autoSpaceDE w:val="0"/>
        <w:autoSpaceDN w:val="0"/>
        <w:adjustRightInd w:val="0"/>
        <w:spacing w:before="29" w:line="288" w:lineRule="auto"/>
        <w:jc w:val="left"/>
        <w:rPr>
          <w:b/>
          <w:bCs/>
          <w:color w:val="000000"/>
          <w:kern w:val="0"/>
          <w:sz w:val="24"/>
          <w:szCs w:val="24"/>
        </w:rPr>
      </w:pPr>
      <w:r>
        <w:rPr>
          <w:b/>
          <w:bCs/>
          <w:color w:val="000000"/>
          <w:kern w:val="0"/>
          <w:sz w:val="24"/>
          <w:szCs w:val="24"/>
        </w:rPr>
        <w:t>5.6</w:t>
      </w:r>
      <w:bookmarkStart w:id="0" w:name="_GoBack"/>
      <w:bookmarkEnd w:id="0"/>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525A0C" w:rsidRDefault="00525A0C" w:rsidP="00C15CAC">
      <w:pPr>
        <w:autoSpaceDE w:val="0"/>
        <w:autoSpaceDN w:val="0"/>
        <w:adjustRightInd w:val="0"/>
        <w:spacing w:before="29" w:line="288" w:lineRule="auto"/>
        <w:jc w:val="left"/>
        <w:rPr>
          <w:b/>
          <w:bCs/>
          <w:color w:val="000000"/>
          <w:kern w:val="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786,495.04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23,915.56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13,913.73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824,324.33</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525A0C" w:rsidRDefault="00525A0C" w:rsidP="00C15CAC">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40BF5">
        <w:trPr>
          <w:jc w:val="center"/>
        </w:trPr>
        <w:tc>
          <w:tcPr>
            <w:tcW w:w="1129" w:type="dxa"/>
            <w:vAlign w:val="center"/>
          </w:tcPr>
          <w:p w:rsidR="00D40BF5" w:rsidRDefault="00612E2D">
            <w:pPr>
              <w:jc w:val="center"/>
            </w:pPr>
            <w:r>
              <w:rPr>
                <w:color w:val="000000"/>
                <w:sz w:val="24"/>
                <w:szCs w:val="24"/>
              </w:rPr>
              <w:t>1</w:t>
            </w:r>
          </w:p>
        </w:tc>
        <w:tc>
          <w:tcPr>
            <w:tcW w:w="1356" w:type="dxa"/>
            <w:vAlign w:val="center"/>
          </w:tcPr>
          <w:p w:rsidR="00D40BF5" w:rsidRDefault="00612E2D">
            <w:pPr>
              <w:jc w:val="center"/>
            </w:pPr>
            <w:r>
              <w:rPr>
                <w:color w:val="000000"/>
                <w:sz w:val="24"/>
                <w:szCs w:val="24"/>
              </w:rPr>
              <w:t>603886</w:t>
            </w:r>
          </w:p>
        </w:tc>
        <w:tc>
          <w:tcPr>
            <w:tcW w:w="1355" w:type="dxa"/>
            <w:vAlign w:val="center"/>
          </w:tcPr>
          <w:p w:rsidR="00D40BF5" w:rsidRDefault="00612E2D">
            <w:pPr>
              <w:jc w:val="center"/>
            </w:pPr>
            <w:r>
              <w:rPr>
                <w:color w:val="000000"/>
                <w:sz w:val="24"/>
                <w:szCs w:val="24"/>
              </w:rPr>
              <w:t>元祖股份</w:t>
            </w:r>
          </w:p>
        </w:tc>
        <w:tc>
          <w:tcPr>
            <w:tcW w:w="1880" w:type="dxa"/>
            <w:vAlign w:val="center"/>
          </w:tcPr>
          <w:p w:rsidR="00D40BF5" w:rsidRDefault="00612E2D">
            <w:pPr>
              <w:jc w:val="right"/>
            </w:pPr>
            <w:r>
              <w:rPr>
                <w:color w:val="000000"/>
                <w:sz w:val="24"/>
                <w:szCs w:val="24"/>
              </w:rPr>
              <w:t>15,276,000.00</w:t>
            </w:r>
          </w:p>
        </w:tc>
        <w:tc>
          <w:tcPr>
            <w:tcW w:w="1724" w:type="dxa"/>
            <w:vAlign w:val="center"/>
          </w:tcPr>
          <w:p w:rsidR="00D40BF5" w:rsidRDefault="00612E2D">
            <w:pPr>
              <w:jc w:val="right"/>
            </w:pPr>
            <w:r>
              <w:rPr>
                <w:color w:val="000000"/>
                <w:sz w:val="24"/>
                <w:szCs w:val="24"/>
              </w:rPr>
              <w:t>1.13</w:t>
            </w:r>
          </w:p>
        </w:tc>
        <w:tc>
          <w:tcPr>
            <w:tcW w:w="1424" w:type="dxa"/>
            <w:vAlign w:val="center"/>
          </w:tcPr>
          <w:p w:rsidR="00D40BF5" w:rsidRDefault="003450C5">
            <w:pPr>
              <w:jc w:val="right"/>
            </w:pPr>
            <w:r>
              <w:rPr>
                <w:color w:val="000000"/>
                <w:sz w:val="24"/>
                <w:szCs w:val="24"/>
              </w:rPr>
              <w:t>限售股</w:t>
            </w:r>
          </w:p>
        </w:tc>
      </w:tr>
      <w:tr w:rsidR="00D40BF5">
        <w:trPr>
          <w:jc w:val="center"/>
        </w:trPr>
        <w:tc>
          <w:tcPr>
            <w:tcW w:w="1129" w:type="dxa"/>
            <w:vAlign w:val="center"/>
          </w:tcPr>
          <w:p w:rsidR="00D40BF5" w:rsidRDefault="00612E2D">
            <w:pPr>
              <w:jc w:val="center"/>
            </w:pPr>
            <w:r>
              <w:rPr>
                <w:color w:val="000000"/>
                <w:sz w:val="24"/>
                <w:szCs w:val="24"/>
              </w:rPr>
              <w:t>2</w:t>
            </w:r>
          </w:p>
        </w:tc>
        <w:tc>
          <w:tcPr>
            <w:tcW w:w="1356" w:type="dxa"/>
            <w:vAlign w:val="center"/>
          </w:tcPr>
          <w:p w:rsidR="00D40BF5" w:rsidRDefault="00612E2D">
            <w:pPr>
              <w:jc w:val="center"/>
            </w:pPr>
            <w:r>
              <w:rPr>
                <w:color w:val="000000"/>
                <w:sz w:val="24"/>
                <w:szCs w:val="24"/>
              </w:rPr>
              <w:t>600559</w:t>
            </w:r>
          </w:p>
        </w:tc>
        <w:tc>
          <w:tcPr>
            <w:tcW w:w="1355" w:type="dxa"/>
            <w:vAlign w:val="center"/>
          </w:tcPr>
          <w:p w:rsidR="00D40BF5" w:rsidRDefault="00612E2D">
            <w:pPr>
              <w:jc w:val="center"/>
            </w:pPr>
            <w:r>
              <w:rPr>
                <w:color w:val="000000"/>
                <w:sz w:val="24"/>
                <w:szCs w:val="24"/>
              </w:rPr>
              <w:t>老白干酒</w:t>
            </w:r>
          </w:p>
        </w:tc>
        <w:tc>
          <w:tcPr>
            <w:tcW w:w="1880" w:type="dxa"/>
            <w:vAlign w:val="center"/>
          </w:tcPr>
          <w:p w:rsidR="00D40BF5" w:rsidRDefault="00612E2D">
            <w:pPr>
              <w:jc w:val="right"/>
            </w:pPr>
            <w:r>
              <w:rPr>
                <w:color w:val="000000"/>
                <w:sz w:val="24"/>
                <w:szCs w:val="24"/>
              </w:rPr>
              <w:t>16,636,390.00</w:t>
            </w:r>
          </w:p>
        </w:tc>
        <w:tc>
          <w:tcPr>
            <w:tcW w:w="1724" w:type="dxa"/>
            <w:vAlign w:val="center"/>
          </w:tcPr>
          <w:p w:rsidR="00D40BF5" w:rsidRDefault="00612E2D">
            <w:pPr>
              <w:jc w:val="right"/>
            </w:pPr>
            <w:r>
              <w:rPr>
                <w:color w:val="000000"/>
                <w:sz w:val="24"/>
                <w:szCs w:val="24"/>
              </w:rPr>
              <w:t>1.24</w:t>
            </w:r>
          </w:p>
        </w:tc>
        <w:tc>
          <w:tcPr>
            <w:tcW w:w="1424" w:type="dxa"/>
            <w:vAlign w:val="center"/>
          </w:tcPr>
          <w:p w:rsidR="00D40BF5" w:rsidRDefault="003450C5">
            <w:pPr>
              <w:jc w:val="right"/>
            </w:pPr>
            <w:r>
              <w:rPr>
                <w:color w:val="000000"/>
                <w:sz w:val="24"/>
                <w:szCs w:val="24"/>
              </w:rPr>
              <w:t>限售股</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6</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1,584,267,076.91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19,176,268.91</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279,116,343.12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1,324,327,002.70</w:t>
            </w:r>
          </w:p>
        </w:tc>
      </w:tr>
    </w:tbl>
    <w:p w:rsidR="00D40BF5" w:rsidRDefault="00612E2D">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525A0C">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220C32" w:rsidRDefault="003C50AD" w:rsidP="0011537B">
      <w:pPr>
        <w:pStyle w:val="1"/>
        <w:spacing w:beforeLines="100" w:before="312" w:afterLines="100" w:after="312" w:line="360" w:lineRule="auto"/>
        <w:jc w:val="center"/>
        <w:rPr>
          <w:rFonts w:asciiTheme="minorEastAsia" w:eastAsiaTheme="minorEastAsia" w:hAnsiTheme="minorEastAsia"/>
          <w:color w:val="000000" w:themeColor="text1"/>
          <w:kern w:val="0"/>
          <w:sz w:val="24"/>
          <w:szCs w:val="24"/>
        </w:rPr>
      </w:pPr>
      <w:r w:rsidRPr="00220C32">
        <w:rPr>
          <w:rFonts w:asciiTheme="minorEastAsia" w:eastAsiaTheme="minorEastAsia" w:hAnsiTheme="minorEastAsia" w:hint="eastAsia"/>
          <w:color w:val="000000" w:themeColor="text1"/>
          <w:kern w:val="0"/>
          <w:sz w:val="24"/>
          <w:szCs w:val="24"/>
        </w:rPr>
        <w:lastRenderedPageBreak/>
        <w:t>§8</w:t>
      </w:r>
      <w:r w:rsidRPr="00220C32">
        <w:rPr>
          <w:rFonts w:asciiTheme="minorEastAsia" w:eastAsiaTheme="minorEastAsia" w:hAnsiTheme="minorEastAsia"/>
          <w:color w:val="000000" w:themeColor="text1"/>
          <w:kern w:val="0"/>
          <w:sz w:val="24"/>
          <w:szCs w:val="24"/>
        </w:rPr>
        <w:t xml:space="preserve">  </w:t>
      </w:r>
      <w:r w:rsidRPr="00220C32">
        <w:rPr>
          <w:rFonts w:asciiTheme="minorEastAsia" w:eastAsiaTheme="minorEastAsia" w:hAnsiTheme="minorEastAsia" w:hint="eastAsia"/>
          <w:color w:val="000000" w:themeColor="text1"/>
          <w:kern w:val="0"/>
          <w:sz w:val="24"/>
          <w:szCs w:val="24"/>
        </w:rPr>
        <w:t>影响投资者决策的其他重要信息</w:t>
      </w:r>
    </w:p>
    <w:p w:rsidR="003C50AD" w:rsidRPr="009A5C99" w:rsidRDefault="003C50AD" w:rsidP="003C50AD">
      <w:pPr>
        <w:autoSpaceDE w:val="0"/>
        <w:autoSpaceDN w:val="0"/>
        <w:adjustRightInd w:val="0"/>
        <w:spacing w:line="360" w:lineRule="auto"/>
        <w:jc w:val="left"/>
        <w:rPr>
          <w:rFonts w:ascii="宋体" w:hAnsi="宋体"/>
          <w:b/>
          <w:bCs/>
          <w:color w:val="000000"/>
          <w:kern w:val="0"/>
          <w:sz w:val="24"/>
          <w:szCs w:val="24"/>
        </w:rPr>
      </w:pPr>
      <w:r w:rsidRPr="009A5C99">
        <w:rPr>
          <w:rFonts w:ascii="宋体" w:hAnsi="宋体" w:hint="eastAsia"/>
          <w:b/>
          <w:bCs/>
          <w:color w:val="000000"/>
          <w:kern w:val="0"/>
          <w:sz w:val="24"/>
          <w:szCs w:val="24"/>
        </w:rPr>
        <w:t>8.1 影响投资者决策的其他重要信息</w:t>
      </w:r>
    </w:p>
    <w:p w:rsidR="003C50AD" w:rsidRPr="00525A0C" w:rsidRDefault="003C50AD" w:rsidP="003C50AD">
      <w:pPr>
        <w:spacing w:line="360" w:lineRule="auto"/>
        <w:ind w:firstLineChars="200" w:firstLine="480"/>
        <w:rPr>
          <w:rFonts w:ascii="宋体" w:hAnsi="宋体"/>
          <w:color w:val="000000"/>
          <w:sz w:val="24"/>
          <w:szCs w:val="24"/>
        </w:rPr>
      </w:pPr>
      <w:r w:rsidRPr="00525A0C">
        <w:rPr>
          <w:rFonts w:ascii="宋体" w:hAnsi="宋体"/>
          <w:color w:val="000000"/>
          <w:sz w:val="24"/>
          <w:szCs w:val="24"/>
        </w:rPr>
        <w:t>根据有关法律法规规定和基金合同的约定，本基金可投资科创板股票。基金资产投资于科创板股票，会面临科创板机制下因投资标的、市场制度以及交易规则等差异带来的特有风险，包括但不限于市场风险、流动性风险、退市风险、集中度风险、系统性风险、政策风险等。有关详情请查阅本基金管理人于2019年6月22日发布的《交银施罗德基金管理有限公司关于旗下部分基金可投资科创板股票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D40BF5" w:rsidRDefault="00612E2D">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、中国证监会准予交银施罗德品质升级混合型证券投资基金募集注册的文件；</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2</w:t>
      </w:r>
      <w:r>
        <w:rPr>
          <w:color w:val="000000"/>
          <w:sz w:val="24"/>
          <w:szCs w:val="24"/>
        </w:rPr>
        <w:t>、《交银施罗德品质升级混合型证券投资基金基金合同》；</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3</w:t>
      </w:r>
      <w:r>
        <w:rPr>
          <w:color w:val="000000"/>
          <w:sz w:val="24"/>
          <w:szCs w:val="24"/>
        </w:rPr>
        <w:t>、《交银施罗德品质升级混合型证券投资基金招募说明书》；</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4</w:t>
      </w:r>
      <w:r>
        <w:rPr>
          <w:color w:val="000000"/>
          <w:sz w:val="24"/>
          <w:szCs w:val="24"/>
        </w:rPr>
        <w:t>、《交银施罗德品质升级混合型证券投资基金托管协议》；</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、关于申请募集注册交银施罗德品质升级混合型证券投资基金的法律意见书；</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40BF5" w:rsidRDefault="00612E2D">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、报告期内交银施罗德品质升级混合型证券投资基金在指定报刊上各项公告的原稿。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D40BF5" w:rsidRDefault="00612E2D">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2AB8" w:rsidRDefault="00B62AB8" w:rsidP="00876D65">
      <w:r>
        <w:separator/>
      </w:r>
    </w:p>
  </w:endnote>
  <w:endnote w:type="continuationSeparator" w:id="0">
    <w:p w:rsidR="00B62AB8" w:rsidRDefault="00B62AB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B63FF0">
      <w:rPr>
        <w:noProof/>
        <w:kern w:val="0"/>
        <w:szCs w:val="21"/>
      </w:rPr>
      <w:t>9</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B63FF0">
      <w:rPr>
        <w:noProof/>
        <w:kern w:val="0"/>
        <w:szCs w:val="21"/>
      </w:rPr>
      <w:t>11</w:t>
    </w:r>
    <w:r w:rsidR="00381EE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2AB8" w:rsidRDefault="00B62AB8" w:rsidP="00876D65">
      <w:r>
        <w:separator/>
      </w:r>
    </w:p>
  </w:footnote>
  <w:footnote w:type="continuationSeparator" w:id="0">
    <w:p w:rsidR="00B62AB8" w:rsidRDefault="00B62AB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交银施罗德品质升级混合型证券投资基金</w:t>
    </w:r>
    <w:r w:rsidRPr="003E676C">
      <w:rPr>
        <w:sz w:val="24"/>
        <w:szCs w:val="24"/>
      </w:rPr>
      <w:t>2019</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9393A" w:rsidRDefault="00D9393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0C5"/>
    <w:rsid w:val="003470E2"/>
    <w:rsid w:val="0035076C"/>
    <w:rsid w:val="00352719"/>
    <w:rsid w:val="0035383E"/>
    <w:rsid w:val="00355364"/>
    <w:rsid w:val="00363127"/>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25A0C"/>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C8F"/>
    <w:rsid w:val="005B4F93"/>
    <w:rsid w:val="005B73D2"/>
    <w:rsid w:val="005D2B36"/>
    <w:rsid w:val="005E475E"/>
    <w:rsid w:val="005F118D"/>
    <w:rsid w:val="005F3996"/>
    <w:rsid w:val="005F3B86"/>
    <w:rsid w:val="005F6AF6"/>
    <w:rsid w:val="00604E50"/>
    <w:rsid w:val="006054CF"/>
    <w:rsid w:val="006066D2"/>
    <w:rsid w:val="006075E6"/>
    <w:rsid w:val="0061286A"/>
    <w:rsid w:val="00612E2D"/>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E19A9"/>
    <w:rsid w:val="009E31DA"/>
    <w:rsid w:val="009E402C"/>
    <w:rsid w:val="009E7C6A"/>
    <w:rsid w:val="009F27F9"/>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B8"/>
    <w:rsid w:val="00B62AC1"/>
    <w:rsid w:val="00B63FF0"/>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0BF5"/>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86DC7-67CB-4004-9194-E9431E2D1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1817</TotalTime>
  <Pages>11</Pages>
  <Words>1010</Words>
  <Characters>5761</Characters>
  <Application>Microsoft Office Word</Application>
  <DocSecurity>0</DocSecurity>
  <Lines>48</Lines>
  <Paragraphs>13</Paragraphs>
  <ScaleCrop>false</ScaleCrop>
  <Company/>
  <LinksUpToDate>false</LinksUpToDate>
  <CharactersWithSpaces>6758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593</cp:revision>
  <dcterms:created xsi:type="dcterms:W3CDTF">2012-10-16T06:07:00Z</dcterms:created>
  <dcterms:modified xsi:type="dcterms:W3CDTF">2019-07-12T10:23:00Z</dcterms:modified>
</cp:coreProperties>
</file>