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交银施罗德持续成长主题混合型证券投资基金</w:t>
      </w:r>
    </w:p>
    <w:p w:rsidP="00C15CAC" w:rsidR="002279D3" w:rsidRDefault="002279D3" w:rsidRPr="0081286B">
      <w:pPr>
        <w:spacing w:before="29" w:line="288" w:lineRule="auto"/>
        <w:jc w:val="center"/>
        <w:rPr>
          <w:b/>
          <w:sz w:val="36"/>
          <w:szCs w:val="36"/>
        </w:rPr>
      </w:pPr>
      <w:r w:rsidRPr="0081286B">
        <w:rPr>
          <w:b/>
          <w:sz w:val="36"/>
          <w:szCs w:val="36"/>
        </w:rPr>
        <w:t/>
      </w:r>
      <w:proofErr w:type="spellStart"/>
      <w:r w:rsidRPr="0081286B">
        <w:rPr>
          <w:b/>
          <w:sz w:val="36"/>
          <w:szCs w:val="36"/>
        </w:rPr>
        <w:t/>
      </w:r>
      <w:proofErr w:type="spellEnd"/>
      <w:r w:rsidRPr="0081286B">
        <w:rPr>
          <w:b/>
          <w:sz w:val="36"/>
          <w:szCs w:val="36"/>
        </w:rPr>
        <w:t>2019年第2季度报告</w:t>
      </w:r>
    </w:p>
    <w:p w:rsidP="00C15CAC" w:rsidR="004061AC" w:rsidRDefault="00655CD8"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2019年6月30日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中国工商银行股份有限公司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proofErr w:type="spellStart"/>
      <w:proofErr w:type="gramStart"/>
      <w:r w:rsidR="00F16E3F" w:rsidRPr="0081286B">
        <w:rPr>
          <w:b/>
          <w:color w:val="000000"/>
          <w:sz w:val="24"/>
          <w:szCs w:val="24"/>
        </w:rPr>
        <w:t/>
      </w:r>
      <w:r w:rsidR="0042009D" w:rsidRPr="0081286B">
        <w:rPr>
          <w:b/>
          <w:color w:val="000000"/>
          <w:sz w:val="24"/>
          <w:szCs w:val="24"/>
        </w:rPr>
        <w:t/>
      </w:r>
      <w:proofErr w:type="spellEnd"/>
      <w:proofErr w:type="gramEnd"/>
      <w:r w:rsidR="00F16E3F" w:rsidRPr="0081286B">
        <w:rPr>
          <w:b/>
          <w:color w:val="000000"/>
          <w:sz w:val="24"/>
          <w:szCs w:val="24"/>
        </w:rPr>
        <w:t>二〇一九年七月十七日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基金托管人中国工商银行股份有限公司根据本基金合同规定，于2019年7月16日复核了本报告中的财务指标、净值表现和投资组合报告等内容，保证复核内容不存在虚假记载、误导性陈述或者重大遗漏。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本报告期自2019年4月1日起至6月30日止。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交银持续成长主题混合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005001</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
            </w:r>
            <w:proofErr w:type="spellStart"/>
            <w:r w:rsidRPr="00414345">
              <w:rPr>
                <w:kern w:val="0"/>
                <w:sz w:val="24"/>
              </w:rPr>
              <w:t/>
            </w:r>
            <w:proofErr w:type="spellEnd"/>
            <w:r w:rsidRPr="00414345">
              <w:rPr>
                <w:kern w:val="0"/>
                <w:sz w:val="24"/>
              </w:rPr>
              <w:t/>
            </w:r>
            <w:proofErr w:type="spellStart"/>
            <w:r w:rsidRPr="00414345">
              <w:rPr>
                <w:kern w:val="0"/>
                <w:sz w:val="24"/>
              </w:rPr>
              <w:t/>
            </w:r>
            <w:proofErr w:type="spellEnd"/>
            <w:r w:rsidRPr="00414345">
              <w:rPr>
                <w:kern w:val="0"/>
                <w:sz w:val="24"/>
              </w:rPr>
              <w:t/>
            </w:r>
            <w:proofErr w:type="spellStart"/>
            <w:r w:rsidRPr="00414345">
              <w:rPr>
                <w:kern w:val="0"/>
                <w:sz w:val="24"/>
              </w:rPr>
              <w:t/>
            </w:r>
            <w:proofErr w:type="spellEnd"/>
            <w:r w:rsidRPr="00414345">
              <w:rPr>
                <w:kern w:val="0"/>
                <w:sz w:val="24"/>
              </w:rPr>
              <w:t>005001</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2018年1月12日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1,443,281,161.81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评价，精选个股，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75%×沪深300指数收益率+25%×中证综合债券指数收益率。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中国工商银行股份有限公司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roofErr w:type="spellStart"/>
            <w:r w:rsidR="00D96C8D" w:rsidRPr="00414345">
              <w:rPr>
                <w:kern w:val="0"/>
                <w:sz w:val="24"/>
                <w:szCs w:val="24"/>
              </w:rPr>
              <w:t/>
            </w:r>
            <w:proofErr w:type="spellEnd"/>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w:t>
            </w:r>
            <w:proofErr w:type="spellStart"/>
            <w:r w:rsidRPr="00414345">
              <w:rPr>
                <w:color w:val="000000"/>
                <w:sz w:val="24"/>
                <w:szCs w:val="24"/>
              </w:rPr>
              <w:t/>
            </w:r>
            <w:proofErr w:type="spellEnd"/>
            <w:r w:rsidRPr="00414345">
              <w:rPr>
                <w:color w:val="000000"/>
                <w:sz w:val="24"/>
                <w:szCs w:val="24"/>
              </w:rPr>
              <w:t>2019年4月1日-</w:t>
            </w:r>
            <w:proofErr w:type="spellStart"/>
            <w:r w:rsidRPr="00414345">
              <w:rPr>
                <w:color w:val="000000"/>
                <w:sz w:val="24"/>
                <w:szCs w:val="24"/>
              </w:rPr>
              <w:t/>
            </w:r>
            <w:proofErr w:type="spellEnd"/>
            <w:r w:rsidRPr="00414345">
              <w:rPr>
                <w:color w:val="000000"/>
                <w:sz w:val="24"/>
                <w:szCs w:val="24"/>
              </w:rPr>
              <w:t>2019年6月30日)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roofErr w:type="spellStart"/>
            <w:r w:rsidR="006A7AF1" w:rsidRPr="00414345">
              <w:rPr>
                <w:color w:val="000000"/>
                <w:sz w:val="24"/>
                <w:szCs w:val="24"/>
              </w:rPr>
              <w:t/>
            </w:r>
            <w:proofErr w:type="spellEnd"/>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78,245,729.27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-102,816,938.66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-0.0661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1,759,153,445.54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1.2189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pPr>
        <w:autoSpaceDE w:val="0"/>
        <w:autoSpaceDN w:val="0"/>
        <w:adjustRightInd w:val="0"/>
        <w:spacing w:before="29" w:line="288" w:lineRule="auto"/>
        <w:jc w:val="left"/>
        <w:rPr>
          <w:color w:val="000000"/>
          <w:sz w:val="24"/>
          <w:szCs w:val="24"/>
        </w:rPr>
      </w:pPr>
      <w:r>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 xml:space="preserve">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roofErr w:type="spellStart"/>
            <w:r w:rsidR="00200FAB" w:rsidRPr="00414345">
              <w:rPr>
                <w:color w:val="000000"/>
                <w:sz w:val="24"/>
                <w:szCs w:val="24"/>
              </w:rPr>
              <w:t/>
            </w:r>
            <w:proofErr w:type="spellEnd"/>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-4.30%</w:t>
            </w:r>
          </w:p>
        </w:tc>
        <w:tc>
          <w:tcPr>
            <w:vAlign w:val="center"/>
          </w:tcPr>
          <w:p>
            <w:pPr>
              <w:jc w:val="center"/>
            </w:pPr>
            <w:r>
              <w:rPr>
                <w:color w:val="000000"/>
                <w:sz w:val="24"/>
                <w:szCs w:val="24"/>
              </w:rPr>
              <w:t>1.55%</w:t>
            </w:r>
          </w:p>
        </w:tc>
        <w:tc>
          <w:tcPr>
            <w:vAlign w:val="center"/>
          </w:tcPr>
          <w:p>
            <w:pPr>
              <w:jc w:val="center"/>
            </w:pPr>
            <w:r>
              <w:rPr>
                <w:color w:val="000000"/>
                <w:sz w:val="24"/>
                <w:szCs w:val="24"/>
              </w:rPr>
              <w:t>-0.61%</w:t>
            </w:r>
          </w:p>
        </w:tc>
        <w:tc>
          <w:tcPr>
            <w:vAlign w:val="center"/>
          </w:tcPr>
          <w:p>
            <w:pPr>
              <w:jc w:val="center"/>
            </w:pPr>
            <w:r>
              <w:rPr>
                <w:color w:val="000000"/>
                <w:sz w:val="24"/>
                <w:szCs w:val="24"/>
              </w:rPr>
              <w:t>1.14%</w:t>
            </w:r>
          </w:p>
        </w:tc>
        <w:tc>
          <w:tcPr>
            <w:vAlign w:val="center"/>
          </w:tcPr>
          <w:p>
            <w:pPr>
              <w:jc w:val="center"/>
            </w:pPr>
            <w:r>
              <w:rPr>
                <w:color w:val="000000"/>
                <w:sz w:val="24"/>
                <w:szCs w:val="24"/>
              </w:rPr>
              <w:t>-3.69%</w:t>
            </w:r>
          </w:p>
        </w:tc>
        <w:tc>
          <w:tcPr>
            <w:vAlign w:val="center"/>
          </w:tcPr>
          <w:p>
            <w:pPr>
              <w:jc w:val="center"/>
            </w:pPr>
            <w:r>
              <w:rPr>
                <w:color w:val="000000"/>
                <w:sz w:val="24"/>
                <w:szCs w:val="24"/>
              </w:rPr>
              <w:t>0.41%</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
      </w:r>
      <w:proofErr w:type="spellStart"/>
      <w:r w:rsidR="000824E7" w:rsidRPr="00F81917">
        <w:rPr>
          <w:rFonts w:hint="eastAsia"/>
          <w:b/>
          <w:bCs/>
          <w:color w:val="000000"/>
          <w:kern w:val="0"/>
          <w:sz w:val="24"/>
          <w:szCs w:val="24"/>
        </w:rPr>
        <w:t/>
      </w:r>
      <w:proofErr w:type="spellEnd"/>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交银施罗德持续成长主题混合型证券投资基金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
      </w:r>
      <w:proofErr w:type="spellStart"/>
      <w:r w:rsidR="0042009D" w:rsidRPr="00414345">
        <w:rPr>
          <w:rFonts w:ascii="Times New Roman" w:cs="Times New Roman" w:hAnsi="Times New Roman"/>
          <w:sz w:val="24"/>
          <w:szCs w:val="24"/>
        </w:rPr>
        <w:t/>
      </w:r>
      <w:proofErr w:type="spellEnd"/>
      <w:r w:rsidR="0042009D" w:rsidRPr="00414345">
        <w:rPr>
          <w:rFonts w:ascii="Times New Roman" w:cs="Times New Roman" w:hAnsi="Times New Roman"/>
          <w:sz w:val="24"/>
          <w:szCs w:val="24"/>
        </w:rPr>
        <w:t>2018年1月12日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
      </w:r>
      <w:proofErr w:type="spellStart"/>
      <w:r w:rsidR="00AE7962" w:rsidRPr="00414345">
        <w:rPr>
          <w:rFonts w:ascii="Times New Roman" w:cs="Times New Roman" w:hAnsi="Times New Roman"/>
          <w:sz w:val="24"/>
          <w:szCs w:val="24"/>
        </w:rPr>
        <w:t/>
      </w:r>
      <w:proofErr w:type="spellEnd"/>
      <w:r w:rsidR="00AE7962" w:rsidRPr="00414345">
        <w:rPr>
          <w:rFonts w:ascii="Times New Roman" w:cs="Times New Roman" w:hAnsi="Times New Roman"/>
          <w:sz w:val="24"/>
          <w:szCs w:val="24"/>
        </w:rPr>
        <w:t>2019年6月30日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r w:rsidR="008700EC"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注：本基金基金合同生效日为2018年1月12日，截至报告期期末，本基金已完成建仓但报告期期末距建仓结束未满一年。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何帅</w:t>
            </w:r>
          </w:p>
        </w:tc>
        <w:tc>
          <w:tcPr>
            <w:vAlign w:val="center"/>
          </w:tcPr>
          <w:p>
            <w:pPr>
              <w:jc w:val="center"/>
            </w:pPr>
            <w:r>
              <w:rPr>
                <w:color w:val="000000"/>
                <w:sz w:val="24"/>
                <w:szCs w:val="24"/>
              </w:rPr>
              <w:t>交银优势行业混合、交银阿尔法核心混合、交银持续成长主题混合的基金经理</w:t>
            </w:r>
          </w:p>
        </w:tc>
        <w:tc>
          <w:tcPr>
            <w:vAlign w:val="center"/>
          </w:tcPr>
          <w:p>
            <w:pPr>
              <w:jc w:val="center"/>
            </w:pPr>
            <w:r>
              <w:rPr>
                <w:color w:val="000000"/>
                <w:sz w:val="24"/>
                <w:szCs w:val="24"/>
              </w:rPr>
              <w:t>2018-01-12</w:t>
            </w:r>
          </w:p>
        </w:tc>
        <w:tc>
          <w:tcPr>
            <w:vAlign w:val="center"/>
          </w:tcPr>
          <w:p>
            <w:pPr>
              <w:jc w:val="center"/>
            </w:pPr>
            <w:r>
              <w:rPr>
                <w:color w:val="000000"/>
                <w:sz w:val="24"/>
                <w:szCs w:val="24"/>
              </w:rPr>
              <w:t>-</w:t>
            </w:r>
          </w:p>
        </w:tc>
        <w:tc>
          <w:tcPr>
            <w:vAlign w:val="center"/>
          </w:tcPr>
          <w:p>
            <w:pPr>
              <w:jc w:val="center"/>
            </w:pPr>
            <w:r>
              <w:rPr>
                <w:color w:val="000000"/>
                <w:sz w:val="24"/>
                <w:szCs w:val="24"/>
              </w:rPr>
              <w:t>9年</w:t>
            </w:r>
          </w:p>
        </w:tc>
        <w:tc>
          <w:tcPr>
            <w:vAlign w:val="center"/>
          </w:tcPr>
          <w:p>
            <w:pPr>
              <w:jc w:val="both"/>
            </w:pPr>
            <w:r>
              <w:rPr>
                <w:color w:val="000000"/>
                <w:sz w:val="24"/>
                <w:szCs w:val="24"/>
              </w:rPr>
              <w:t>何帅先生，上海财经大学硕士。历任国联安基金管理有限公司研究员。2012年加入交银施罗德基金管理有限公司，历任行业分析师。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proofErr w:type="gramEnd"/>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00957594" w:rsidRPr="00414345">
        <w:rPr>
          <w:color w:val="000000"/>
          <w:sz w:val="24"/>
          <w:szCs w:val="24"/>
        </w:rPr>
        <w:t/>
      </w:r>
      <w:proofErr w:type="spellEnd"/>
      <w:proofErr w:type="gramEnd"/>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2019年二季度A股市场风险偏好下降明显，上证指数下跌3.62%，创业板指数下跌10.75%。其中以食品饮料为代表的绩优白马等上涨明显。</w:t>
      </w:r>
    </w:p>
    <w:p>
      <w:pPr>
        <w:spacing w:before="29" w:line="288" w:lineRule="auto"/>
        <w:ind w:firstLine="480" w:firstLineChars="200"/>
        <w:rPr>
          <w:color w:val="000000"/>
          <w:sz w:val="24"/>
          <w:szCs w:val="24"/>
        </w:rPr>
      </w:pPr>
      <w:r>
        <w:rPr>
          <w:color w:val="000000"/>
          <w:sz w:val="24"/>
          <w:szCs w:val="24"/>
        </w:rPr>
        <w:t>本基金在二季度未跑赢业绩比较基准，主要原因是持仓结构偏向成长类，而“核心资产”等绩优白马配置较少。</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站在目前的时点上，经历了年初以来市场较大幅度的上涨及二季度的回调，市场中不同行业或者标的的市场关注度及隐含回报率发生了较大分化。对于宏观经济基本面预期，短期数据表现不错，但是很难说中国经济的隐忧已经完全解除，后续几个季度还需要继续观察。预计在整体指数相对平稳的状态下，持续成长型公司可能将陆续涌现，或许是挑战选股能力的阶段，可以更多地去寻找变化，寻找能够展现新的积极前景的公司。我们希望通过深度研究，享受公司价值的可持续成长，并希望以此能够持续为持有人获得超额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proofErr w:type="spellStart"/>
      <w:r w:rsidRPr="009C1009">
        <w:rPr>
          <w:rFonts w:hint="eastAsia"/>
          <w:color w:val="000000"/>
          <w:kern w:val="0"/>
        </w:rPr>
        <w:t/>
      </w:r>
      <w:proofErr w:type="spellEnd"/>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hint="eastAsia"/>
                <w:color w:themeColor="text1" w:val="000000"/>
                <w:sz w:val="24"/>
                <w:szCs w:val="24"/>
              </w:rPr>
            </w:pPr>
            <w:r w:rsidRPr="007B5F21">
              <w:rPr>
                <w:rFonts w:eastAsiaTheme="minorEastAsia"/>
                <w:color w:themeColor="text1" w:val="000000"/>
                <w:sz w:val="24"/>
                <w:szCs w:val="24"/>
              </w:rPr>
              <w:t>占基金总资产的比例</w:t>
            </w:r>
            <w:r w:rsidR="00CE39AB">
              <w:rPr>
                <w:rFonts w:eastAsiaTheme="minorEastAsia" w:hint="eastAsia"/>
                <w:color w:themeColor="text1" w:val="000000"/>
                <w:sz w:val="24"/>
                <w:szCs w:val="24"/>
              </w:rPr>
              <w:t>（</w:t>
            </w:r>
            <w:r w:rsidR="00CE39AB">
              <w:rPr>
                <w:rFonts w:eastAsiaTheme="minorEastAsia" w:hint="eastAsia"/>
                <w:color w:themeColor="text1" w:val="000000"/>
                <w:sz w:val="24"/>
                <w:szCs w:val="24"/>
              </w:rPr>
              <w:t>%</w:t>
            </w:r>
            <w:bookmarkStart w:id="2" w:name="_GoBack"/>
            <w:bookmarkEnd w:id="2"/>
            <w:r w:rsidR="00CE39A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1,437,622,628.64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80.81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1,437,622,628.64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80.81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29,847,000.00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29,847,000.00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w:t>
            </w:r>
            <w:proofErr w:type="gramStart"/>
            <w:r w:rsidRPr="007B5F21">
              <w:rPr>
                <w:rFonts w:eastAsiaTheme="minorEastAsia"/>
                <w:color w:themeColor="text1" w:val="000000"/>
                <w:sz w:val="24"/>
                <w:szCs w:val="24"/>
              </w:rPr>
              <w:t>品投资</w:t>
            </w:r>
            <w:proofErr w:type="gramEnd"/>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299,573,388.80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16.84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12,032,209.12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0.68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1,779,075,226.56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proofErr w:type="spellStart"/>
      <w:r w:rsidRPr="004A3846">
        <w:rPr>
          <w:b/>
          <w:color w:themeColor="text1" w:val="000000"/>
          <w:sz w:val="24"/>
        </w:rPr>
        <w:t/>
      </w:r>
      <w:proofErr w:type="spellEnd"/>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proofErr w:type="spellStart"/>
      <w:r w:rsidRPr="009C1009">
        <w:rPr>
          <w:rFonts w:eastAsiaTheme="minorEastAsia" w:hint="eastAsia"/>
          <w:color w:themeColor="text1" w:val="000000"/>
          <w:kern w:val="0"/>
          <w:sz w:val="24"/>
        </w:rPr>
        <w:t/>
      </w:r>
      <w:proofErr w:type="spellEnd"/>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roofErr w:type="spellStart"/>
            <w:r w:rsidR="005E475E" w:rsidRPr="00414345">
              <w:rPr>
                <w:sz w:val="24"/>
                <w:szCs w:val="24"/>
              </w:rPr>
              <w:t/>
            </w:r>
            <w:proofErr w:type="spellEnd"/>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363,431.25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262,729,047.63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14.93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73,039,946.13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4.15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r w:rsidRPr="00414345">
              <w:rPr>
                <w:sz w:val="24"/>
                <w:szCs w:val="24"/>
              </w:rPr>
              <w:lastRenderedPageBreak/>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proofErr w:type="spellStart"/>
            <w:r w:rsidRPr="00414345">
              <w:rPr>
                <w:sz w:val="24"/>
                <w:szCs w:val="24"/>
              </w:rPr>
              <w:t/>
            </w:r>
            <w:r w:rsidRPr="00414345">
              <w:rPr>
                <w:sz w:val="24"/>
                <w:szCs w:val="24"/>
              </w:rPr>
              <w:lastRenderedPageBreak/>
              <w:t/>
            </w:r>
            <w:proofErr w:type="spellEnd"/>
            <w:r w:rsidRPr="00414345">
              <w:rPr>
                <w:sz w:val="24"/>
                <w:szCs w:val="24"/>
              </w:rPr>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828,431,535.13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47.09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33,869.94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55,957,515.68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3.18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85,869,957.60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4.88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11,518,275.00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0.65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119,655,943.68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6.80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23,106.60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1,437,622,628.64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81.72</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proofErr w:type="spellStart"/>
      <w:r w:rsidRPr="008A409E">
        <w:rPr>
          <w:rFonts w:asciiTheme="minorEastAsia" w:eastAsiaTheme="minorEastAsia" w:hAnsiTheme="minorEastAsia"/>
          <w:b/>
          <w:bCs/>
          <w:color w:themeColor="text1" w:val="000000"/>
          <w:kern w:val="0"/>
          <w:sz w:val="24"/>
        </w:rPr>
        <w:t/>
      </w:r>
      <w:proofErr w:type="spellEnd"/>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
      </w:r>
      <w:proofErr w:type="spellStart"/>
      <w:r w:rsidRPr="00FF0BBF">
        <w:rPr>
          <w:color w:val="000000"/>
          <w:sz w:val="24"/>
        </w:rPr>
        <w:t/>
      </w:r>
      <w:proofErr w:type="spellEnd"/>
      <w:r w:rsidRPr="00FF0BBF">
        <w:rPr>
          <w:color w:val="000000"/>
          <w:sz w:val="24"/>
        </w:rPr>
        <w:t/>
      </w:r>
      <w:proofErr w:type="spellStart"/>
      <w:proofErr w:type="gramStart"/>
      <w:r w:rsidRPr="00FF0BBF">
        <w:rPr>
          <w:color w:val="000000"/>
          <w:sz w:val="24"/>
        </w:rPr>
        <w:t/>
      </w:r>
      <w:proofErr w:type="spellEnd"/>
      <w:proofErr w:type="gramEnd"/>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9,307,381</w:t>
            </w:r>
          </w:p>
        </w:tc>
        <w:tc>
          <w:tcPr>
            <w:vAlign w:val="center"/>
          </w:tcPr>
          <w:p>
            <w:pPr>
              <w:jc w:val="right"/>
            </w:pPr>
            <w:r>
              <w:rPr>
                <w:color w:val="000000"/>
                <w:sz w:val="24"/>
                <w:szCs w:val="24"/>
              </w:rPr>
              <w:t>165,950,603.23</w:t>
            </w:r>
          </w:p>
        </w:tc>
        <w:tc>
          <w:tcPr>
            <w:vAlign w:val="center"/>
          </w:tcPr>
          <w:p>
            <w:pPr>
              <w:jc w:val="right"/>
            </w:pPr>
            <w:r>
              <w:rPr>
                <w:color w:val="000000"/>
                <w:sz w:val="24"/>
                <w:szCs w:val="24"/>
              </w:rPr>
              <w:t>9.43</w:t>
            </w:r>
          </w:p>
        </w:tc>
      </w:tr>
      <w:tr>
        <w:tc>
          <w:tcPr>
            <w:vAlign w:val="center"/>
          </w:tcPr>
          <w:p>
            <w:pPr>
              <w:jc w:val="center"/>
            </w:pPr>
            <w:r>
              <w:rPr>
                <w:color w:val="000000"/>
                <w:sz w:val="24"/>
                <w:szCs w:val="24"/>
              </w:rPr>
              <w:t>2</w:t>
            </w:r>
          </w:p>
        </w:tc>
        <w:tc>
          <w:tcPr>
            <w:vAlign w:val="center"/>
          </w:tcPr>
          <w:p>
            <w:pPr>
              <w:jc w:val="center"/>
            </w:pPr>
            <w:r>
              <w:rPr>
                <w:color w:val="000000"/>
                <w:sz w:val="24"/>
                <w:szCs w:val="24"/>
              </w:rPr>
              <w:t>300365</w:t>
            </w:r>
          </w:p>
        </w:tc>
        <w:tc>
          <w:tcPr>
            <w:vAlign w:val="center"/>
          </w:tcPr>
          <w:p>
            <w:pPr>
              <w:jc w:val="center"/>
            </w:pPr>
            <w:r>
              <w:rPr>
                <w:color w:val="000000"/>
                <w:sz w:val="24"/>
                <w:szCs w:val="24"/>
              </w:rPr>
              <w:t>恒华科技</w:t>
            </w:r>
          </w:p>
        </w:tc>
        <w:tc>
          <w:tcPr>
            <w:vAlign w:val="center"/>
          </w:tcPr>
          <w:p>
            <w:pPr>
              <w:jc w:val="right"/>
            </w:pPr>
            <w:r>
              <w:rPr>
                <w:color w:val="000000"/>
                <w:sz w:val="24"/>
                <w:szCs w:val="24"/>
              </w:rPr>
              <w:t>7,672,082</w:t>
            </w:r>
          </w:p>
        </w:tc>
        <w:tc>
          <w:tcPr>
            <w:vAlign w:val="center"/>
          </w:tcPr>
          <w:p>
            <w:pPr>
              <w:jc w:val="right"/>
            </w:pPr>
            <w:r>
              <w:rPr>
                <w:color w:val="000000"/>
                <w:sz w:val="24"/>
                <w:szCs w:val="24"/>
              </w:rPr>
              <w:t>124,364,449.22</w:t>
            </w:r>
          </w:p>
        </w:tc>
        <w:tc>
          <w:tcPr>
            <w:vAlign w:val="center"/>
          </w:tcPr>
          <w:p>
            <w:pPr>
              <w:jc w:val="right"/>
            </w:pPr>
            <w:r>
              <w:rPr>
                <w:color w:val="000000"/>
                <w:sz w:val="24"/>
                <w:szCs w:val="24"/>
              </w:rPr>
              <w:t>7.07</w:t>
            </w:r>
          </w:p>
        </w:tc>
      </w:tr>
      <w:tr>
        <w:tc>
          <w:tcPr>
            <w:vAlign w:val="center"/>
          </w:tcPr>
          <w:p>
            <w:pPr>
              <w:jc w:val="center"/>
            </w:pPr>
            <w:r>
              <w:rPr>
                <w:color w:val="000000"/>
                <w:sz w:val="24"/>
                <w:szCs w:val="24"/>
              </w:rPr>
              <w:t>3</w:t>
            </w:r>
          </w:p>
        </w:tc>
        <w:tc>
          <w:tcPr>
            <w:vAlign w:val="center"/>
          </w:tcPr>
          <w:p>
            <w:pPr>
              <w:jc w:val="center"/>
            </w:pPr>
            <w:r>
              <w:rPr>
                <w:color w:val="000000"/>
                <w:sz w:val="24"/>
                <w:szCs w:val="24"/>
              </w:rPr>
              <w:t>300078</w:t>
            </w:r>
          </w:p>
        </w:tc>
        <w:tc>
          <w:tcPr>
            <w:vAlign w:val="center"/>
          </w:tcPr>
          <w:p>
            <w:pPr>
              <w:jc w:val="center"/>
            </w:pPr>
            <w:r>
              <w:rPr>
                <w:color w:val="000000"/>
                <w:sz w:val="24"/>
                <w:szCs w:val="24"/>
              </w:rPr>
              <w:t>思创医惠</w:t>
            </w:r>
          </w:p>
        </w:tc>
        <w:tc>
          <w:tcPr>
            <w:vAlign w:val="center"/>
          </w:tcPr>
          <w:p>
            <w:pPr>
              <w:jc w:val="right"/>
            </w:pPr>
            <w:r>
              <w:rPr>
                <w:color w:val="000000"/>
                <w:sz w:val="24"/>
                <w:szCs w:val="24"/>
              </w:rPr>
              <w:t>10,189,313</w:t>
            </w:r>
          </w:p>
        </w:tc>
        <w:tc>
          <w:tcPr>
            <w:vAlign w:val="center"/>
          </w:tcPr>
          <w:p>
            <w:pPr>
              <w:jc w:val="right"/>
            </w:pPr>
            <w:r>
              <w:rPr>
                <w:color w:val="000000"/>
                <w:sz w:val="24"/>
                <w:szCs w:val="24"/>
              </w:rPr>
              <w:t>104,032,885.73</w:t>
            </w:r>
          </w:p>
        </w:tc>
        <w:tc>
          <w:tcPr>
            <w:vAlign w:val="center"/>
          </w:tcPr>
          <w:p>
            <w:pPr>
              <w:jc w:val="right"/>
            </w:pPr>
            <w:r>
              <w:rPr>
                <w:color w:val="000000"/>
                <w:sz w:val="24"/>
                <w:szCs w:val="24"/>
              </w:rPr>
              <w:t>5.91</w:t>
            </w:r>
          </w:p>
        </w:tc>
      </w:tr>
      <w:tr>
        <w:tc>
          <w:tcPr>
            <w:vAlign w:val="center"/>
          </w:tcPr>
          <w:p>
            <w:pPr>
              <w:jc w:val="center"/>
            </w:pPr>
            <w:r>
              <w:rPr>
                <w:color w:val="000000"/>
                <w:sz w:val="24"/>
                <w:szCs w:val="24"/>
              </w:rPr>
              <w:t>4</w:t>
            </w:r>
          </w:p>
        </w:tc>
        <w:tc>
          <w:tcPr>
            <w:vAlign w:val="center"/>
          </w:tcPr>
          <w:p>
            <w:pPr>
              <w:jc w:val="center"/>
            </w:pPr>
            <w:r>
              <w:rPr>
                <w:color w:val="000000"/>
                <w:sz w:val="24"/>
                <w:szCs w:val="24"/>
              </w:rPr>
              <w:t>002044</w:t>
            </w:r>
          </w:p>
        </w:tc>
        <w:tc>
          <w:tcPr>
            <w:vAlign w:val="center"/>
          </w:tcPr>
          <w:p>
            <w:pPr>
              <w:jc w:val="center"/>
            </w:pPr>
            <w:r>
              <w:rPr>
                <w:color w:val="000000"/>
                <w:sz w:val="24"/>
                <w:szCs w:val="24"/>
              </w:rPr>
              <w:t>美年健康</w:t>
            </w:r>
          </w:p>
        </w:tc>
        <w:tc>
          <w:tcPr>
            <w:vAlign w:val="center"/>
          </w:tcPr>
          <w:p>
            <w:pPr>
              <w:jc w:val="right"/>
            </w:pPr>
            <w:r>
              <w:rPr>
                <w:color w:val="000000"/>
                <w:sz w:val="24"/>
                <w:szCs w:val="24"/>
              </w:rPr>
              <w:t>7,869,098</w:t>
            </w:r>
          </w:p>
        </w:tc>
        <w:tc>
          <w:tcPr>
            <w:vAlign w:val="center"/>
          </w:tcPr>
          <w:p>
            <w:pPr>
              <w:jc w:val="right"/>
            </w:pPr>
            <w:r>
              <w:rPr>
                <w:color w:val="000000"/>
                <w:sz w:val="24"/>
                <w:szCs w:val="24"/>
              </w:rPr>
              <w:t>97,527,579.12</w:t>
            </w:r>
          </w:p>
        </w:tc>
        <w:tc>
          <w:tcPr>
            <w:vAlign w:val="center"/>
          </w:tcPr>
          <w:p>
            <w:pPr>
              <w:jc w:val="right"/>
            </w:pPr>
            <w:r>
              <w:rPr>
                <w:color w:val="000000"/>
                <w:sz w:val="24"/>
                <w:szCs w:val="24"/>
              </w:rPr>
              <w:t>5.54</w:t>
            </w:r>
          </w:p>
        </w:tc>
      </w:tr>
      <w:tr>
        <w:tc>
          <w:tcPr>
            <w:vAlign w:val="center"/>
          </w:tcPr>
          <w:p>
            <w:pPr>
              <w:jc w:val="center"/>
            </w:pPr>
            <w:r>
              <w:rPr>
                <w:color w:val="000000"/>
                <w:sz w:val="24"/>
                <w:szCs w:val="24"/>
              </w:rPr>
              <w:t>5</w:t>
            </w:r>
          </w:p>
        </w:tc>
        <w:tc>
          <w:tcPr>
            <w:vAlign w:val="center"/>
          </w:tcPr>
          <w:p>
            <w:pPr>
              <w:jc w:val="center"/>
            </w:pPr>
            <w:r>
              <w:rPr>
                <w:color w:val="000000"/>
                <w:sz w:val="24"/>
                <w:szCs w:val="24"/>
              </w:rPr>
              <w:t>300012</w:t>
            </w:r>
          </w:p>
        </w:tc>
        <w:tc>
          <w:tcPr>
            <w:vAlign w:val="center"/>
          </w:tcPr>
          <w:p>
            <w:pPr>
              <w:jc w:val="center"/>
            </w:pPr>
            <w:r>
              <w:rPr>
                <w:color w:val="000000"/>
                <w:sz w:val="24"/>
                <w:szCs w:val="24"/>
              </w:rPr>
              <w:t>华测检测</w:t>
            </w:r>
          </w:p>
        </w:tc>
        <w:tc>
          <w:tcPr>
            <w:vAlign w:val="center"/>
          </w:tcPr>
          <w:p>
            <w:pPr>
              <w:jc w:val="right"/>
            </w:pPr>
            <w:r>
              <w:rPr>
                <w:color w:val="000000"/>
                <w:sz w:val="24"/>
                <w:szCs w:val="24"/>
              </w:rPr>
              <w:t>7,950,922</w:t>
            </w:r>
          </w:p>
        </w:tc>
        <w:tc>
          <w:tcPr>
            <w:vAlign w:val="center"/>
          </w:tcPr>
          <w:p>
            <w:pPr>
              <w:jc w:val="right"/>
            </w:pPr>
            <w:r>
              <w:rPr>
                <w:color w:val="000000"/>
                <w:sz w:val="24"/>
                <w:szCs w:val="24"/>
              </w:rPr>
              <w:t>85,869,957.60</w:t>
            </w:r>
          </w:p>
        </w:tc>
        <w:tc>
          <w:tcPr>
            <w:vAlign w:val="center"/>
          </w:tcPr>
          <w:p>
            <w:pPr>
              <w:jc w:val="right"/>
            </w:pPr>
            <w:r>
              <w:rPr>
                <w:color w:val="000000"/>
                <w:sz w:val="24"/>
                <w:szCs w:val="24"/>
              </w:rPr>
              <w:t>4.88</w:t>
            </w:r>
          </w:p>
        </w:tc>
      </w:tr>
      <w:tr>
        <w:tc>
          <w:tcPr>
            <w:vAlign w:val="center"/>
          </w:tcPr>
          <w:p>
            <w:pPr>
              <w:jc w:val="center"/>
            </w:pPr>
            <w:r>
              <w:rPr>
                <w:color w:val="000000"/>
                <w:sz w:val="24"/>
                <w:szCs w:val="24"/>
              </w:rPr>
              <w:t>6</w:t>
            </w:r>
          </w:p>
        </w:tc>
        <w:tc>
          <w:tcPr>
            <w:vAlign w:val="center"/>
          </w:tcPr>
          <w:p>
            <w:pPr>
              <w:jc w:val="center"/>
            </w:pPr>
            <w:r>
              <w:rPr>
                <w:color w:val="000000"/>
                <w:sz w:val="24"/>
                <w:szCs w:val="24"/>
              </w:rPr>
              <w:t>603039</w:t>
            </w:r>
          </w:p>
        </w:tc>
        <w:tc>
          <w:tcPr>
            <w:vAlign w:val="center"/>
          </w:tcPr>
          <w:p>
            <w:pPr>
              <w:jc w:val="center"/>
            </w:pPr>
            <w:r>
              <w:rPr>
                <w:color w:val="000000"/>
                <w:sz w:val="24"/>
                <w:szCs w:val="24"/>
              </w:rPr>
              <w:t>泛微网络</w:t>
            </w:r>
          </w:p>
        </w:tc>
        <w:tc>
          <w:tcPr>
            <w:vAlign w:val="center"/>
          </w:tcPr>
          <w:p>
            <w:pPr>
              <w:jc w:val="right"/>
            </w:pPr>
            <w:r>
              <w:rPr>
                <w:color w:val="000000"/>
                <w:sz w:val="24"/>
                <w:szCs w:val="24"/>
              </w:rPr>
              <w:t>1,007,557</w:t>
            </w:r>
          </w:p>
        </w:tc>
        <w:tc>
          <w:tcPr>
            <w:vAlign w:val="center"/>
          </w:tcPr>
          <w:p>
            <w:pPr>
              <w:jc w:val="right"/>
            </w:pPr>
            <w:r>
              <w:rPr>
                <w:color w:val="000000"/>
                <w:sz w:val="24"/>
                <w:szCs w:val="24"/>
              </w:rPr>
              <w:t>74,760,729.40</w:t>
            </w:r>
          </w:p>
        </w:tc>
        <w:tc>
          <w:tcPr>
            <w:vAlign w:val="center"/>
          </w:tcPr>
          <w:p>
            <w:pPr>
              <w:jc w:val="right"/>
            </w:pPr>
            <w:r>
              <w:rPr>
                <w:color w:val="000000"/>
                <w:sz w:val="24"/>
                <w:szCs w:val="24"/>
              </w:rPr>
              <w:t>4.25</w:t>
            </w:r>
          </w:p>
        </w:tc>
      </w:tr>
      <w:tr>
        <w:tc>
          <w:tcPr>
            <w:vAlign w:val="center"/>
          </w:tcPr>
          <w:p>
            <w:pPr>
              <w:jc w:val="center"/>
            </w:pPr>
            <w:r>
              <w:rPr>
                <w:color w:val="000000"/>
                <w:sz w:val="24"/>
                <w:szCs w:val="24"/>
              </w:rPr>
              <w:t>7</w:t>
            </w:r>
          </w:p>
        </w:tc>
        <w:tc>
          <w:tcPr>
            <w:vAlign w:val="center"/>
          </w:tcPr>
          <w:p>
            <w:pPr>
              <w:jc w:val="center"/>
            </w:pPr>
            <w:r>
              <w:rPr>
                <w:color w:val="000000"/>
                <w:sz w:val="24"/>
                <w:szCs w:val="24"/>
              </w:rPr>
              <w:t>300271</w:t>
            </w:r>
          </w:p>
        </w:tc>
        <w:tc>
          <w:tcPr>
            <w:vAlign w:val="center"/>
          </w:tcPr>
          <w:p>
            <w:pPr>
              <w:jc w:val="center"/>
            </w:pPr>
            <w:r>
              <w:rPr>
                <w:color w:val="000000"/>
                <w:sz w:val="24"/>
                <w:szCs w:val="24"/>
              </w:rPr>
              <w:t>华宇软件</w:t>
            </w:r>
          </w:p>
        </w:tc>
        <w:tc>
          <w:tcPr>
            <w:vAlign w:val="center"/>
          </w:tcPr>
          <w:p>
            <w:pPr>
              <w:jc w:val="right"/>
            </w:pPr>
            <w:r>
              <w:rPr>
                <w:color w:val="000000"/>
                <w:sz w:val="24"/>
                <w:szCs w:val="24"/>
              </w:rPr>
              <w:t>3,487,898</w:t>
            </w:r>
          </w:p>
        </w:tc>
        <w:tc>
          <w:tcPr>
            <w:vAlign w:val="center"/>
          </w:tcPr>
          <w:p>
            <w:pPr>
              <w:jc w:val="right"/>
            </w:pPr>
            <w:r>
              <w:rPr>
                <w:color w:val="000000"/>
                <w:sz w:val="24"/>
                <w:szCs w:val="24"/>
              </w:rPr>
              <w:t>66,270,062.00</w:t>
            </w:r>
          </w:p>
        </w:tc>
        <w:tc>
          <w:tcPr>
            <w:vAlign w:val="center"/>
          </w:tcPr>
          <w:p>
            <w:pPr>
              <w:jc w:val="right"/>
            </w:pPr>
            <w:r>
              <w:rPr>
                <w:color w:val="000000"/>
                <w:sz w:val="24"/>
                <w:szCs w:val="24"/>
              </w:rPr>
              <w:t>3.77</w:t>
            </w:r>
          </w:p>
        </w:tc>
      </w:tr>
      <w:tr>
        <w:tc>
          <w:tcPr>
            <w:vAlign w:val="center"/>
          </w:tcPr>
          <w:p>
            <w:pPr>
              <w:jc w:val="center"/>
            </w:pPr>
            <w:r>
              <w:rPr>
                <w:color w:val="000000"/>
                <w:sz w:val="24"/>
                <w:szCs w:val="24"/>
              </w:rPr>
              <w:t>8</w:t>
            </w:r>
          </w:p>
        </w:tc>
        <w:tc>
          <w:tcPr>
            <w:vAlign w:val="center"/>
          </w:tcPr>
          <w:p>
            <w:pPr>
              <w:jc w:val="center"/>
            </w:pPr>
            <w:r>
              <w:rPr>
                <w:color w:val="000000"/>
                <w:sz w:val="24"/>
                <w:szCs w:val="24"/>
              </w:rPr>
              <w:t>300609</w:t>
            </w:r>
          </w:p>
        </w:tc>
        <w:tc>
          <w:tcPr>
            <w:vAlign w:val="center"/>
          </w:tcPr>
          <w:p>
            <w:pPr>
              <w:jc w:val="center"/>
            </w:pPr>
            <w:r>
              <w:rPr>
                <w:color w:val="000000"/>
                <w:sz w:val="24"/>
                <w:szCs w:val="24"/>
              </w:rPr>
              <w:t>汇纳科技</w:t>
            </w:r>
          </w:p>
        </w:tc>
        <w:tc>
          <w:tcPr>
            <w:vAlign w:val="center"/>
          </w:tcPr>
          <w:p>
            <w:pPr>
              <w:jc w:val="right"/>
            </w:pPr>
            <w:r>
              <w:rPr>
                <w:color w:val="000000"/>
                <w:sz w:val="24"/>
                <w:szCs w:val="24"/>
              </w:rPr>
              <w:t>1,761,299</w:t>
            </w:r>
          </w:p>
        </w:tc>
        <w:tc>
          <w:tcPr>
            <w:vAlign w:val="center"/>
          </w:tcPr>
          <w:p>
            <w:pPr>
              <w:jc w:val="right"/>
            </w:pPr>
            <w:r>
              <w:rPr>
                <w:color w:val="000000"/>
                <w:sz w:val="24"/>
                <w:szCs w:val="24"/>
              </w:rPr>
              <w:t>61,751,142.94</w:t>
            </w:r>
          </w:p>
        </w:tc>
        <w:tc>
          <w:tcPr>
            <w:vAlign w:val="center"/>
          </w:tcPr>
          <w:p>
            <w:pPr>
              <w:jc w:val="right"/>
            </w:pPr>
            <w:r>
              <w:rPr>
                <w:color w:val="000000"/>
                <w:sz w:val="24"/>
                <w:szCs w:val="24"/>
              </w:rPr>
              <w:t>3.51</w:t>
            </w:r>
          </w:p>
        </w:tc>
      </w:tr>
      <w:tr>
        <w:tc>
          <w:tcPr>
            <w:vAlign w:val="center"/>
          </w:tcPr>
          <w:p>
            <w:pPr>
              <w:jc w:val="center"/>
            </w:pPr>
            <w:r>
              <w:rPr>
                <w:color w:val="000000"/>
                <w:sz w:val="24"/>
                <w:szCs w:val="24"/>
              </w:rPr>
              <w:t>9</w:t>
            </w:r>
          </w:p>
        </w:tc>
        <w:tc>
          <w:tcPr>
            <w:vAlign w:val="center"/>
          </w:tcPr>
          <w:p>
            <w:pPr>
              <w:jc w:val="center"/>
            </w:pPr>
            <w:r>
              <w:rPr>
                <w:color w:val="000000"/>
                <w:sz w:val="24"/>
                <w:szCs w:val="24"/>
              </w:rPr>
              <w:t>002410</w:t>
            </w:r>
          </w:p>
        </w:tc>
        <w:tc>
          <w:tcPr>
            <w:vAlign w:val="center"/>
          </w:tcPr>
          <w:p>
            <w:pPr>
              <w:jc w:val="center"/>
            </w:pPr>
            <w:r>
              <w:rPr>
                <w:color w:val="000000"/>
                <w:sz w:val="24"/>
                <w:szCs w:val="24"/>
              </w:rPr>
              <w:t>广联达</w:t>
            </w:r>
          </w:p>
        </w:tc>
        <w:tc>
          <w:tcPr>
            <w:vAlign w:val="center"/>
          </w:tcPr>
          <w:p>
            <w:pPr>
              <w:jc w:val="right"/>
            </w:pPr>
            <w:r>
              <w:rPr>
                <w:color w:val="000000"/>
                <w:sz w:val="24"/>
                <w:szCs w:val="24"/>
              </w:rPr>
              <w:t>1,782,893</w:t>
            </w:r>
          </w:p>
        </w:tc>
        <w:tc>
          <w:tcPr>
            <w:vAlign w:val="center"/>
          </w:tcPr>
          <w:p>
            <w:pPr>
              <w:jc w:val="right"/>
            </w:pPr>
            <w:r>
              <w:rPr>
                <w:color w:val="000000"/>
                <w:sz w:val="24"/>
                <w:szCs w:val="24"/>
              </w:rPr>
              <w:t>58,639,350.77</w:t>
            </w:r>
          </w:p>
        </w:tc>
        <w:tc>
          <w:tcPr>
            <w:vAlign w:val="center"/>
          </w:tcPr>
          <w:p>
            <w:pPr>
              <w:jc w:val="right"/>
            </w:pPr>
            <w:r>
              <w:rPr>
                <w:color w:val="000000"/>
                <w:sz w:val="24"/>
                <w:szCs w:val="24"/>
              </w:rPr>
              <w:t>3.33</w:t>
            </w:r>
          </w:p>
        </w:tc>
      </w:tr>
      <w:tr>
        <w:tc>
          <w:tcPr>
            <w:vAlign w:val="center"/>
          </w:tcPr>
          <w:p>
            <w:pPr>
              <w:jc w:val="center"/>
            </w:pPr>
            <w:r>
              <w:rPr>
                <w:color w:val="000000"/>
                <w:sz w:val="24"/>
                <w:szCs w:val="24"/>
              </w:rPr>
              <w:t>10</w:t>
            </w:r>
          </w:p>
        </w:tc>
        <w:tc>
          <w:tcPr>
            <w:vAlign w:val="center"/>
          </w:tcPr>
          <w:p>
            <w:pPr>
              <w:jc w:val="center"/>
            </w:pPr>
            <w:r>
              <w:rPr>
                <w:color w:val="000000"/>
                <w:sz w:val="24"/>
                <w:szCs w:val="24"/>
              </w:rPr>
              <w:t>603232</w:t>
            </w:r>
          </w:p>
        </w:tc>
        <w:tc>
          <w:tcPr>
            <w:vAlign w:val="center"/>
          </w:tcPr>
          <w:p>
            <w:pPr>
              <w:jc w:val="center"/>
            </w:pPr>
            <w:r>
              <w:rPr>
                <w:color w:val="000000"/>
                <w:sz w:val="24"/>
                <w:szCs w:val="24"/>
              </w:rPr>
              <w:t>格尔软件</w:t>
            </w:r>
          </w:p>
        </w:tc>
        <w:tc>
          <w:tcPr>
            <w:vAlign w:val="center"/>
          </w:tcPr>
          <w:p>
            <w:pPr>
              <w:jc w:val="right"/>
            </w:pPr>
            <w:r>
              <w:rPr>
                <w:color w:val="000000"/>
                <w:sz w:val="24"/>
                <w:szCs w:val="24"/>
              </w:rPr>
              <w:t>1,995,705</w:t>
            </w:r>
          </w:p>
        </w:tc>
        <w:tc>
          <w:tcPr>
            <w:vAlign w:val="center"/>
          </w:tcPr>
          <w:p>
            <w:pPr>
              <w:jc w:val="right"/>
            </w:pPr>
            <w:r>
              <w:rPr>
                <w:color w:val="000000"/>
                <w:sz w:val="24"/>
                <w:szCs w:val="24"/>
              </w:rPr>
              <w:t>54,841,973.40</w:t>
            </w:r>
          </w:p>
        </w:tc>
        <w:tc>
          <w:tcPr>
            <w:vAlign w:val="center"/>
          </w:tcPr>
          <w:p>
            <w:pPr>
              <w:jc w:val="right"/>
            </w:pPr>
            <w:r>
              <w:rPr>
                <w:color w:val="000000"/>
                <w:sz w:val="24"/>
                <w:szCs w:val="24"/>
              </w:rPr>
              <w:t>3.12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proofErr w:type="spellStart"/>
      <w:r w:rsidRPr="009C1009">
        <w:rPr>
          <w:rFonts w:hint="eastAsia"/>
          <w:bCs/>
          <w:color w:val="000000"/>
          <w:kern w:val="0"/>
          <w:sz w:val="24"/>
          <w:szCs w:val="24"/>
        </w:rPr>
        <w:t/>
      </w:r>
      <w:proofErr w:type="spellEnd"/>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roofErr w:type="spellStart"/>
            <w:r w:rsidR="00F71057" w:rsidRPr="00414345">
              <w:rPr>
                <w:color w:val="000000"/>
                <w:sz w:val="24"/>
                <w:szCs w:val="24"/>
              </w:rPr>
              <w:t/>
            </w:r>
            <w:proofErr w:type="spellEnd"/>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29,847,000.00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1.70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proofErr w:type="spellStart"/>
            <w:r w:rsidRPr="007A70C2">
              <w:rPr>
                <w:color w:val="000000"/>
                <w:sz w:val="24"/>
                <w:szCs w:val="24"/>
              </w:rPr>
              <w:t/>
            </w:r>
            <w:proofErr w:type="spellEnd"/>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proofErr w:type="spellStart"/>
            <w:r w:rsidRPr="007A70C2">
              <w:rPr>
                <w:color w:val="000000"/>
                <w:sz w:val="24"/>
                <w:szCs w:val="24"/>
              </w:rPr>
              <w:t/>
            </w:r>
            <w:proofErr w:type="spellEnd"/>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29,847,000.00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1.70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proofErr w:type="spellStart"/>
      <w:r w:rsidRPr="009C1009">
        <w:rPr>
          <w:rFonts w:hint="eastAsia"/>
          <w:bCs/>
          <w:color w:val="000000"/>
          <w:kern w:val="0"/>
          <w:sz w:val="24"/>
          <w:szCs w:val="24"/>
        </w:rPr>
        <w:t/>
      </w:r>
      <w:proofErr w:type="spellEnd"/>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199914</w:t>
            </w:r>
          </w:p>
        </w:tc>
        <w:tc>
          <w:tcPr>
            <w:vAlign w:val="center"/>
          </w:tcPr>
          <w:p>
            <w:pPr>
              <w:jc w:val="center"/>
            </w:pPr>
            <w:r>
              <w:rPr>
                <w:color w:val="000000"/>
                <w:sz w:val="24"/>
                <w:szCs w:val="24"/>
              </w:rPr>
              <w:t>19贴现国债14</w:t>
            </w:r>
          </w:p>
        </w:tc>
        <w:tc>
          <w:tcPr>
            <w:vAlign w:val="center"/>
          </w:tcPr>
          <w:p>
            <w:pPr>
              <w:jc w:val="right"/>
            </w:pPr>
            <w:r>
              <w:rPr>
                <w:color w:val="000000"/>
                <w:sz w:val="24"/>
                <w:szCs w:val="24"/>
              </w:rPr>
              <w:t>300,000</w:t>
            </w:r>
          </w:p>
        </w:tc>
        <w:tc>
          <w:tcPr>
            <w:vAlign w:val="center"/>
          </w:tcPr>
          <w:p>
            <w:pPr>
              <w:jc w:val="right"/>
            </w:pPr>
            <w:r>
              <w:rPr>
                <w:color w:val="000000"/>
                <w:sz w:val="24"/>
                <w:szCs w:val="24"/>
              </w:rPr>
              <w:t>29,847,000.00</w:t>
            </w:r>
          </w:p>
        </w:tc>
        <w:tc>
          <w:tcPr>
            <w:vAlign w:val="center"/>
          </w:tcPr>
          <w:p>
            <w:pPr>
              <w:jc w:val="right"/>
            </w:pPr>
            <w:r>
              <w:rPr>
                <w:color w:val="000000"/>
                <w:sz w:val="24"/>
                <w:szCs w:val="24"/>
              </w:rPr>
              <w:t>1.70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w:t>
      </w:r>
      <w:proofErr w:type="gramStart"/>
      <w:r w:rsidRPr="00414345">
        <w:rPr>
          <w:b/>
          <w:bCs/>
          <w:color w:val="000000"/>
          <w:kern w:val="0"/>
          <w:sz w:val="24"/>
          <w:szCs w:val="24"/>
        </w:rPr>
        <w:t>.</w:t>
      </w:r>
      <w:proofErr w:type="gramEnd"/>
      <w:r w:rsidRPr="00414345">
        <w:rPr>
          <w:b/>
          <w:bCs/>
          <w:color w:val="000000"/>
          <w:kern w:val="0"/>
          <w:sz w:val="24"/>
          <w:szCs w:val="24"/>
        </w:rPr>
        <w:t>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
      </w:r>
      <w:proofErr w:type="spellStart"/>
      <w:r w:rsidRPr="00414345">
        <w:rPr>
          <w:sz w:val="24"/>
          <w:szCs w:val="24"/>
        </w:rPr>
        <w:t/>
      </w:r>
      <w:proofErr w:type="spellEnd"/>
      <w:r w:rsidRPr="00414345">
        <w:rPr>
          <w:sz w:val="24"/>
          <w:szCs w:val="24"/>
        </w:rPr>
        <w:t/>
      </w:r>
      <w:proofErr w:type="spellStart"/>
      <w:proofErr w:type="gramStart"/>
      <w:r w:rsidRPr="00414345">
        <w:rPr>
          <w:sz w:val="24"/>
          <w:szCs w:val="24"/>
        </w:rPr>
        <w:t/>
      </w:r>
      <w:proofErr w:type="spellEnd"/>
      <w:proofErr w:type="gramEnd"/>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315D5D" w:rsidRPr="00414345">
        <w:rPr>
          <w:color w:val="000000"/>
          <w:sz w:val="24"/>
          <w:szCs w:val="24"/>
        </w:rPr>
        <w:t/>
      </w:r>
      <w:proofErr w:type="spellEnd"/>
      <w:proofErr w:type="gramEnd"/>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00A83500" w:rsidRPr="00414345">
        <w:rPr>
          <w:b/>
          <w:bCs/>
          <w:color w:val="000000"/>
          <w:kern w:val="0"/>
          <w:sz w:val="24"/>
          <w:szCs w:val="24"/>
        </w:rPr>
        <w:t/>
      </w:r>
      <w:r w:rsidR="003259C8" w:rsidRPr="00414345">
        <w:rPr>
          <w:b/>
          <w:bCs/>
          <w:color w:val="000000"/>
          <w:kern w:val="0"/>
          <w:sz w:val="24"/>
          <w:szCs w:val="24"/>
        </w:rPr>
        <w:t/>
      </w:r>
      <w:proofErr w:type="gramStart"/>
      <w:r w:rsidR="003259C8" w:rsidRPr="00414345">
        <w:rPr>
          <w:b/>
          <w:bCs/>
          <w:color w:val="000000"/>
          <w:kern w:val="0"/>
          <w:sz w:val="24"/>
          <w:szCs w:val="24"/>
        </w:rPr>
        <w:t/>
      </w:r>
      <w:proofErr w:type="gramEnd"/>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739,284.70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10,596,748.77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175,310.61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520,865.04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12,032,209.12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本基金本报告期末未持有处于转股期的可转换债券。</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type="dxa" w:w="8868"/>
        <w:jc w:val="center"/>
        <w:tblLayout w:type="fixed"/>
        <w:tblCellMar>
          <w:top w:type="dxa" w:w="57"/>
          <w:bottom w:type="dxa" w:w="57"/>
        </w:tblCellMar>
        <w:tblLook w:firstColumn="1" w:firstRow="1" w:lastColumn="0" w:lastRow="0" w:noHBand="0" w:noVBand="1"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002044</w:t>
            </w:r>
          </w:p>
        </w:tc>
        <w:tc>
          <w:tcPr>
            <w:vAlign w:val="center"/>
          </w:tcPr>
          <w:p>
            <w:pPr>
              <w:jc w:val="center"/>
            </w:pPr>
            <w:r>
              <w:rPr>
                <w:color w:val="000000"/>
                <w:sz w:val="24"/>
                <w:szCs w:val="24"/>
              </w:rPr>
              <w:t>美年健康</w:t>
            </w:r>
          </w:p>
        </w:tc>
        <w:tc>
          <w:tcPr>
            <w:vAlign w:val="center"/>
          </w:tcPr>
          <w:p>
            <w:pPr>
              <w:jc w:val="right"/>
            </w:pPr>
            <w:r>
              <w:rPr>
                <w:color w:val="000000"/>
                <w:sz w:val="24"/>
                <w:szCs w:val="24"/>
              </w:rPr>
              <w:t>6,602,400.00</w:t>
            </w:r>
          </w:p>
        </w:tc>
        <w:tc>
          <w:tcPr>
            <w:vAlign w:val="center"/>
          </w:tcPr>
          <w:p>
            <w:pPr>
              <w:jc w:val="right"/>
            </w:pPr>
            <w:r>
              <w:rPr>
                <w:color w:val="000000"/>
                <w:sz w:val="24"/>
                <w:szCs w:val="24"/>
              </w:rPr>
              <w:t>0.38</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spellStart"/>
      <w:r w:rsidRPr="00414345">
        <w:rPr>
          <w:bCs/>
          <w:color w:val="000000"/>
          <w:kern w:val="0"/>
          <w:sz w:val="24"/>
          <w:szCs w:val="24"/>
        </w:rPr>
        <w:t/>
      </w:r>
      <w:proofErr w:type="spellEnd"/>
      <w:r w:rsidRPr="00414345">
        <w:rPr>
          <w:bCs/>
          <w:color w:val="000000"/>
          <w:kern w:val="0"/>
          <w:sz w:val="24"/>
          <w:szCs w:val="24"/>
        </w:rPr>
        <w:t/>
      </w:r>
      <w:r w:rsidR="003259C8" w:rsidRPr="00414345">
        <w:rPr>
          <w:bCs/>
          <w:color w:val="000000"/>
          <w:kern w:val="0"/>
          <w:sz w:val="24"/>
          <w:szCs w:val="24"/>
        </w:rPr>
        <w:t/>
      </w:r>
      <w:proofErr w:type="gramStart"/>
      <w:r w:rsidR="003259C8" w:rsidRPr="00414345">
        <w:rPr>
          <w:bCs/>
          <w:color w:val="000000"/>
          <w:kern w:val="0"/>
          <w:sz w:val="24"/>
          <w:szCs w:val="24"/>
        </w:rPr>
        <w:t/>
      </w:r>
      <w:proofErr w:type="gramEnd"/>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proofErr w:type="spellStart"/>
      <w:proofErr w:type="gramStart"/>
      <w:r w:rsidR="001675CD" w:rsidRPr="00414345">
        <w:rPr>
          <w:color w:val="000000"/>
          <w:sz w:val="24"/>
          <w:szCs w:val="24"/>
        </w:rPr>
        <w:t/>
      </w:r>
      <w:proofErr w:type="spellEnd"/>
      <w:proofErr w:type="gramEnd"/>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proofErr w:type="spellStart"/>
      <w:r w:rsidRPr="005A3D62">
        <w:rPr>
          <w:rFonts w:eastAsiaTheme="minorEastAsia"/>
          <w:color w:themeColor="text1" w:val="000000"/>
          <w:kern w:val="0"/>
          <w:sz w:val="24"/>
          <w:szCs w:val="24"/>
        </w:rPr>
        <w:t/>
      </w:r>
      <w:proofErr w:type="spellEnd"/>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1,719,702,155.80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61,434,678.66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
            </w:r>
            <w:proofErr w:type="spellStart"/>
            <w:r w:rsidR="00FE179F" w:rsidRPr="00414345">
              <w:rPr>
                <w:color w:val="000000"/>
                <w:kern w:val="0"/>
                <w:sz w:val="24"/>
                <w:szCs w:val="24"/>
              </w:rPr>
              <w:t/>
            </w:r>
            <w:proofErr w:type="spellEnd"/>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337,855,672.65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r w:rsidR="00355364" w:rsidRPr="00414345">
              <w:rPr>
                <w:color w:val="000000"/>
                <w:sz w:val="24"/>
                <w:szCs w:val="24"/>
              </w:rPr>
              <w:t/>
            </w:r>
            <w:proofErr w:type="spellEnd"/>
            <w:r w:rsidRPr="00414345">
              <w:rPr>
                <w:color w:val="000000"/>
                <w:sz w:val="24"/>
                <w:szCs w:val="24"/>
              </w:rPr>
              <w:t>1,443,281,161.81</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proofErr w:type="spellStart"/>
      <w:r w:rsidRPr="00ED2620">
        <w:rPr>
          <w:rFonts w:eastAsiaTheme="minorEastAsia"/>
          <w:color w:val="000000"/>
          <w:kern w:val="0"/>
          <w:sz w:val="24"/>
          <w:szCs w:val="24"/>
        </w:rPr>
        <w:t/>
      </w:r>
      <w:proofErr w:type="spellEnd"/>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w:t>
      </w:r>
      <w:proofErr w:type="gramStart"/>
      <w:r w:rsidRPr="00ED2620">
        <w:rPr>
          <w:sz w:val="24"/>
          <w:szCs w:val="24"/>
        </w:rPr>
        <w:t>固有资金</w:t>
      </w:r>
      <w:proofErr w:type="gramEnd"/>
      <w:r w:rsidRPr="00ED2620">
        <w:rPr>
          <w:sz w:val="24"/>
          <w:szCs w:val="24"/>
        </w:rPr>
        <w:t>投资本基金情况</w:t>
      </w:r>
    </w:p>
    <w:p w:rsidP="00C15CAC" w:rsidR="00ED2620" w:rsidRDefault="00ED2620" w:rsidRPr="00ED2620">
      <w:pPr>
        <w:spacing w:line="288" w:lineRule="auto"/>
        <w:jc w:val="left"/>
        <w:rPr>
          <w:sz w:val="24"/>
          <w:szCs w:val="24"/>
        </w:rPr>
      </w:pPr>
      <w:r w:rsidRPr="00ED2620">
        <w:rPr>
          <w:b/>
          <w:sz w:val="24"/>
        </w:rPr>
        <w:t/>
      </w:r>
      <w:proofErr w:type="spellStart"/>
      <w:r w:rsidRPr="00ED2620">
        <w:rPr>
          <w:b/>
          <w:sz w:val="24"/>
        </w:rPr>
        <w:t/>
      </w:r>
      <w:proofErr w:type="spellEnd"/>
      <w:r w:rsidRPr="00ED2620">
        <w:rPr>
          <w:b/>
          <w:sz w:val="24"/>
        </w:rPr>
        <w:t/>
      </w:r>
      <w:proofErr w:type="gramStart"/>
      <w:r w:rsidRPr="00ED2620">
        <w:rPr>
          <w:b/>
          <w:sz w:val="24"/>
        </w:rPr>
        <w:t/>
      </w:r>
      <w:proofErr w:type="gramEnd"/>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
      </w:r>
      <w:proofErr w:type="spellStart"/>
      <w:proofErr w:type="gramStart"/>
      <w:r w:rsidRPr="00ED2620">
        <w:rPr>
          <w:rFonts w:eastAsiaTheme="minorEastAsia"/>
          <w:color w:val="000000"/>
          <w:sz w:val="24"/>
        </w:rPr>
        <w:t/>
      </w:r>
      <w:proofErr w:type="spellEnd"/>
      <w:proofErr w:type="gramEnd"/>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
      </w:r>
      <w:proofErr w:type="spellStart"/>
      <w:r w:rsidRPr="00410630">
        <w:rPr>
          <w:b/>
          <w:sz w:val="24"/>
        </w:rPr>
        <w:t/>
      </w:r>
      <w:proofErr w:type="spellEnd"/>
      <w:r w:rsidRPr="00410630">
        <w:rPr>
          <w:b/>
          <w:sz w:val="24"/>
        </w:rPr>
        <w:t/>
      </w:r>
      <w:proofErr w:type="gramStart"/>
      <w:r w:rsidRPr="00410630">
        <w:rPr>
          <w:b/>
          <w:sz w:val="24"/>
        </w:rPr>
        <w:t/>
      </w:r>
      <w:proofErr w:type="gramEnd"/>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
      </w:r>
      <w:proofErr w:type="spellStart"/>
      <w:r w:rsidRPr="00414345">
        <w:rPr>
          <w:color w:val="000000"/>
          <w:sz w:val="24"/>
        </w:rPr>
        <w:t/>
      </w:r>
      <w:proofErr w:type="spellEnd"/>
      <w:r w:rsidRPr="00414345">
        <w:rPr>
          <w:color w:val="000000"/>
          <w:sz w:val="24"/>
        </w:rPr>
        <w:t/>
      </w:r>
      <w:proofErr w:type="spellStart"/>
      <w:proofErr w:type="gramStart"/>
      <w:r w:rsidRPr="00414345">
        <w:rPr>
          <w:color w:val="000000"/>
          <w:sz w:val="24"/>
        </w:rPr>
        <w:t/>
      </w:r>
      <w:proofErr w:type="spellEnd"/>
      <w:proofErr w:type="gramEnd"/>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
      </w:r>
      <w:proofErr w:type="spellStart"/>
      <w:r w:rsidRPr="00220C32">
        <w:rPr>
          <w:rFonts w:asciiTheme="minorEastAsia" w:eastAsiaTheme="minorEastAsia" w:hAnsiTheme="minorEastAsia" w:hint="eastAsia"/>
          <w:color w:themeColor="text1" w:val="000000"/>
          <w:kern w:val="0"/>
          <w:sz w:val="24"/>
          <w:szCs w:val="24"/>
        </w:rPr>
        <w:t/>
      </w:r>
      <w:proofErr w:type="spellEnd"/>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proofErr w:type="spellStart"/>
      <w:r w:rsidRPr="009A5C99">
        <w:rPr>
          <w:rFonts w:ascii="宋体" w:hAnsi="宋体"/>
          <w:b/>
          <w:color w:val="000000"/>
          <w:kern w:val="0"/>
          <w:sz w:val="24"/>
          <w:szCs w:val="24"/>
        </w:rPr>
        <w:t/>
      </w:r>
      <w:proofErr w:type="spellEnd"/>
      <w:r w:rsidRPr="009A5C99">
        <w:rPr>
          <w:rFonts w:ascii="宋体" w:hAnsi="宋体"/>
          <w:b/>
          <w:color w:val="000000"/>
          <w:kern w:val="0"/>
          <w:sz w:val="24"/>
          <w:szCs w:val="24"/>
        </w:rPr>
        <w:t/>
      </w:r>
      <w:r w:rsidRPr="009A5C99">
        <w:rPr>
          <w:rFonts w:ascii="宋体" w:hAnsi="宋体" w:hint="eastAsia"/>
          <w:b/>
          <w:bCs/>
          <w:color w:val="000000"/>
          <w:kern w:val="0"/>
          <w:sz w:val="24"/>
          <w:szCs w:val="24"/>
        </w:rPr>
        <w:t/>
      </w:r>
      <w:proofErr w:type="gramStart"/>
      <w:r w:rsidRPr="009A5C99">
        <w:rPr>
          <w:rFonts w:ascii="宋体" w:hAnsi="宋体" w:hint="eastAsia"/>
          <w:b/>
          <w:bCs/>
          <w:color w:val="000000"/>
          <w:kern w:val="0"/>
          <w:sz w:val="24"/>
          <w:szCs w:val="24"/>
        </w:rPr>
        <w:t/>
      </w:r>
      <w:proofErr w:type="gramEnd"/>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
      </w:r>
      <w:proofErr w:type="spellStart"/>
      <w:proofErr w:type="gramStart"/>
      <w:r w:rsidRPr="004F4D27">
        <w:rPr>
          <w:rFonts w:ascii="宋体" w:hAnsi="宋体"/>
          <w:color w:val="000000"/>
        </w:rPr>
        <w:t/>
      </w:r>
      <w:proofErr w:type="spellEnd"/>
      <w:proofErr w:type="gramEnd"/>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1、中国证监会准予交银施罗德持续成长主题混合型证券投资基金募集注册的文件；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2、《交银施罗德持续成长主题混合型证券投资基金基金合同》；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3、《交银施罗德持续成长主题混合型证券投资基金招募说明书》；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4、《交银施罗德持续成长主题混合型证券投资基金托管协议》；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5、关于申请募集注册交银施罗德持续成长主题混合型证券投资基金的法律意见书；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8、报告期内交银施罗德持续成长主题混合型证券投资基金在指定报刊上各项公告的原稿。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26" w:rsidRDefault="00EA1826" w:rsidP="00876D65">
      <w:r>
        <w:separator/>
      </w:r>
    </w:p>
  </w:endnote>
  <w:endnote w:type="continuationSeparator" w:id="0">
    <w:p w:rsidR="00EA1826" w:rsidRDefault="00EA182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87A40">
      <w:rPr>
        <w:noProof/>
        <w:kern w:val="0"/>
        <w:szCs w:val="21"/>
      </w:rPr>
      <w:t>22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487A40">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EA1826" w:rsidRDefault="00EA1826">
      <w:r>
        <w:separator/>
      </w:r>
    </w:p>
  </w:footnote>
  <w:footnote w:id="0" w:type="continuationSeparator">
    <w:p w:rsidP="00876D65" w:rsidR="00EA1826" w:rsidRDefault="00EA1826">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交银施罗德持续成长主题混合型证券投资基金</w:t>
    </w:r>
    <w:proofErr w:type="spellStart"/>
    <w:r w:rsidRPr="003E676C">
      <w:rPr>
        <w:sz w:val="24"/>
        <w:szCs w:val="24"/>
      </w:rPr>
      <w:t/>
    </w:r>
    <w:proofErr w:type="spellEnd"/>
    <w:r w:rsidRPr="003E676C">
      <w:rPr>
        <w:sz w:val="24"/>
        <w:szCs w:val="24"/>
      </w:rPr>
      <w:t>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proofState w:grammar="clean" w:spelling="clean"/>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1F69-B347-4E76-824E-9DFA9A79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24</Pages>
  <Words>3799</Words>
  <Characters>21656</Characters>
  <Application>Microsoft Office Word</Application>
  <DocSecurity>0</DocSecurity>
  <Lines>180</Lines>
  <Paragraphs>50</Paragraphs>
  <ScaleCrop>false</ScaleCrop>
  <Company/>
  <LinksUpToDate>false</LinksUpToDate>
  <CharactersWithSpaces>25405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2019-07-04T03:14:00Z</dcterms:modified>
  <cp:revision>590</cp:revision>
</cp:coreProperties>
</file>