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61420" w:rsidRDefault="00094E8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2,279,996,418.69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94E8F" w:rsidRPr="00414345" w:rsidTr="00094E8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94E8F" w:rsidRPr="00414345" w:rsidTr="00094E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14,310,021.92</w:t>
            </w:r>
          </w:p>
        </w:tc>
      </w:tr>
      <w:tr w:rsidR="00094E8F" w:rsidRPr="00414345" w:rsidTr="00094E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-157,284,490.16</w:t>
            </w:r>
          </w:p>
        </w:tc>
      </w:tr>
      <w:tr w:rsidR="00094E8F" w:rsidRPr="00414345" w:rsidTr="00094E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-0.0646</w:t>
            </w:r>
          </w:p>
        </w:tc>
      </w:tr>
      <w:tr w:rsidR="00094E8F" w:rsidRPr="00414345" w:rsidTr="00094E8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2,976,361,872.90</w:t>
            </w:r>
          </w:p>
        </w:tc>
      </w:tr>
      <w:tr w:rsidR="00094E8F" w:rsidRPr="00414345" w:rsidTr="00094E8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1.3054</w:t>
            </w:r>
          </w:p>
        </w:tc>
      </w:tr>
    </w:tbl>
    <w:p w:rsidR="00A61420" w:rsidRDefault="00094E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094E8F">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61420">
        <w:trPr>
          <w:jc w:val="center"/>
        </w:trPr>
        <w:tc>
          <w:tcPr>
            <w:tcW w:w="1701" w:type="dxa"/>
            <w:vAlign w:val="center"/>
          </w:tcPr>
          <w:p w:rsidR="00A61420" w:rsidRDefault="00094E8F">
            <w:pPr>
              <w:jc w:val="left"/>
            </w:pPr>
            <w:r>
              <w:rPr>
                <w:color w:val="000000"/>
                <w:sz w:val="24"/>
                <w:szCs w:val="24"/>
              </w:rPr>
              <w:t>过去三个月</w:t>
            </w:r>
          </w:p>
        </w:tc>
        <w:tc>
          <w:tcPr>
            <w:tcW w:w="1045" w:type="dxa"/>
            <w:vAlign w:val="center"/>
          </w:tcPr>
          <w:p w:rsidR="00A61420" w:rsidRDefault="00094E8F">
            <w:pPr>
              <w:jc w:val="center"/>
            </w:pPr>
            <w:r>
              <w:rPr>
                <w:color w:val="000000"/>
                <w:sz w:val="24"/>
                <w:szCs w:val="24"/>
              </w:rPr>
              <w:t>-4.25%</w:t>
            </w:r>
          </w:p>
        </w:tc>
        <w:tc>
          <w:tcPr>
            <w:tcW w:w="1344" w:type="dxa"/>
            <w:vAlign w:val="center"/>
          </w:tcPr>
          <w:p w:rsidR="00A61420" w:rsidRDefault="00094E8F">
            <w:pPr>
              <w:jc w:val="center"/>
            </w:pPr>
            <w:r>
              <w:rPr>
                <w:color w:val="000000"/>
                <w:sz w:val="24"/>
                <w:szCs w:val="24"/>
              </w:rPr>
              <w:t>1.31%</w:t>
            </w:r>
          </w:p>
        </w:tc>
        <w:tc>
          <w:tcPr>
            <w:tcW w:w="1194" w:type="dxa"/>
            <w:vAlign w:val="center"/>
          </w:tcPr>
          <w:p w:rsidR="00A61420" w:rsidRDefault="00094E8F">
            <w:pPr>
              <w:jc w:val="center"/>
            </w:pPr>
            <w:r>
              <w:rPr>
                <w:color w:val="000000"/>
                <w:sz w:val="24"/>
                <w:szCs w:val="24"/>
              </w:rPr>
              <w:t>-1.13%</w:t>
            </w:r>
          </w:p>
        </w:tc>
        <w:tc>
          <w:tcPr>
            <w:tcW w:w="1492" w:type="dxa"/>
            <w:vAlign w:val="center"/>
          </w:tcPr>
          <w:p w:rsidR="00A61420" w:rsidRDefault="00094E8F">
            <w:pPr>
              <w:jc w:val="center"/>
            </w:pPr>
            <w:r>
              <w:rPr>
                <w:color w:val="000000"/>
                <w:sz w:val="24"/>
                <w:szCs w:val="24"/>
              </w:rPr>
              <w:t>1.01%</w:t>
            </w:r>
          </w:p>
        </w:tc>
        <w:tc>
          <w:tcPr>
            <w:tcW w:w="1194" w:type="dxa"/>
            <w:vAlign w:val="center"/>
          </w:tcPr>
          <w:p w:rsidR="00A61420" w:rsidRDefault="00094E8F">
            <w:pPr>
              <w:jc w:val="center"/>
            </w:pPr>
            <w:r>
              <w:rPr>
                <w:color w:val="000000"/>
                <w:sz w:val="24"/>
                <w:szCs w:val="24"/>
              </w:rPr>
              <w:t>-3.12%</w:t>
            </w:r>
          </w:p>
        </w:tc>
        <w:tc>
          <w:tcPr>
            <w:tcW w:w="898" w:type="dxa"/>
            <w:vAlign w:val="center"/>
          </w:tcPr>
          <w:p w:rsidR="00A61420" w:rsidRDefault="00094E8F">
            <w:pPr>
              <w:jc w:val="center"/>
            </w:pPr>
            <w:r>
              <w:rPr>
                <w:color w:val="000000"/>
                <w:sz w:val="24"/>
                <w:szCs w:val="24"/>
              </w:rPr>
              <w:t>0.30%</w:t>
            </w:r>
          </w:p>
        </w:tc>
      </w:tr>
    </w:tbl>
    <w:p w:rsidR="00094E8F" w:rsidRDefault="00094E8F" w:rsidP="00094E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094E8F" w:rsidP="00094E8F">
      <w:pPr>
        <w:autoSpaceDE w:val="0"/>
        <w:autoSpaceDN w:val="0"/>
        <w:adjustRightInd w:val="0"/>
        <w:spacing w:before="29" w:line="288" w:lineRule="auto"/>
        <w:jc w:val="left"/>
        <w:rPr>
          <w:color w:val="000000"/>
          <w:kern w:val="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61420">
        <w:trPr>
          <w:jc w:val="center"/>
        </w:trPr>
        <w:tc>
          <w:tcPr>
            <w:tcW w:w="846" w:type="dxa"/>
            <w:vAlign w:val="center"/>
          </w:tcPr>
          <w:p w:rsidR="00A61420" w:rsidRDefault="00094E8F">
            <w:pPr>
              <w:jc w:val="center"/>
            </w:pPr>
            <w:r>
              <w:rPr>
                <w:color w:val="000000"/>
                <w:sz w:val="24"/>
                <w:szCs w:val="24"/>
              </w:rPr>
              <w:t>陈孜铎</w:t>
            </w:r>
          </w:p>
        </w:tc>
        <w:tc>
          <w:tcPr>
            <w:tcW w:w="845" w:type="dxa"/>
            <w:vAlign w:val="center"/>
          </w:tcPr>
          <w:p w:rsidR="00A61420" w:rsidRDefault="00094E8F">
            <w:pPr>
              <w:jc w:val="center"/>
            </w:pPr>
            <w:r>
              <w:rPr>
                <w:color w:val="000000"/>
                <w:sz w:val="24"/>
                <w:szCs w:val="24"/>
              </w:rPr>
              <w:t>交银稳健配置混合的基金经理，公司研究部助理总经理</w:t>
            </w:r>
          </w:p>
        </w:tc>
        <w:tc>
          <w:tcPr>
            <w:tcW w:w="1549" w:type="dxa"/>
            <w:vAlign w:val="center"/>
          </w:tcPr>
          <w:p w:rsidR="00A61420" w:rsidRDefault="00094E8F">
            <w:pPr>
              <w:jc w:val="center"/>
            </w:pPr>
            <w:r>
              <w:rPr>
                <w:color w:val="000000"/>
                <w:sz w:val="24"/>
                <w:szCs w:val="24"/>
              </w:rPr>
              <w:t>2018-07-04</w:t>
            </w:r>
          </w:p>
        </w:tc>
        <w:tc>
          <w:tcPr>
            <w:tcW w:w="1548" w:type="dxa"/>
            <w:vAlign w:val="center"/>
          </w:tcPr>
          <w:p w:rsidR="00A61420" w:rsidRDefault="00094E8F">
            <w:pPr>
              <w:jc w:val="center"/>
            </w:pPr>
            <w:r>
              <w:rPr>
                <w:color w:val="000000"/>
                <w:sz w:val="24"/>
                <w:szCs w:val="24"/>
              </w:rPr>
              <w:t>-</w:t>
            </w:r>
          </w:p>
        </w:tc>
        <w:tc>
          <w:tcPr>
            <w:tcW w:w="1407" w:type="dxa"/>
            <w:vAlign w:val="center"/>
          </w:tcPr>
          <w:p w:rsidR="00A61420" w:rsidRDefault="00094E8F">
            <w:pPr>
              <w:jc w:val="center"/>
            </w:pPr>
            <w:r>
              <w:rPr>
                <w:color w:val="000000"/>
                <w:sz w:val="24"/>
                <w:szCs w:val="24"/>
              </w:rPr>
              <w:t>11</w:t>
            </w:r>
            <w:r>
              <w:rPr>
                <w:color w:val="000000"/>
                <w:sz w:val="24"/>
                <w:szCs w:val="24"/>
              </w:rPr>
              <w:t>年</w:t>
            </w:r>
          </w:p>
        </w:tc>
        <w:tc>
          <w:tcPr>
            <w:tcW w:w="2673" w:type="dxa"/>
            <w:vAlign w:val="center"/>
          </w:tcPr>
          <w:p w:rsidR="00A61420" w:rsidRDefault="00094E8F">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日担任交银施罗德蓝筹混合型证券投资基金的基金经理。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61420" w:rsidRDefault="00094E8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61420" w:rsidRDefault="00094E8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61420" w:rsidRDefault="00094E8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61420" w:rsidRDefault="00094E8F">
      <w:pPr>
        <w:spacing w:before="29" w:line="288" w:lineRule="auto"/>
        <w:ind w:firstLineChars="200" w:firstLine="480"/>
        <w:rPr>
          <w:color w:val="000000"/>
          <w:sz w:val="24"/>
          <w:szCs w:val="24"/>
        </w:rPr>
      </w:pPr>
      <w:r>
        <w:rPr>
          <w:color w:val="000000"/>
          <w:sz w:val="24"/>
          <w:szCs w:val="24"/>
        </w:rPr>
        <w:t>2019</w:t>
      </w:r>
      <w:r>
        <w:rPr>
          <w:color w:val="000000"/>
          <w:sz w:val="24"/>
          <w:szCs w:val="24"/>
        </w:rPr>
        <w:t>年二季度整个</w:t>
      </w:r>
      <w:r>
        <w:rPr>
          <w:color w:val="000000"/>
          <w:sz w:val="24"/>
          <w:szCs w:val="24"/>
        </w:rPr>
        <w:t>A</w:t>
      </w:r>
      <w:r>
        <w:rPr>
          <w:color w:val="000000"/>
          <w:sz w:val="24"/>
          <w:szCs w:val="24"/>
        </w:rPr>
        <w:t>股市场在一季度大幅单边上涨后进入调整期。市场调整最主要的因素有两点：一是一季度流动性状况和经济表现好于预期之后，市场对整体经济流动性宽松的预期有所下降；二是中美贸易摩擦形势再次趋于紧张，国内高技术企业发展受到美国政府的制裁威胁。以上两点因素使整体市场一定幅度调整。</w:t>
      </w:r>
    </w:p>
    <w:p w:rsidR="00A61420" w:rsidRDefault="00094E8F">
      <w:pPr>
        <w:spacing w:before="29" w:line="288" w:lineRule="auto"/>
        <w:ind w:firstLineChars="200" w:firstLine="480"/>
        <w:rPr>
          <w:color w:val="000000"/>
          <w:sz w:val="24"/>
          <w:szCs w:val="24"/>
        </w:rPr>
      </w:pPr>
      <w:r>
        <w:rPr>
          <w:color w:val="000000"/>
          <w:sz w:val="24"/>
          <w:szCs w:val="24"/>
        </w:rPr>
        <w:t>在上述市场环境中，本基金整体维持中性仓位，以调整组合结构为主。</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贸易摩擦形势的波动预计将更加常态化，中美最终达成协议是市场预期最终的结果，但即使此次达成协议之后，在更长的时间尺度内两国加剧的竞争形势依然会对市场有持续的影响。此外，在今明两年经济见底之后，中国经济体发展由解决周期性问题向解决结构性问题过渡的进程也更为迫切。在当前市场环境下，本基金将更为关注传统行业中在周期波动中竞争优势凸显价值被低估、行业地位突出的公司，在转型过程中更关注长期前景的中微观路径日渐明晰的公司，积极寻找投资机会，力求持续稳健均衡地创造绝对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2,488,038,069.64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2,488,038,069.64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3,259,688.92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3,259,688.92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488,206,306.58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9,268,313.63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2,988,772,378.77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4,583,431.25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847,719,941.87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105,244,177.20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173,569,366.98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6,966,000.00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285,039,408.69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56,056.02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570,030,188.16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64,979,861.98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111,211,530.89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283,268,106.60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2,488,038,069.64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83.59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61420">
        <w:trPr>
          <w:jc w:val="center"/>
        </w:trPr>
        <w:tc>
          <w:tcPr>
            <w:tcW w:w="855" w:type="dxa"/>
            <w:vAlign w:val="center"/>
          </w:tcPr>
          <w:p w:rsidR="00A61420" w:rsidRDefault="00094E8F">
            <w:pPr>
              <w:jc w:val="center"/>
            </w:pPr>
            <w:r>
              <w:rPr>
                <w:color w:val="000000"/>
                <w:sz w:val="24"/>
                <w:szCs w:val="24"/>
              </w:rPr>
              <w:t>1</w:t>
            </w:r>
          </w:p>
        </w:tc>
        <w:tc>
          <w:tcPr>
            <w:tcW w:w="1334" w:type="dxa"/>
            <w:vAlign w:val="center"/>
          </w:tcPr>
          <w:p w:rsidR="00A61420" w:rsidRDefault="00094E8F">
            <w:pPr>
              <w:jc w:val="center"/>
            </w:pPr>
            <w:r>
              <w:rPr>
                <w:color w:val="000000"/>
                <w:sz w:val="24"/>
                <w:szCs w:val="24"/>
              </w:rPr>
              <w:t>300413</w:t>
            </w:r>
          </w:p>
        </w:tc>
        <w:tc>
          <w:tcPr>
            <w:tcW w:w="1777" w:type="dxa"/>
            <w:vAlign w:val="center"/>
          </w:tcPr>
          <w:p w:rsidR="00A61420" w:rsidRDefault="00094E8F">
            <w:pPr>
              <w:jc w:val="center"/>
            </w:pPr>
            <w:r>
              <w:rPr>
                <w:color w:val="000000"/>
                <w:sz w:val="24"/>
                <w:szCs w:val="24"/>
              </w:rPr>
              <w:t>芒果超媒</w:t>
            </w:r>
          </w:p>
        </w:tc>
        <w:tc>
          <w:tcPr>
            <w:tcW w:w="1334" w:type="dxa"/>
            <w:vAlign w:val="center"/>
          </w:tcPr>
          <w:p w:rsidR="00A61420" w:rsidRDefault="00094E8F">
            <w:pPr>
              <w:jc w:val="right"/>
            </w:pPr>
            <w:r>
              <w:rPr>
                <w:color w:val="000000"/>
                <w:sz w:val="24"/>
                <w:szCs w:val="24"/>
              </w:rPr>
              <w:t>6,900,000</w:t>
            </w:r>
          </w:p>
        </w:tc>
        <w:tc>
          <w:tcPr>
            <w:tcW w:w="1924" w:type="dxa"/>
            <w:vAlign w:val="center"/>
          </w:tcPr>
          <w:p w:rsidR="00A61420" w:rsidRDefault="00094E8F">
            <w:pPr>
              <w:jc w:val="right"/>
            </w:pPr>
            <w:r>
              <w:rPr>
                <w:color w:val="000000"/>
                <w:sz w:val="24"/>
                <w:szCs w:val="24"/>
              </w:rPr>
              <w:t>283,245,000.00</w:t>
            </w:r>
          </w:p>
        </w:tc>
        <w:tc>
          <w:tcPr>
            <w:tcW w:w="1644" w:type="dxa"/>
            <w:vAlign w:val="center"/>
          </w:tcPr>
          <w:p w:rsidR="00A61420" w:rsidRDefault="00094E8F">
            <w:pPr>
              <w:jc w:val="right"/>
            </w:pPr>
            <w:r>
              <w:rPr>
                <w:color w:val="000000"/>
                <w:sz w:val="24"/>
                <w:szCs w:val="24"/>
              </w:rPr>
              <w:t>9.52</w:t>
            </w:r>
          </w:p>
        </w:tc>
      </w:tr>
      <w:tr w:rsidR="00A61420">
        <w:trPr>
          <w:jc w:val="center"/>
        </w:trPr>
        <w:tc>
          <w:tcPr>
            <w:tcW w:w="855" w:type="dxa"/>
            <w:vAlign w:val="center"/>
          </w:tcPr>
          <w:p w:rsidR="00A61420" w:rsidRDefault="00094E8F">
            <w:pPr>
              <w:jc w:val="center"/>
            </w:pPr>
            <w:r>
              <w:rPr>
                <w:color w:val="000000"/>
                <w:sz w:val="24"/>
                <w:szCs w:val="24"/>
              </w:rPr>
              <w:t>2</w:t>
            </w:r>
          </w:p>
        </w:tc>
        <w:tc>
          <w:tcPr>
            <w:tcW w:w="1334" w:type="dxa"/>
            <w:vAlign w:val="center"/>
          </w:tcPr>
          <w:p w:rsidR="00A61420" w:rsidRDefault="00094E8F">
            <w:pPr>
              <w:jc w:val="center"/>
            </w:pPr>
            <w:r>
              <w:rPr>
                <w:color w:val="000000"/>
                <w:sz w:val="24"/>
                <w:szCs w:val="24"/>
              </w:rPr>
              <w:t>600048</w:t>
            </w:r>
          </w:p>
        </w:tc>
        <w:tc>
          <w:tcPr>
            <w:tcW w:w="1777" w:type="dxa"/>
            <w:vAlign w:val="center"/>
          </w:tcPr>
          <w:p w:rsidR="00A61420" w:rsidRDefault="00094E8F">
            <w:pPr>
              <w:jc w:val="center"/>
            </w:pPr>
            <w:r>
              <w:rPr>
                <w:color w:val="000000"/>
                <w:sz w:val="24"/>
                <w:szCs w:val="24"/>
              </w:rPr>
              <w:t>保利地产</w:t>
            </w:r>
          </w:p>
        </w:tc>
        <w:tc>
          <w:tcPr>
            <w:tcW w:w="1334" w:type="dxa"/>
            <w:vAlign w:val="center"/>
          </w:tcPr>
          <w:p w:rsidR="00A61420" w:rsidRDefault="00094E8F">
            <w:pPr>
              <w:jc w:val="right"/>
            </w:pPr>
            <w:r>
              <w:rPr>
                <w:color w:val="000000"/>
                <w:sz w:val="24"/>
                <w:szCs w:val="24"/>
              </w:rPr>
              <w:t>16,000,000</w:t>
            </w:r>
          </w:p>
        </w:tc>
        <w:tc>
          <w:tcPr>
            <w:tcW w:w="1924" w:type="dxa"/>
            <w:vAlign w:val="center"/>
          </w:tcPr>
          <w:p w:rsidR="00A61420" w:rsidRDefault="00094E8F">
            <w:pPr>
              <w:jc w:val="right"/>
            </w:pPr>
            <w:r>
              <w:rPr>
                <w:color w:val="000000"/>
                <w:sz w:val="24"/>
                <w:szCs w:val="24"/>
              </w:rPr>
              <w:t>204,160,000.00</w:t>
            </w:r>
          </w:p>
        </w:tc>
        <w:tc>
          <w:tcPr>
            <w:tcW w:w="1644" w:type="dxa"/>
            <w:vAlign w:val="center"/>
          </w:tcPr>
          <w:p w:rsidR="00A61420" w:rsidRDefault="00094E8F">
            <w:pPr>
              <w:jc w:val="right"/>
            </w:pPr>
            <w:r>
              <w:rPr>
                <w:color w:val="000000"/>
                <w:sz w:val="24"/>
                <w:szCs w:val="24"/>
              </w:rPr>
              <w:t>6.86</w:t>
            </w:r>
          </w:p>
        </w:tc>
      </w:tr>
      <w:tr w:rsidR="00A61420">
        <w:trPr>
          <w:jc w:val="center"/>
        </w:trPr>
        <w:tc>
          <w:tcPr>
            <w:tcW w:w="855" w:type="dxa"/>
            <w:vAlign w:val="center"/>
          </w:tcPr>
          <w:p w:rsidR="00A61420" w:rsidRDefault="00094E8F">
            <w:pPr>
              <w:jc w:val="center"/>
            </w:pPr>
            <w:r>
              <w:rPr>
                <w:color w:val="000000"/>
                <w:sz w:val="24"/>
                <w:szCs w:val="24"/>
              </w:rPr>
              <w:t>3</w:t>
            </w:r>
          </w:p>
        </w:tc>
        <w:tc>
          <w:tcPr>
            <w:tcW w:w="1334" w:type="dxa"/>
            <w:vAlign w:val="center"/>
          </w:tcPr>
          <w:p w:rsidR="00A61420" w:rsidRDefault="00094E8F">
            <w:pPr>
              <w:jc w:val="center"/>
            </w:pPr>
            <w:r>
              <w:rPr>
                <w:color w:val="000000"/>
                <w:sz w:val="24"/>
                <w:szCs w:val="24"/>
              </w:rPr>
              <w:t>601933</w:t>
            </w:r>
          </w:p>
        </w:tc>
        <w:tc>
          <w:tcPr>
            <w:tcW w:w="1777" w:type="dxa"/>
            <w:vAlign w:val="center"/>
          </w:tcPr>
          <w:p w:rsidR="00A61420" w:rsidRDefault="00094E8F">
            <w:pPr>
              <w:jc w:val="center"/>
            </w:pPr>
            <w:r>
              <w:rPr>
                <w:color w:val="000000"/>
                <w:sz w:val="24"/>
                <w:szCs w:val="24"/>
              </w:rPr>
              <w:t>永辉超市</w:t>
            </w:r>
          </w:p>
        </w:tc>
        <w:tc>
          <w:tcPr>
            <w:tcW w:w="1334" w:type="dxa"/>
            <w:vAlign w:val="center"/>
          </w:tcPr>
          <w:p w:rsidR="00A61420" w:rsidRDefault="00094E8F">
            <w:pPr>
              <w:jc w:val="right"/>
            </w:pPr>
            <w:r>
              <w:rPr>
                <w:color w:val="000000"/>
                <w:sz w:val="24"/>
                <w:szCs w:val="24"/>
              </w:rPr>
              <w:t>16,999,938</w:t>
            </w:r>
          </w:p>
        </w:tc>
        <w:tc>
          <w:tcPr>
            <w:tcW w:w="1924" w:type="dxa"/>
            <w:vAlign w:val="center"/>
          </w:tcPr>
          <w:p w:rsidR="00A61420" w:rsidRDefault="00094E8F">
            <w:pPr>
              <w:jc w:val="right"/>
            </w:pPr>
            <w:r>
              <w:rPr>
                <w:color w:val="000000"/>
                <w:sz w:val="24"/>
                <w:szCs w:val="24"/>
              </w:rPr>
              <w:t>173,569,366.98</w:t>
            </w:r>
          </w:p>
        </w:tc>
        <w:tc>
          <w:tcPr>
            <w:tcW w:w="1644" w:type="dxa"/>
            <w:vAlign w:val="center"/>
          </w:tcPr>
          <w:p w:rsidR="00A61420" w:rsidRDefault="00094E8F">
            <w:pPr>
              <w:jc w:val="right"/>
            </w:pPr>
            <w:r>
              <w:rPr>
                <w:color w:val="000000"/>
                <w:sz w:val="24"/>
                <w:szCs w:val="24"/>
              </w:rPr>
              <w:t>5.83</w:t>
            </w:r>
          </w:p>
        </w:tc>
      </w:tr>
      <w:tr w:rsidR="00A61420">
        <w:trPr>
          <w:jc w:val="center"/>
        </w:trPr>
        <w:tc>
          <w:tcPr>
            <w:tcW w:w="855" w:type="dxa"/>
            <w:vAlign w:val="center"/>
          </w:tcPr>
          <w:p w:rsidR="00A61420" w:rsidRDefault="00094E8F">
            <w:pPr>
              <w:jc w:val="center"/>
            </w:pPr>
            <w:r>
              <w:rPr>
                <w:color w:val="000000"/>
                <w:sz w:val="24"/>
                <w:szCs w:val="24"/>
              </w:rPr>
              <w:t>4</w:t>
            </w:r>
          </w:p>
        </w:tc>
        <w:tc>
          <w:tcPr>
            <w:tcW w:w="1334" w:type="dxa"/>
            <w:vAlign w:val="center"/>
          </w:tcPr>
          <w:p w:rsidR="00A61420" w:rsidRDefault="00094E8F">
            <w:pPr>
              <w:jc w:val="center"/>
            </w:pPr>
            <w:r>
              <w:rPr>
                <w:color w:val="000000"/>
                <w:sz w:val="24"/>
                <w:szCs w:val="24"/>
              </w:rPr>
              <w:t>002230</w:t>
            </w:r>
          </w:p>
        </w:tc>
        <w:tc>
          <w:tcPr>
            <w:tcW w:w="1777" w:type="dxa"/>
            <w:vAlign w:val="center"/>
          </w:tcPr>
          <w:p w:rsidR="00A61420" w:rsidRDefault="00094E8F">
            <w:pPr>
              <w:jc w:val="center"/>
            </w:pPr>
            <w:r>
              <w:rPr>
                <w:color w:val="000000"/>
                <w:sz w:val="24"/>
                <w:szCs w:val="24"/>
              </w:rPr>
              <w:t>科大讯飞</w:t>
            </w:r>
          </w:p>
        </w:tc>
        <w:tc>
          <w:tcPr>
            <w:tcW w:w="1334" w:type="dxa"/>
            <w:vAlign w:val="center"/>
          </w:tcPr>
          <w:p w:rsidR="00A61420" w:rsidRDefault="00094E8F">
            <w:pPr>
              <w:jc w:val="right"/>
            </w:pPr>
            <w:r>
              <w:rPr>
                <w:color w:val="000000"/>
                <w:sz w:val="24"/>
                <w:szCs w:val="24"/>
              </w:rPr>
              <w:t>4,509,938</w:t>
            </w:r>
          </w:p>
        </w:tc>
        <w:tc>
          <w:tcPr>
            <w:tcW w:w="1924" w:type="dxa"/>
            <w:vAlign w:val="center"/>
          </w:tcPr>
          <w:p w:rsidR="00A61420" w:rsidRDefault="00094E8F">
            <w:pPr>
              <w:jc w:val="right"/>
            </w:pPr>
            <w:r>
              <w:rPr>
                <w:color w:val="000000"/>
                <w:sz w:val="24"/>
                <w:szCs w:val="24"/>
              </w:rPr>
              <w:t>149,910,339.12</w:t>
            </w:r>
          </w:p>
        </w:tc>
        <w:tc>
          <w:tcPr>
            <w:tcW w:w="1644" w:type="dxa"/>
            <w:vAlign w:val="center"/>
          </w:tcPr>
          <w:p w:rsidR="00A61420" w:rsidRDefault="00094E8F">
            <w:pPr>
              <w:jc w:val="right"/>
            </w:pPr>
            <w:r>
              <w:rPr>
                <w:color w:val="000000"/>
                <w:sz w:val="24"/>
                <w:szCs w:val="24"/>
              </w:rPr>
              <w:t>5.04</w:t>
            </w:r>
          </w:p>
        </w:tc>
      </w:tr>
      <w:tr w:rsidR="00A61420">
        <w:trPr>
          <w:jc w:val="center"/>
        </w:trPr>
        <w:tc>
          <w:tcPr>
            <w:tcW w:w="855" w:type="dxa"/>
            <w:vAlign w:val="center"/>
          </w:tcPr>
          <w:p w:rsidR="00A61420" w:rsidRDefault="00094E8F">
            <w:pPr>
              <w:jc w:val="center"/>
            </w:pPr>
            <w:r>
              <w:rPr>
                <w:color w:val="000000"/>
                <w:sz w:val="24"/>
                <w:szCs w:val="24"/>
              </w:rPr>
              <w:t>5</w:t>
            </w:r>
          </w:p>
        </w:tc>
        <w:tc>
          <w:tcPr>
            <w:tcW w:w="1334" w:type="dxa"/>
            <w:vAlign w:val="center"/>
          </w:tcPr>
          <w:p w:rsidR="00A61420" w:rsidRDefault="00094E8F">
            <w:pPr>
              <w:jc w:val="center"/>
            </w:pPr>
            <w:r>
              <w:rPr>
                <w:color w:val="000000"/>
                <w:sz w:val="24"/>
                <w:szCs w:val="24"/>
              </w:rPr>
              <w:t>000651</w:t>
            </w:r>
          </w:p>
        </w:tc>
        <w:tc>
          <w:tcPr>
            <w:tcW w:w="1777" w:type="dxa"/>
            <w:vAlign w:val="center"/>
          </w:tcPr>
          <w:p w:rsidR="00A61420" w:rsidRDefault="00094E8F">
            <w:pPr>
              <w:jc w:val="center"/>
            </w:pPr>
            <w:r>
              <w:rPr>
                <w:color w:val="000000"/>
                <w:sz w:val="24"/>
                <w:szCs w:val="24"/>
              </w:rPr>
              <w:t>格力电器</w:t>
            </w:r>
          </w:p>
        </w:tc>
        <w:tc>
          <w:tcPr>
            <w:tcW w:w="1334" w:type="dxa"/>
            <w:vAlign w:val="center"/>
          </w:tcPr>
          <w:p w:rsidR="00A61420" w:rsidRDefault="00094E8F">
            <w:pPr>
              <w:jc w:val="right"/>
            </w:pPr>
            <w:r>
              <w:rPr>
                <w:color w:val="000000"/>
                <w:sz w:val="24"/>
                <w:szCs w:val="24"/>
              </w:rPr>
              <w:t>2,300,000</w:t>
            </w:r>
          </w:p>
        </w:tc>
        <w:tc>
          <w:tcPr>
            <w:tcW w:w="1924" w:type="dxa"/>
            <w:vAlign w:val="center"/>
          </w:tcPr>
          <w:p w:rsidR="00A61420" w:rsidRDefault="00094E8F">
            <w:pPr>
              <w:jc w:val="right"/>
            </w:pPr>
            <w:r>
              <w:rPr>
                <w:color w:val="000000"/>
                <w:sz w:val="24"/>
                <w:szCs w:val="24"/>
              </w:rPr>
              <w:t>126,500,000.00</w:t>
            </w:r>
          </w:p>
        </w:tc>
        <w:tc>
          <w:tcPr>
            <w:tcW w:w="1644" w:type="dxa"/>
            <w:vAlign w:val="center"/>
          </w:tcPr>
          <w:p w:rsidR="00A61420" w:rsidRDefault="00094E8F">
            <w:pPr>
              <w:jc w:val="right"/>
            </w:pPr>
            <w:r>
              <w:rPr>
                <w:color w:val="000000"/>
                <w:sz w:val="24"/>
                <w:szCs w:val="24"/>
              </w:rPr>
              <w:t>4.25</w:t>
            </w:r>
          </w:p>
        </w:tc>
      </w:tr>
      <w:tr w:rsidR="00A61420">
        <w:trPr>
          <w:jc w:val="center"/>
        </w:trPr>
        <w:tc>
          <w:tcPr>
            <w:tcW w:w="855" w:type="dxa"/>
            <w:vAlign w:val="center"/>
          </w:tcPr>
          <w:p w:rsidR="00A61420" w:rsidRDefault="00094E8F">
            <w:pPr>
              <w:jc w:val="center"/>
            </w:pPr>
            <w:r>
              <w:rPr>
                <w:color w:val="000000"/>
                <w:sz w:val="24"/>
                <w:szCs w:val="24"/>
              </w:rPr>
              <w:t>6</w:t>
            </w:r>
          </w:p>
        </w:tc>
        <w:tc>
          <w:tcPr>
            <w:tcW w:w="1334" w:type="dxa"/>
            <w:vAlign w:val="center"/>
          </w:tcPr>
          <w:p w:rsidR="00A61420" w:rsidRDefault="00094E8F">
            <w:pPr>
              <w:jc w:val="center"/>
            </w:pPr>
            <w:r>
              <w:rPr>
                <w:color w:val="000000"/>
                <w:sz w:val="24"/>
                <w:szCs w:val="24"/>
              </w:rPr>
              <w:t>000961</w:t>
            </w:r>
          </w:p>
        </w:tc>
        <w:tc>
          <w:tcPr>
            <w:tcW w:w="1777" w:type="dxa"/>
            <w:vAlign w:val="center"/>
          </w:tcPr>
          <w:p w:rsidR="00A61420" w:rsidRDefault="00094E8F">
            <w:pPr>
              <w:jc w:val="center"/>
            </w:pPr>
            <w:r>
              <w:rPr>
                <w:color w:val="000000"/>
                <w:sz w:val="24"/>
                <w:szCs w:val="24"/>
              </w:rPr>
              <w:t>中南建设</w:t>
            </w:r>
          </w:p>
        </w:tc>
        <w:tc>
          <w:tcPr>
            <w:tcW w:w="1334" w:type="dxa"/>
            <w:vAlign w:val="center"/>
          </w:tcPr>
          <w:p w:rsidR="00A61420" w:rsidRDefault="00094E8F">
            <w:pPr>
              <w:jc w:val="right"/>
            </w:pPr>
            <w:r>
              <w:rPr>
                <w:color w:val="000000"/>
                <w:sz w:val="24"/>
                <w:szCs w:val="24"/>
              </w:rPr>
              <w:t>14,000,000</w:t>
            </w:r>
          </w:p>
        </w:tc>
        <w:tc>
          <w:tcPr>
            <w:tcW w:w="1924" w:type="dxa"/>
            <w:vAlign w:val="center"/>
          </w:tcPr>
          <w:p w:rsidR="00A61420" w:rsidRDefault="00094E8F">
            <w:pPr>
              <w:jc w:val="right"/>
            </w:pPr>
            <w:r>
              <w:rPr>
                <w:color w:val="000000"/>
                <w:sz w:val="24"/>
                <w:szCs w:val="24"/>
              </w:rPr>
              <w:t>121,240,000.00</w:t>
            </w:r>
          </w:p>
        </w:tc>
        <w:tc>
          <w:tcPr>
            <w:tcW w:w="1644" w:type="dxa"/>
            <w:vAlign w:val="center"/>
          </w:tcPr>
          <w:p w:rsidR="00A61420" w:rsidRDefault="00094E8F">
            <w:pPr>
              <w:jc w:val="right"/>
            </w:pPr>
            <w:r>
              <w:rPr>
                <w:color w:val="000000"/>
                <w:sz w:val="24"/>
                <w:szCs w:val="24"/>
              </w:rPr>
              <w:t>4.07</w:t>
            </w:r>
          </w:p>
        </w:tc>
      </w:tr>
      <w:tr w:rsidR="00A61420">
        <w:trPr>
          <w:jc w:val="center"/>
        </w:trPr>
        <w:tc>
          <w:tcPr>
            <w:tcW w:w="855" w:type="dxa"/>
            <w:vAlign w:val="center"/>
          </w:tcPr>
          <w:p w:rsidR="00A61420" w:rsidRDefault="00094E8F">
            <w:pPr>
              <w:jc w:val="center"/>
            </w:pPr>
            <w:r>
              <w:rPr>
                <w:color w:val="000000"/>
                <w:sz w:val="24"/>
                <w:szCs w:val="24"/>
              </w:rPr>
              <w:t>7</w:t>
            </w:r>
          </w:p>
        </w:tc>
        <w:tc>
          <w:tcPr>
            <w:tcW w:w="1334" w:type="dxa"/>
            <w:vAlign w:val="center"/>
          </w:tcPr>
          <w:p w:rsidR="00A61420" w:rsidRDefault="00094E8F">
            <w:pPr>
              <w:jc w:val="center"/>
            </w:pPr>
            <w:r>
              <w:rPr>
                <w:color w:val="000000"/>
                <w:sz w:val="24"/>
                <w:szCs w:val="24"/>
              </w:rPr>
              <w:t>002607</w:t>
            </w:r>
          </w:p>
        </w:tc>
        <w:tc>
          <w:tcPr>
            <w:tcW w:w="1777" w:type="dxa"/>
            <w:vAlign w:val="center"/>
          </w:tcPr>
          <w:p w:rsidR="00A61420" w:rsidRDefault="00094E8F">
            <w:pPr>
              <w:jc w:val="center"/>
            </w:pPr>
            <w:r>
              <w:rPr>
                <w:color w:val="000000"/>
                <w:sz w:val="24"/>
                <w:szCs w:val="24"/>
              </w:rPr>
              <w:t>中公教育</w:t>
            </w:r>
          </w:p>
        </w:tc>
        <w:tc>
          <w:tcPr>
            <w:tcW w:w="1334" w:type="dxa"/>
            <w:vAlign w:val="center"/>
          </w:tcPr>
          <w:p w:rsidR="00A61420" w:rsidRDefault="00094E8F">
            <w:pPr>
              <w:jc w:val="right"/>
            </w:pPr>
            <w:r>
              <w:rPr>
                <w:color w:val="000000"/>
                <w:sz w:val="24"/>
                <w:szCs w:val="24"/>
              </w:rPr>
              <w:t>8,099,893</w:t>
            </w:r>
          </w:p>
        </w:tc>
        <w:tc>
          <w:tcPr>
            <w:tcW w:w="1924" w:type="dxa"/>
            <w:vAlign w:val="center"/>
          </w:tcPr>
          <w:p w:rsidR="00A61420" w:rsidRDefault="00094E8F">
            <w:pPr>
              <w:jc w:val="right"/>
            </w:pPr>
            <w:r>
              <w:rPr>
                <w:color w:val="000000"/>
                <w:sz w:val="24"/>
                <w:szCs w:val="24"/>
              </w:rPr>
              <w:t>111,211,530.89</w:t>
            </w:r>
          </w:p>
        </w:tc>
        <w:tc>
          <w:tcPr>
            <w:tcW w:w="1644" w:type="dxa"/>
            <w:vAlign w:val="center"/>
          </w:tcPr>
          <w:p w:rsidR="00A61420" w:rsidRDefault="00094E8F">
            <w:pPr>
              <w:jc w:val="right"/>
            </w:pPr>
            <w:r>
              <w:rPr>
                <w:color w:val="000000"/>
                <w:sz w:val="24"/>
                <w:szCs w:val="24"/>
              </w:rPr>
              <w:t>3.74</w:t>
            </w:r>
          </w:p>
        </w:tc>
      </w:tr>
      <w:tr w:rsidR="00A61420">
        <w:trPr>
          <w:jc w:val="center"/>
        </w:trPr>
        <w:tc>
          <w:tcPr>
            <w:tcW w:w="855" w:type="dxa"/>
            <w:vAlign w:val="center"/>
          </w:tcPr>
          <w:p w:rsidR="00A61420" w:rsidRDefault="00094E8F">
            <w:pPr>
              <w:jc w:val="center"/>
            </w:pPr>
            <w:r>
              <w:rPr>
                <w:color w:val="000000"/>
                <w:sz w:val="24"/>
                <w:szCs w:val="24"/>
              </w:rPr>
              <w:t>8</w:t>
            </w:r>
          </w:p>
        </w:tc>
        <w:tc>
          <w:tcPr>
            <w:tcW w:w="1334" w:type="dxa"/>
            <w:vAlign w:val="center"/>
          </w:tcPr>
          <w:p w:rsidR="00A61420" w:rsidRDefault="00094E8F">
            <w:pPr>
              <w:jc w:val="center"/>
            </w:pPr>
            <w:r>
              <w:rPr>
                <w:color w:val="000000"/>
                <w:sz w:val="24"/>
                <w:szCs w:val="24"/>
              </w:rPr>
              <w:t>603359</w:t>
            </w:r>
          </w:p>
        </w:tc>
        <w:tc>
          <w:tcPr>
            <w:tcW w:w="1777" w:type="dxa"/>
            <w:vAlign w:val="center"/>
          </w:tcPr>
          <w:p w:rsidR="00A61420" w:rsidRDefault="00094E8F">
            <w:pPr>
              <w:jc w:val="center"/>
            </w:pPr>
            <w:r>
              <w:rPr>
                <w:color w:val="000000"/>
                <w:sz w:val="24"/>
                <w:szCs w:val="24"/>
              </w:rPr>
              <w:t>东珠生态</w:t>
            </w:r>
          </w:p>
        </w:tc>
        <w:tc>
          <w:tcPr>
            <w:tcW w:w="1334" w:type="dxa"/>
            <w:vAlign w:val="center"/>
          </w:tcPr>
          <w:p w:rsidR="00A61420" w:rsidRDefault="00094E8F">
            <w:pPr>
              <w:jc w:val="right"/>
            </w:pPr>
            <w:r>
              <w:rPr>
                <w:color w:val="000000"/>
                <w:sz w:val="24"/>
                <w:szCs w:val="24"/>
              </w:rPr>
              <w:t>6,209,096</w:t>
            </w:r>
          </w:p>
        </w:tc>
        <w:tc>
          <w:tcPr>
            <w:tcW w:w="1924" w:type="dxa"/>
            <w:vAlign w:val="center"/>
          </w:tcPr>
          <w:p w:rsidR="00A61420" w:rsidRDefault="00094E8F">
            <w:pPr>
              <w:jc w:val="right"/>
            </w:pPr>
            <w:r>
              <w:rPr>
                <w:color w:val="000000"/>
                <w:sz w:val="24"/>
                <w:szCs w:val="24"/>
              </w:rPr>
              <w:t>105,244,177.20</w:t>
            </w:r>
          </w:p>
        </w:tc>
        <w:tc>
          <w:tcPr>
            <w:tcW w:w="1644" w:type="dxa"/>
            <w:vAlign w:val="center"/>
          </w:tcPr>
          <w:p w:rsidR="00A61420" w:rsidRDefault="00094E8F">
            <w:pPr>
              <w:jc w:val="right"/>
            </w:pPr>
            <w:r>
              <w:rPr>
                <w:color w:val="000000"/>
                <w:sz w:val="24"/>
                <w:szCs w:val="24"/>
              </w:rPr>
              <w:t>3.54</w:t>
            </w:r>
          </w:p>
        </w:tc>
      </w:tr>
      <w:tr w:rsidR="00A61420">
        <w:trPr>
          <w:jc w:val="center"/>
        </w:trPr>
        <w:tc>
          <w:tcPr>
            <w:tcW w:w="855" w:type="dxa"/>
            <w:vAlign w:val="center"/>
          </w:tcPr>
          <w:p w:rsidR="00A61420" w:rsidRDefault="00094E8F">
            <w:pPr>
              <w:jc w:val="center"/>
            </w:pPr>
            <w:r>
              <w:rPr>
                <w:color w:val="000000"/>
                <w:sz w:val="24"/>
                <w:szCs w:val="24"/>
              </w:rPr>
              <w:t>9</w:t>
            </w:r>
          </w:p>
        </w:tc>
        <w:tc>
          <w:tcPr>
            <w:tcW w:w="1334" w:type="dxa"/>
            <w:vAlign w:val="center"/>
          </w:tcPr>
          <w:p w:rsidR="00A61420" w:rsidRDefault="00094E8F">
            <w:pPr>
              <w:jc w:val="center"/>
            </w:pPr>
            <w:r>
              <w:rPr>
                <w:color w:val="000000"/>
                <w:sz w:val="24"/>
                <w:szCs w:val="24"/>
              </w:rPr>
              <w:t>600216</w:t>
            </w:r>
          </w:p>
        </w:tc>
        <w:tc>
          <w:tcPr>
            <w:tcW w:w="1777" w:type="dxa"/>
            <w:vAlign w:val="center"/>
          </w:tcPr>
          <w:p w:rsidR="00A61420" w:rsidRDefault="00094E8F">
            <w:pPr>
              <w:jc w:val="center"/>
            </w:pPr>
            <w:r>
              <w:rPr>
                <w:color w:val="000000"/>
                <w:sz w:val="24"/>
                <w:szCs w:val="24"/>
              </w:rPr>
              <w:t>浙江医药</w:t>
            </w:r>
          </w:p>
        </w:tc>
        <w:tc>
          <w:tcPr>
            <w:tcW w:w="1334" w:type="dxa"/>
            <w:vAlign w:val="center"/>
          </w:tcPr>
          <w:p w:rsidR="00A61420" w:rsidRDefault="00094E8F">
            <w:pPr>
              <w:jc w:val="right"/>
            </w:pPr>
            <w:r>
              <w:rPr>
                <w:color w:val="000000"/>
                <w:sz w:val="24"/>
                <w:szCs w:val="24"/>
              </w:rPr>
              <w:t>9,999,955</w:t>
            </w:r>
          </w:p>
        </w:tc>
        <w:tc>
          <w:tcPr>
            <w:tcW w:w="1924" w:type="dxa"/>
            <w:vAlign w:val="center"/>
          </w:tcPr>
          <w:p w:rsidR="00A61420" w:rsidRDefault="00094E8F">
            <w:pPr>
              <w:jc w:val="right"/>
            </w:pPr>
            <w:r>
              <w:rPr>
                <w:color w:val="000000"/>
                <w:sz w:val="24"/>
                <w:szCs w:val="24"/>
              </w:rPr>
              <w:t>102,399,539.20</w:t>
            </w:r>
          </w:p>
        </w:tc>
        <w:tc>
          <w:tcPr>
            <w:tcW w:w="1644" w:type="dxa"/>
            <w:vAlign w:val="center"/>
          </w:tcPr>
          <w:p w:rsidR="00A61420" w:rsidRDefault="00094E8F">
            <w:pPr>
              <w:jc w:val="right"/>
            </w:pPr>
            <w:r>
              <w:rPr>
                <w:color w:val="000000"/>
                <w:sz w:val="24"/>
                <w:szCs w:val="24"/>
              </w:rPr>
              <w:t>3.44</w:t>
            </w:r>
          </w:p>
        </w:tc>
      </w:tr>
      <w:tr w:rsidR="00A61420">
        <w:trPr>
          <w:jc w:val="center"/>
        </w:trPr>
        <w:tc>
          <w:tcPr>
            <w:tcW w:w="855" w:type="dxa"/>
            <w:vAlign w:val="center"/>
          </w:tcPr>
          <w:p w:rsidR="00A61420" w:rsidRDefault="00094E8F">
            <w:pPr>
              <w:jc w:val="center"/>
            </w:pPr>
            <w:r>
              <w:rPr>
                <w:color w:val="000000"/>
                <w:sz w:val="24"/>
                <w:szCs w:val="24"/>
              </w:rPr>
              <w:t>10</w:t>
            </w:r>
          </w:p>
        </w:tc>
        <w:tc>
          <w:tcPr>
            <w:tcW w:w="1334" w:type="dxa"/>
            <w:vAlign w:val="center"/>
          </w:tcPr>
          <w:p w:rsidR="00A61420" w:rsidRDefault="00094E8F">
            <w:pPr>
              <w:jc w:val="center"/>
            </w:pPr>
            <w:r>
              <w:rPr>
                <w:color w:val="000000"/>
                <w:sz w:val="24"/>
                <w:szCs w:val="24"/>
              </w:rPr>
              <w:t>600887</w:t>
            </w:r>
          </w:p>
        </w:tc>
        <w:tc>
          <w:tcPr>
            <w:tcW w:w="1777" w:type="dxa"/>
            <w:vAlign w:val="center"/>
          </w:tcPr>
          <w:p w:rsidR="00A61420" w:rsidRDefault="00094E8F">
            <w:pPr>
              <w:jc w:val="center"/>
            </w:pPr>
            <w:r>
              <w:rPr>
                <w:color w:val="000000"/>
                <w:sz w:val="24"/>
                <w:szCs w:val="24"/>
              </w:rPr>
              <w:t>伊利股份</w:t>
            </w:r>
          </w:p>
        </w:tc>
        <w:tc>
          <w:tcPr>
            <w:tcW w:w="1334" w:type="dxa"/>
            <w:vAlign w:val="center"/>
          </w:tcPr>
          <w:p w:rsidR="00A61420" w:rsidRDefault="00094E8F">
            <w:pPr>
              <w:jc w:val="right"/>
            </w:pPr>
            <w:r>
              <w:rPr>
                <w:color w:val="000000"/>
                <w:sz w:val="24"/>
                <w:szCs w:val="24"/>
              </w:rPr>
              <w:t>3,000,000</w:t>
            </w:r>
          </w:p>
        </w:tc>
        <w:tc>
          <w:tcPr>
            <w:tcW w:w="1924" w:type="dxa"/>
            <w:vAlign w:val="center"/>
          </w:tcPr>
          <w:p w:rsidR="00A61420" w:rsidRDefault="00094E8F">
            <w:pPr>
              <w:jc w:val="right"/>
            </w:pPr>
            <w:r>
              <w:rPr>
                <w:color w:val="000000"/>
                <w:sz w:val="24"/>
                <w:szCs w:val="24"/>
              </w:rPr>
              <w:t>100,230,000.00</w:t>
            </w:r>
          </w:p>
        </w:tc>
        <w:tc>
          <w:tcPr>
            <w:tcW w:w="1644" w:type="dxa"/>
            <w:vAlign w:val="center"/>
          </w:tcPr>
          <w:p w:rsidR="00A61420" w:rsidRDefault="00094E8F">
            <w:pPr>
              <w:jc w:val="right"/>
            </w:pPr>
            <w:r>
              <w:rPr>
                <w:color w:val="000000"/>
                <w:sz w:val="24"/>
                <w:szCs w:val="24"/>
              </w:rPr>
              <w:t>3.37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3,259,688.92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3,259,688.92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61420">
        <w:trPr>
          <w:jc w:val="center"/>
        </w:trPr>
        <w:tc>
          <w:tcPr>
            <w:tcW w:w="850" w:type="dxa"/>
            <w:vAlign w:val="center"/>
          </w:tcPr>
          <w:p w:rsidR="00A61420" w:rsidRDefault="00094E8F">
            <w:pPr>
              <w:jc w:val="center"/>
            </w:pPr>
            <w:r>
              <w:rPr>
                <w:color w:val="000000"/>
                <w:sz w:val="24"/>
                <w:szCs w:val="24"/>
              </w:rPr>
              <w:t>1</w:t>
            </w:r>
          </w:p>
        </w:tc>
        <w:tc>
          <w:tcPr>
            <w:tcW w:w="1475" w:type="dxa"/>
            <w:vAlign w:val="center"/>
          </w:tcPr>
          <w:p w:rsidR="00A61420" w:rsidRDefault="00094E8F">
            <w:pPr>
              <w:jc w:val="center"/>
            </w:pPr>
            <w:r>
              <w:rPr>
                <w:color w:val="000000"/>
                <w:sz w:val="24"/>
                <w:szCs w:val="24"/>
              </w:rPr>
              <w:t>128035</w:t>
            </w:r>
          </w:p>
        </w:tc>
        <w:tc>
          <w:tcPr>
            <w:tcW w:w="1769" w:type="dxa"/>
            <w:vAlign w:val="center"/>
          </w:tcPr>
          <w:p w:rsidR="00A61420" w:rsidRDefault="00094E8F">
            <w:pPr>
              <w:jc w:val="center"/>
            </w:pPr>
            <w:r>
              <w:rPr>
                <w:color w:val="000000"/>
                <w:sz w:val="24"/>
                <w:szCs w:val="24"/>
              </w:rPr>
              <w:t>大族转债</w:t>
            </w:r>
          </w:p>
        </w:tc>
        <w:tc>
          <w:tcPr>
            <w:tcW w:w="1387" w:type="dxa"/>
            <w:vAlign w:val="center"/>
          </w:tcPr>
          <w:p w:rsidR="00A61420" w:rsidRDefault="00094E8F">
            <w:pPr>
              <w:jc w:val="right"/>
            </w:pPr>
            <w:r>
              <w:rPr>
                <w:color w:val="000000"/>
                <w:sz w:val="24"/>
                <w:szCs w:val="24"/>
              </w:rPr>
              <w:t>31,514</w:t>
            </w:r>
          </w:p>
        </w:tc>
        <w:tc>
          <w:tcPr>
            <w:tcW w:w="2150" w:type="dxa"/>
            <w:vAlign w:val="center"/>
          </w:tcPr>
          <w:p w:rsidR="00A61420" w:rsidRDefault="00094E8F">
            <w:pPr>
              <w:jc w:val="right"/>
            </w:pPr>
            <w:r>
              <w:rPr>
                <w:color w:val="000000"/>
                <w:sz w:val="24"/>
                <w:szCs w:val="24"/>
              </w:rPr>
              <w:t>3,257,287.04</w:t>
            </w:r>
          </w:p>
        </w:tc>
        <w:tc>
          <w:tcPr>
            <w:tcW w:w="1237" w:type="dxa"/>
            <w:vAlign w:val="center"/>
          </w:tcPr>
          <w:p w:rsidR="00A61420" w:rsidRDefault="00094E8F">
            <w:pPr>
              <w:jc w:val="right"/>
            </w:pPr>
            <w:r>
              <w:rPr>
                <w:color w:val="000000"/>
                <w:sz w:val="24"/>
                <w:szCs w:val="24"/>
              </w:rPr>
              <w:t>0.11</w:t>
            </w:r>
          </w:p>
        </w:tc>
      </w:tr>
      <w:tr w:rsidR="00A61420">
        <w:trPr>
          <w:jc w:val="center"/>
        </w:trPr>
        <w:tc>
          <w:tcPr>
            <w:tcW w:w="850" w:type="dxa"/>
            <w:vAlign w:val="center"/>
          </w:tcPr>
          <w:p w:rsidR="00A61420" w:rsidRDefault="00094E8F">
            <w:pPr>
              <w:jc w:val="center"/>
            </w:pPr>
            <w:r>
              <w:rPr>
                <w:color w:val="000000"/>
                <w:sz w:val="24"/>
                <w:szCs w:val="24"/>
              </w:rPr>
              <w:t>2</w:t>
            </w:r>
          </w:p>
        </w:tc>
        <w:tc>
          <w:tcPr>
            <w:tcW w:w="1475" w:type="dxa"/>
            <w:vAlign w:val="center"/>
          </w:tcPr>
          <w:p w:rsidR="00A61420" w:rsidRDefault="00094E8F">
            <w:pPr>
              <w:jc w:val="center"/>
            </w:pPr>
            <w:r>
              <w:rPr>
                <w:color w:val="000000"/>
                <w:sz w:val="24"/>
                <w:szCs w:val="24"/>
              </w:rPr>
              <w:t>128023</w:t>
            </w:r>
          </w:p>
        </w:tc>
        <w:tc>
          <w:tcPr>
            <w:tcW w:w="1769" w:type="dxa"/>
            <w:vAlign w:val="center"/>
          </w:tcPr>
          <w:p w:rsidR="00A61420" w:rsidRDefault="00094E8F">
            <w:pPr>
              <w:jc w:val="center"/>
            </w:pPr>
            <w:r>
              <w:rPr>
                <w:color w:val="000000"/>
                <w:sz w:val="24"/>
                <w:szCs w:val="24"/>
              </w:rPr>
              <w:t>亚太转债</w:t>
            </w:r>
          </w:p>
        </w:tc>
        <w:tc>
          <w:tcPr>
            <w:tcW w:w="1387" w:type="dxa"/>
            <w:vAlign w:val="center"/>
          </w:tcPr>
          <w:p w:rsidR="00A61420" w:rsidRDefault="00094E8F">
            <w:pPr>
              <w:jc w:val="right"/>
            </w:pPr>
            <w:r>
              <w:rPr>
                <w:color w:val="000000"/>
                <w:sz w:val="24"/>
                <w:szCs w:val="24"/>
              </w:rPr>
              <w:t>26</w:t>
            </w:r>
          </w:p>
        </w:tc>
        <w:tc>
          <w:tcPr>
            <w:tcW w:w="2150" w:type="dxa"/>
            <w:vAlign w:val="center"/>
          </w:tcPr>
          <w:p w:rsidR="00A61420" w:rsidRDefault="00094E8F">
            <w:pPr>
              <w:jc w:val="right"/>
            </w:pPr>
            <w:r>
              <w:rPr>
                <w:color w:val="000000"/>
                <w:sz w:val="24"/>
                <w:szCs w:val="24"/>
              </w:rPr>
              <w:t>2,401.88</w:t>
            </w:r>
          </w:p>
        </w:tc>
        <w:tc>
          <w:tcPr>
            <w:tcW w:w="1237" w:type="dxa"/>
            <w:vAlign w:val="center"/>
          </w:tcPr>
          <w:p w:rsidR="00A61420" w:rsidRDefault="00094E8F">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1,584,420.58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7,164,646.97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98,910.19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420,335.89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9,268,313.63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61420">
        <w:trPr>
          <w:jc w:val="center"/>
        </w:trPr>
        <w:tc>
          <w:tcPr>
            <w:tcW w:w="1883" w:type="dxa"/>
            <w:vAlign w:val="center"/>
          </w:tcPr>
          <w:p w:rsidR="00A61420" w:rsidRDefault="00094E8F">
            <w:pPr>
              <w:jc w:val="center"/>
            </w:pPr>
            <w:r>
              <w:rPr>
                <w:color w:val="000000"/>
                <w:sz w:val="24"/>
                <w:szCs w:val="24"/>
              </w:rPr>
              <w:t>1</w:t>
            </w:r>
          </w:p>
        </w:tc>
        <w:tc>
          <w:tcPr>
            <w:tcW w:w="1801" w:type="dxa"/>
            <w:vAlign w:val="center"/>
          </w:tcPr>
          <w:p w:rsidR="00A61420" w:rsidRDefault="00094E8F">
            <w:pPr>
              <w:jc w:val="center"/>
            </w:pPr>
            <w:r>
              <w:rPr>
                <w:color w:val="000000"/>
                <w:sz w:val="24"/>
                <w:szCs w:val="24"/>
              </w:rPr>
              <w:t>128035</w:t>
            </w:r>
          </w:p>
        </w:tc>
        <w:tc>
          <w:tcPr>
            <w:tcW w:w="1727" w:type="dxa"/>
            <w:vAlign w:val="center"/>
          </w:tcPr>
          <w:p w:rsidR="00A61420" w:rsidRDefault="00094E8F">
            <w:pPr>
              <w:jc w:val="center"/>
            </w:pPr>
            <w:r>
              <w:rPr>
                <w:color w:val="000000"/>
                <w:sz w:val="24"/>
                <w:szCs w:val="24"/>
              </w:rPr>
              <w:t>大族转债</w:t>
            </w:r>
          </w:p>
        </w:tc>
        <w:tc>
          <w:tcPr>
            <w:tcW w:w="1768" w:type="dxa"/>
            <w:vAlign w:val="center"/>
          </w:tcPr>
          <w:p w:rsidR="00A61420" w:rsidRDefault="00094E8F">
            <w:pPr>
              <w:jc w:val="right"/>
            </w:pPr>
            <w:r>
              <w:rPr>
                <w:color w:val="000000"/>
                <w:sz w:val="24"/>
                <w:szCs w:val="24"/>
              </w:rPr>
              <w:t>3,257,287.04</w:t>
            </w:r>
          </w:p>
        </w:tc>
        <w:tc>
          <w:tcPr>
            <w:tcW w:w="1689" w:type="dxa"/>
            <w:vAlign w:val="center"/>
          </w:tcPr>
          <w:p w:rsidR="00A61420" w:rsidRDefault="00094E8F">
            <w:pPr>
              <w:jc w:val="right"/>
            </w:pPr>
            <w:r>
              <w:rPr>
                <w:color w:val="000000"/>
                <w:sz w:val="24"/>
                <w:szCs w:val="24"/>
              </w:rPr>
              <w:t>0.11</w:t>
            </w:r>
          </w:p>
        </w:tc>
      </w:tr>
      <w:tr w:rsidR="00A61420">
        <w:trPr>
          <w:jc w:val="center"/>
        </w:trPr>
        <w:tc>
          <w:tcPr>
            <w:tcW w:w="1883" w:type="dxa"/>
            <w:vAlign w:val="center"/>
          </w:tcPr>
          <w:p w:rsidR="00A61420" w:rsidRDefault="00094E8F">
            <w:pPr>
              <w:jc w:val="center"/>
            </w:pPr>
            <w:r>
              <w:rPr>
                <w:color w:val="000000"/>
                <w:sz w:val="24"/>
                <w:szCs w:val="24"/>
              </w:rPr>
              <w:t>2</w:t>
            </w:r>
          </w:p>
        </w:tc>
        <w:tc>
          <w:tcPr>
            <w:tcW w:w="1801" w:type="dxa"/>
            <w:vAlign w:val="center"/>
          </w:tcPr>
          <w:p w:rsidR="00A61420" w:rsidRDefault="00094E8F">
            <w:pPr>
              <w:jc w:val="center"/>
            </w:pPr>
            <w:r>
              <w:rPr>
                <w:color w:val="000000"/>
                <w:sz w:val="24"/>
                <w:szCs w:val="24"/>
              </w:rPr>
              <w:t>128023</w:t>
            </w:r>
          </w:p>
        </w:tc>
        <w:tc>
          <w:tcPr>
            <w:tcW w:w="1727" w:type="dxa"/>
            <w:vAlign w:val="center"/>
          </w:tcPr>
          <w:p w:rsidR="00A61420" w:rsidRDefault="00094E8F">
            <w:pPr>
              <w:jc w:val="center"/>
            </w:pPr>
            <w:r>
              <w:rPr>
                <w:color w:val="000000"/>
                <w:sz w:val="24"/>
                <w:szCs w:val="24"/>
              </w:rPr>
              <w:t>亚太转债</w:t>
            </w:r>
          </w:p>
        </w:tc>
        <w:tc>
          <w:tcPr>
            <w:tcW w:w="1768" w:type="dxa"/>
            <w:vAlign w:val="center"/>
          </w:tcPr>
          <w:p w:rsidR="00A61420" w:rsidRDefault="00094E8F">
            <w:pPr>
              <w:jc w:val="right"/>
            </w:pPr>
            <w:r>
              <w:rPr>
                <w:color w:val="000000"/>
                <w:sz w:val="24"/>
                <w:szCs w:val="24"/>
              </w:rPr>
              <w:t>2,401.88</w:t>
            </w:r>
          </w:p>
        </w:tc>
        <w:tc>
          <w:tcPr>
            <w:tcW w:w="1689" w:type="dxa"/>
            <w:vAlign w:val="center"/>
          </w:tcPr>
          <w:p w:rsidR="00A61420" w:rsidRDefault="00094E8F">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2,630,539,918.15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48,003,893.43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398,547,392.89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2,279,996,418.69</w:t>
            </w:r>
          </w:p>
        </w:tc>
      </w:tr>
    </w:tbl>
    <w:p w:rsidR="00A61420" w:rsidRDefault="00094E8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61420" w:rsidRDefault="00094E8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A61420" w:rsidRDefault="00094E8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61420" w:rsidRDefault="00094E8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61420" w:rsidRDefault="00094E8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94E8F">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94E8F">
      <w:rPr>
        <w:noProof/>
        <w:kern w:val="0"/>
        <w:szCs w:val="21"/>
      </w:rPr>
      <w:t>12</w:t>
    </w:r>
    <w:r w:rsidR="00381EE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826" w:rsidRDefault="00EA1826" w:rsidP="00876D65">
      <w:r>
        <w:separator/>
      </w:r>
    </w:p>
  </w:footnote>
  <w:footnote w:type="continuationSeparator" w:id="0">
    <w:p w:rsidR="00EA1826" w:rsidRDefault="00EA182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4E8F"/>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1420"/>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AC778-1039-44AF-9CDC-4E770ABC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12</Pages>
  <Words>1097</Words>
  <Characters>6257</Characters>
  <Application>Microsoft Office Word</Application>
  <DocSecurity>0</DocSecurity>
  <Lines>52</Lines>
  <Paragraphs>14</Paragraphs>
  <ScaleCrop>false</ScaleCrop>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杨书月</cp:lastModifiedBy>
  <cp:revision>591</cp:revision>
  <dcterms:created xsi:type="dcterms:W3CDTF">2012-10-16T06:07:00Z</dcterms:created>
  <dcterms:modified xsi:type="dcterms:W3CDTF">2019-07-09T06:41:00Z</dcterms:modified>
</cp:coreProperties>
</file>