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w:t>
      </w:r>
      <w:proofErr w:type="gramStart"/>
      <w:r w:rsidRPr="0081286B">
        <w:rPr>
          <w:b/>
          <w:sz w:val="36"/>
          <w:szCs w:val="36"/>
        </w:rPr>
        <w:t>法核心</w:t>
      </w:r>
      <w:proofErr w:type="gramEnd"/>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06B31" w:rsidRDefault="003F4DE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银阿尔法核心混合</w:t>
            </w:r>
            <w:proofErr w:type="gramEnd"/>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1,782,107,607.33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w:t>
            </w:r>
            <w:proofErr w:type="gramStart"/>
            <w:r w:rsidRPr="00414345">
              <w:rPr>
                <w:color w:val="000000"/>
                <w:kern w:val="0"/>
                <w:sz w:val="24"/>
                <w:szCs w:val="24"/>
              </w:rPr>
              <w:t>法特征</w:t>
            </w:r>
            <w:proofErr w:type="gramEnd"/>
            <w:r w:rsidRPr="00414345">
              <w:rPr>
                <w:color w:val="000000"/>
                <w:kern w:val="0"/>
                <w:sz w:val="24"/>
                <w:szCs w:val="24"/>
              </w:rPr>
              <w:t>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72D12" w:rsidRPr="00414345" w:rsidTr="00372D1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72D12" w:rsidRPr="00414345" w:rsidTr="00372D1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119,526,967.30</w:t>
            </w:r>
          </w:p>
        </w:tc>
      </w:tr>
      <w:tr w:rsidR="00372D12" w:rsidRPr="00414345" w:rsidTr="00372D1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-188,254,700.26</w:t>
            </w:r>
          </w:p>
        </w:tc>
      </w:tr>
      <w:tr w:rsidR="00372D12" w:rsidRPr="00414345" w:rsidTr="00372D1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-0.1051</w:t>
            </w:r>
          </w:p>
        </w:tc>
      </w:tr>
      <w:tr w:rsidR="00372D12" w:rsidRPr="00414345" w:rsidTr="00372D1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3,835,166,516.38</w:t>
            </w:r>
          </w:p>
        </w:tc>
      </w:tr>
      <w:tr w:rsidR="00372D12" w:rsidRPr="00414345" w:rsidTr="00372D1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2.152</w:t>
            </w:r>
          </w:p>
        </w:tc>
      </w:tr>
    </w:tbl>
    <w:p w:rsidR="00606B31" w:rsidRDefault="003F4D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06B31">
        <w:trPr>
          <w:jc w:val="center"/>
        </w:trPr>
        <w:tc>
          <w:tcPr>
            <w:tcW w:w="1701" w:type="dxa"/>
            <w:vAlign w:val="center"/>
          </w:tcPr>
          <w:p w:rsidR="00606B31" w:rsidRDefault="003F4DE1">
            <w:pPr>
              <w:jc w:val="left"/>
            </w:pPr>
            <w:r>
              <w:rPr>
                <w:color w:val="000000"/>
                <w:sz w:val="24"/>
                <w:szCs w:val="24"/>
              </w:rPr>
              <w:t>过去三个月</w:t>
            </w:r>
          </w:p>
        </w:tc>
        <w:tc>
          <w:tcPr>
            <w:tcW w:w="1045" w:type="dxa"/>
            <w:vAlign w:val="center"/>
          </w:tcPr>
          <w:p w:rsidR="00606B31" w:rsidRDefault="003F4DE1">
            <w:pPr>
              <w:jc w:val="center"/>
            </w:pPr>
            <w:r>
              <w:rPr>
                <w:color w:val="000000"/>
                <w:sz w:val="24"/>
                <w:szCs w:val="24"/>
              </w:rPr>
              <w:t>-4.61%</w:t>
            </w:r>
          </w:p>
        </w:tc>
        <w:tc>
          <w:tcPr>
            <w:tcW w:w="1344" w:type="dxa"/>
            <w:vAlign w:val="center"/>
          </w:tcPr>
          <w:p w:rsidR="00606B31" w:rsidRDefault="003F4DE1">
            <w:pPr>
              <w:jc w:val="center"/>
            </w:pPr>
            <w:r>
              <w:rPr>
                <w:color w:val="000000"/>
                <w:sz w:val="24"/>
                <w:szCs w:val="24"/>
              </w:rPr>
              <w:t>1.49%</w:t>
            </w:r>
          </w:p>
        </w:tc>
        <w:tc>
          <w:tcPr>
            <w:tcW w:w="1194" w:type="dxa"/>
            <w:vAlign w:val="center"/>
          </w:tcPr>
          <w:p w:rsidR="00606B31" w:rsidRDefault="003F4DE1">
            <w:pPr>
              <w:jc w:val="center"/>
            </w:pPr>
            <w:r>
              <w:rPr>
                <w:color w:val="000000"/>
                <w:sz w:val="24"/>
                <w:szCs w:val="24"/>
              </w:rPr>
              <w:t>-0.61%</w:t>
            </w:r>
          </w:p>
        </w:tc>
        <w:tc>
          <w:tcPr>
            <w:tcW w:w="1492" w:type="dxa"/>
            <w:vAlign w:val="center"/>
          </w:tcPr>
          <w:p w:rsidR="00606B31" w:rsidRDefault="003F4DE1">
            <w:pPr>
              <w:jc w:val="center"/>
            </w:pPr>
            <w:r>
              <w:rPr>
                <w:color w:val="000000"/>
                <w:sz w:val="24"/>
                <w:szCs w:val="24"/>
              </w:rPr>
              <w:t>1.14%</w:t>
            </w:r>
          </w:p>
        </w:tc>
        <w:tc>
          <w:tcPr>
            <w:tcW w:w="1194" w:type="dxa"/>
            <w:vAlign w:val="center"/>
          </w:tcPr>
          <w:p w:rsidR="00606B31" w:rsidRDefault="003F4DE1">
            <w:pPr>
              <w:jc w:val="center"/>
            </w:pPr>
            <w:r>
              <w:rPr>
                <w:color w:val="000000"/>
                <w:sz w:val="24"/>
                <w:szCs w:val="24"/>
              </w:rPr>
              <w:t>-4.00%</w:t>
            </w:r>
          </w:p>
        </w:tc>
        <w:tc>
          <w:tcPr>
            <w:tcW w:w="898" w:type="dxa"/>
            <w:vAlign w:val="center"/>
          </w:tcPr>
          <w:p w:rsidR="00606B31" w:rsidRDefault="003F4DE1">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w:t>
      </w:r>
      <w:proofErr w:type="gramStart"/>
      <w:r w:rsidRPr="00414345">
        <w:rPr>
          <w:color w:val="000000"/>
          <w:sz w:val="24"/>
          <w:szCs w:val="24"/>
        </w:rPr>
        <w:t>法核心</w:t>
      </w:r>
      <w:proofErr w:type="gramEnd"/>
      <w:r w:rsidRPr="00414345">
        <w:rPr>
          <w:color w:val="000000"/>
          <w:sz w:val="24"/>
          <w:szCs w:val="24"/>
        </w:rPr>
        <w:t>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06B31">
        <w:trPr>
          <w:jc w:val="center"/>
        </w:trPr>
        <w:tc>
          <w:tcPr>
            <w:tcW w:w="846" w:type="dxa"/>
            <w:vAlign w:val="center"/>
          </w:tcPr>
          <w:p w:rsidR="00606B31" w:rsidRDefault="003F4DE1">
            <w:pPr>
              <w:jc w:val="center"/>
            </w:pPr>
            <w:proofErr w:type="gramStart"/>
            <w:r>
              <w:rPr>
                <w:color w:val="000000"/>
                <w:sz w:val="24"/>
                <w:szCs w:val="24"/>
              </w:rPr>
              <w:t>何帅</w:t>
            </w:r>
            <w:proofErr w:type="gramEnd"/>
          </w:p>
        </w:tc>
        <w:tc>
          <w:tcPr>
            <w:tcW w:w="845" w:type="dxa"/>
            <w:vAlign w:val="center"/>
          </w:tcPr>
          <w:p w:rsidR="00606B31" w:rsidRDefault="003F4DE1">
            <w:pPr>
              <w:jc w:val="center"/>
            </w:pPr>
            <w:r>
              <w:rPr>
                <w:color w:val="000000"/>
                <w:sz w:val="24"/>
                <w:szCs w:val="24"/>
              </w:rPr>
              <w:t>交</w:t>
            </w:r>
            <w:proofErr w:type="gramStart"/>
            <w:r>
              <w:rPr>
                <w:color w:val="000000"/>
                <w:sz w:val="24"/>
                <w:szCs w:val="24"/>
              </w:rPr>
              <w:t>银优势</w:t>
            </w:r>
            <w:proofErr w:type="gramEnd"/>
            <w:r>
              <w:rPr>
                <w:color w:val="000000"/>
                <w:sz w:val="24"/>
                <w:szCs w:val="24"/>
              </w:rPr>
              <w:t>行业混合、交</w:t>
            </w:r>
            <w:proofErr w:type="gramStart"/>
            <w:r>
              <w:rPr>
                <w:color w:val="000000"/>
                <w:sz w:val="24"/>
                <w:szCs w:val="24"/>
              </w:rPr>
              <w:t>银阿尔法核心混合</w:t>
            </w:r>
            <w:proofErr w:type="gramEnd"/>
            <w:r>
              <w:rPr>
                <w:color w:val="000000"/>
                <w:sz w:val="24"/>
                <w:szCs w:val="24"/>
              </w:rPr>
              <w:t>、</w:t>
            </w:r>
            <w:r>
              <w:rPr>
                <w:color w:val="000000"/>
                <w:sz w:val="24"/>
                <w:szCs w:val="24"/>
              </w:rPr>
              <w:lastRenderedPageBreak/>
              <w:t>交</w:t>
            </w:r>
            <w:proofErr w:type="gramStart"/>
            <w:r>
              <w:rPr>
                <w:color w:val="000000"/>
                <w:sz w:val="24"/>
                <w:szCs w:val="24"/>
              </w:rPr>
              <w:t>银持续</w:t>
            </w:r>
            <w:proofErr w:type="gramEnd"/>
            <w:r>
              <w:rPr>
                <w:color w:val="000000"/>
                <w:sz w:val="24"/>
                <w:szCs w:val="24"/>
              </w:rPr>
              <w:t>成长主题混合的基金经理</w:t>
            </w:r>
          </w:p>
        </w:tc>
        <w:tc>
          <w:tcPr>
            <w:tcW w:w="1549" w:type="dxa"/>
            <w:vAlign w:val="center"/>
          </w:tcPr>
          <w:p w:rsidR="00606B31" w:rsidRDefault="003F4DE1">
            <w:pPr>
              <w:jc w:val="center"/>
            </w:pPr>
            <w:r>
              <w:rPr>
                <w:color w:val="000000"/>
                <w:sz w:val="24"/>
                <w:szCs w:val="24"/>
              </w:rPr>
              <w:lastRenderedPageBreak/>
              <w:t>2015-09-16</w:t>
            </w:r>
          </w:p>
        </w:tc>
        <w:tc>
          <w:tcPr>
            <w:tcW w:w="1548" w:type="dxa"/>
            <w:vAlign w:val="center"/>
          </w:tcPr>
          <w:p w:rsidR="00606B31" w:rsidRDefault="003F4DE1">
            <w:pPr>
              <w:jc w:val="center"/>
            </w:pPr>
            <w:r>
              <w:rPr>
                <w:color w:val="000000"/>
                <w:sz w:val="24"/>
                <w:szCs w:val="24"/>
              </w:rPr>
              <w:t>-</w:t>
            </w:r>
          </w:p>
        </w:tc>
        <w:tc>
          <w:tcPr>
            <w:tcW w:w="1407" w:type="dxa"/>
            <w:vAlign w:val="center"/>
          </w:tcPr>
          <w:p w:rsidR="00606B31" w:rsidRDefault="003F4DE1">
            <w:pPr>
              <w:jc w:val="center"/>
            </w:pPr>
            <w:r>
              <w:rPr>
                <w:color w:val="000000"/>
                <w:sz w:val="24"/>
                <w:szCs w:val="24"/>
              </w:rPr>
              <w:t>9</w:t>
            </w:r>
            <w:r>
              <w:rPr>
                <w:color w:val="000000"/>
                <w:sz w:val="24"/>
                <w:szCs w:val="24"/>
              </w:rPr>
              <w:t>年</w:t>
            </w:r>
          </w:p>
        </w:tc>
        <w:tc>
          <w:tcPr>
            <w:tcW w:w="2673" w:type="dxa"/>
            <w:vAlign w:val="center"/>
          </w:tcPr>
          <w:p w:rsidR="00606B31" w:rsidRDefault="003F4DE1">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06B31" w:rsidRDefault="003F4DE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06B31" w:rsidRDefault="003F4DE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06B31" w:rsidRDefault="003F4DE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w:t>
      </w:r>
      <w:proofErr w:type="gramStart"/>
      <w:r w:rsidRPr="00414345">
        <w:rPr>
          <w:color w:val="000000"/>
          <w:sz w:val="24"/>
          <w:szCs w:val="24"/>
        </w:rPr>
        <w:t>组合因</w:t>
      </w:r>
      <w:proofErr w:type="gramEnd"/>
      <w:r w:rsidRPr="00414345">
        <w:rPr>
          <w:color w:val="000000"/>
          <w:sz w:val="24"/>
          <w:szCs w:val="24"/>
        </w:rPr>
        <w:t>投资策略需要而发生同日反向交易，未发现不公平</w:t>
      </w:r>
      <w:r w:rsidRPr="00414345">
        <w:rPr>
          <w:color w:val="000000"/>
          <w:sz w:val="24"/>
          <w:szCs w:val="24"/>
        </w:rPr>
        <w:lastRenderedPageBreak/>
        <w:t>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06B31" w:rsidRDefault="003F4DE1">
      <w:pPr>
        <w:spacing w:before="29" w:line="288" w:lineRule="auto"/>
        <w:ind w:firstLineChars="200" w:firstLine="480"/>
        <w:rPr>
          <w:color w:val="000000"/>
          <w:sz w:val="24"/>
          <w:szCs w:val="24"/>
        </w:rPr>
      </w:pPr>
      <w:r>
        <w:rPr>
          <w:color w:val="000000"/>
          <w:sz w:val="24"/>
          <w:szCs w:val="24"/>
        </w:rPr>
        <w:t>2019</w:t>
      </w:r>
      <w:r>
        <w:rPr>
          <w:color w:val="000000"/>
          <w:sz w:val="24"/>
          <w:szCs w:val="24"/>
        </w:rPr>
        <w:t>年二季度</w:t>
      </w:r>
      <w:r>
        <w:rPr>
          <w:color w:val="000000"/>
          <w:sz w:val="24"/>
          <w:szCs w:val="24"/>
        </w:rPr>
        <w:t>A</w:t>
      </w:r>
      <w:r>
        <w:rPr>
          <w:color w:val="000000"/>
          <w:sz w:val="24"/>
          <w:szCs w:val="24"/>
        </w:rPr>
        <w:t>股市</w:t>
      </w:r>
      <w:proofErr w:type="gramStart"/>
      <w:r>
        <w:rPr>
          <w:color w:val="000000"/>
          <w:sz w:val="24"/>
          <w:szCs w:val="24"/>
        </w:rPr>
        <w:t>场风险</w:t>
      </w:r>
      <w:proofErr w:type="gramEnd"/>
      <w:r>
        <w:rPr>
          <w:color w:val="000000"/>
          <w:sz w:val="24"/>
          <w:szCs w:val="24"/>
        </w:rPr>
        <w:t>偏好下降明显，上证指数下跌</w:t>
      </w:r>
      <w:r>
        <w:rPr>
          <w:color w:val="000000"/>
          <w:sz w:val="24"/>
          <w:szCs w:val="24"/>
        </w:rPr>
        <w:t>3.62%</w:t>
      </w:r>
      <w:r>
        <w:rPr>
          <w:color w:val="000000"/>
          <w:sz w:val="24"/>
          <w:szCs w:val="24"/>
        </w:rPr>
        <w:t>，创业</w:t>
      </w:r>
      <w:proofErr w:type="gramStart"/>
      <w:r>
        <w:rPr>
          <w:color w:val="000000"/>
          <w:sz w:val="24"/>
          <w:szCs w:val="24"/>
        </w:rPr>
        <w:t>板指数</w:t>
      </w:r>
      <w:proofErr w:type="gramEnd"/>
      <w:r>
        <w:rPr>
          <w:color w:val="000000"/>
          <w:sz w:val="24"/>
          <w:szCs w:val="24"/>
        </w:rPr>
        <w:t>下跌</w:t>
      </w:r>
      <w:r>
        <w:rPr>
          <w:color w:val="000000"/>
          <w:sz w:val="24"/>
          <w:szCs w:val="24"/>
        </w:rPr>
        <w:t>10.75%</w:t>
      </w:r>
      <w:r>
        <w:rPr>
          <w:color w:val="000000"/>
          <w:sz w:val="24"/>
          <w:szCs w:val="24"/>
        </w:rPr>
        <w:t>。其中以食品饮料为代表的绩优白马等上涨明显。</w:t>
      </w:r>
    </w:p>
    <w:p w:rsidR="00606B31" w:rsidRDefault="003F4DE1">
      <w:pPr>
        <w:spacing w:before="29" w:line="288" w:lineRule="auto"/>
        <w:ind w:firstLineChars="200" w:firstLine="480"/>
        <w:rPr>
          <w:color w:val="000000"/>
          <w:sz w:val="24"/>
          <w:szCs w:val="24"/>
        </w:rPr>
      </w:pPr>
      <w:r>
        <w:rPr>
          <w:color w:val="000000"/>
          <w:sz w:val="24"/>
          <w:szCs w:val="24"/>
        </w:rPr>
        <w:t>本基金在二季度未跑</w:t>
      </w:r>
      <w:proofErr w:type="gramStart"/>
      <w:r>
        <w:rPr>
          <w:color w:val="000000"/>
          <w:sz w:val="24"/>
          <w:szCs w:val="24"/>
        </w:rPr>
        <w:t>赢业绩</w:t>
      </w:r>
      <w:proofErr w:type="gramEnd"/>
      <w:r>
        <w:rPr>
          <w:color w:val="000000"/>
          <w:sz w:val="24"/>
          <w:szCs w:val="24"/>
        </w:rPr>
        <w:t>比较基准，主要原因是持仓结构偏向成长类，而</w:t>
      </w:r>
      <w:r>
        <w:rPr>
          <w:color w:val="000000"/>
          <w:sz w:val="24"/>
          <w:szCs w:val="24"/>
        </w:rPr>
        <w:t>“</w:t>
      </w:r>
      <w:r>
        <w:rPr>
          <w:color w:val="000000"/>
          <w:sz w:val="24"/>
          <w:szCs w:val="24"/>
        </w:rPr>
        <w:t>核心资产</w:t>
      </w:r>
      <w:r>
        <w:rPr>
          <w:color w:val="000000"/>
          <w:sz w:val="24"/>
          <w:szCs w:val="24"/>
        </w:rPr>
        <w:t>”</w:t>
      </w:r>
      <w:r>
        <w:rPr>
          <w:color w:val="000000"/>
          <w:sz w:val="24"/>
          <w:szCs w:val="24"/>
        </w:rPr>
        <w:t>等绩优白马配置较少。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站在目前的时点上，经历了年初以来市场较大幅度的上涨及二季度的回调，市场中不同行业或者标的</w:t>
      </w:r>
      <w:proofErr w:type="gramStart"/>
      <w:r w:rsidRPr="00414345">
        <w:rPr>
          <w:color w:val="000000"/>
          <w:sz w:val="24"/>
          <w:szCs w:val="24"/>
        </w:rPr>
        <w:t>的</w:t>
      </w:r>
      <w:proofErr w:type="gramEnd"/>
      <w:r w:rsidRPr="00414345">
        <w:rPr>
          <w:color w:val="000000"/>
          <w:sz w:val="24"/>
          <w:szCs w:val="24"/>
        </w:rPr>
        <w:t>市场关注度及隐含回报率发生了较大分化。对于宏观经济基本面预期，短期数据表现不错，但是很难说中国经济的隐忧已经完全解除，后续几个季度还需要继续观察。预计在整体指数相对平稳的状态下，持续成长型公司可能将陆续涌现，或许是挑战选</w:t>
      </w:r>
      <w:proofErr w:type="gramStart"/>
      <w:r w:rsidRPr="00414345">
        <w:rPr>
          <w:color w:val="000000"/>
          <w:sz w:val="24"/>
          <w:szCs w:val="24"/>
        </w:rPr>
        <w:t>股能力</w:t>
      </w:r>
      <w:proofErr w:type="gramEnd"/>
      <w:r w:rsidRPr="00414345">
        <w:rPr>
          <w:color w:val="000000"/>
          <w:sz w:val="24"/>
          <w:szCs w:val="24"/>
        </w:rPr>
        <w:t>的阶段，可以更多地去寻找变化，寻找能够展现新的积极前景的公司。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3,165,054,428.32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3,165,054,428.32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79,649,452.00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79,649,452.00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649,505,051.45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18,290,570.43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3,912,499,502.20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431,680.00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893,331.25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703,703,105.27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1,496,600.00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153,311,598.42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750,390.00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1,740,368,642.68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13,917,832.83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140,273,461.78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385,028.52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123,689,235.60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507,805.76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27,606,541.91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257,435,267.70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3,165,054,428.32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06B31">
        <w:trPr>
          <w:jc w:val="center"/>
        </w:trPr>
        <w:tc>
          <w:tcPr>
            <w:tcW w:w="855" w:type="dxa"/>
            <w:vAlign w:val="center"/>
          </w:tcPr>
          <w:p w:rsidR="00606B31" w:rsidRDefault="003F4DE1">
            <w:pPr>
              <w:jc w:val="center"/>
            </w:pPr>
            <w:r>
              <w:rPr>
                <w:color w:val="000000"/>
                <w:sz w:val="24"/>
                <w:szCs w:val="24"/>
              </w:rPr>
              <w:t>1</w:t>
            </w:r>
          </w:p>
        </w:tc>
        <w:tc>
          <w:tcPr>
            <w:tcW w:w="1334" w:type="dxa"/>
            <w:vAlign w:val="center"/>
          </w:tcPr>
          <w:p w:rsidR="00606B31" w:rsidRDefault="003F4DE1">
            <w:pPr>
              <w:jc w:val="center"/>
            </w:pPr>
            <w:r>
              <w:rPr>
                <w:color w:val="000000"/>
                <w:sz w:val="24"/>
                <w:szCs w:val="24"/>
              </w:rPr>
              <w:t>300188</w:t>
            </w:r>
          </w:p>
        </w:tc>
        <w:tc>
          <w:tcPr>
            <w:tcW w:w="1777" w:type="dxa"/>
            <w:vAlign w:val="center"/>
          </w:tcPr>
          <w:p w:rsidR="00606B31" w:rsidRDefault="003F4DE1">
            <w:pPr>
              <w:jc w:val="center"/>
            </w:pPr>
            <w:r>
              <w:rPr>
                <w:color w:val="000000"/>
                <w:sz w:val="24"/>
                <w:szCs w:val="24"/>
              </w:rPr>
              <w:t>美亚柏科</w:t>
            </w:r>
          </w:p>
        </w:tc>
        <w:tc>
          <w:tcPr>
            <w:tcW w:w="1334" w:type="dxa"/>
            <w:vAlign w:val="center"/>
          </w:tcPr>
          <w:p w:rsidR="00606B31" w:rsidRDefault="003F4DE1">
            <w:pPr>
              <w:jc w:val="right"/>
            </w:pPr>
            <w:r>
              <w:rPr>
                <w:color w:val="000000"/>
                <w:sz w:val="24"/>
                <w:szCs w:val="24"/>
              </w:rPr>
              <w:t>18,705,679</w:t>
            </w:r>
          </w:p>
        </w:tc>
        <w:tc>
          <w:tcPr>
            <w:tcW w:w="1924" w:type="dxa"/>
            <w:vAlign w:val="center"/>
          </w:tcPr>
          <w:p w:rsidR="00606B31" w:rsidRDefault="003F4DE1">
            <w:pPr>
              <w:jc w:val="right"/>
            </w:pPr>
            <w:r>
              <w:rPr>
                <w:color w:val="000000"/>
                <w:sz w:val="24"/>
                <w:szCs w:val="24"/>
              </w:rPr>
              <w:t>333,522,256.57</w:t>
            </w:r>
          </w:p>
        </w:tc>
        <w:tc>
          <w:tcPr>
            <w:tcW w:w="1644" w:type="dxa"/>
            <w:vAlign w:val="center"/>
          </w:tcPr>
          <w:p w:rsidR="00606B31" w:rsidRDefault="003F4DE1">
            <w:pPr>
              <w:jc w:val="right"/>
            </w:pPr>
            <w:r>
              <w:rPr>
                <w:color w:val="000000"/>
                <w:sz w:val="24"/>
                <w:szCs w:val="24"/>
              </w:rPr>
              <w:t>8.70</w:t>
            </w:r>
          </w:p>
        </w:tc>
      </w:tr>
      <w:tr w:rsidR="00606B31">
        <w:trPr>
          <w:jc w:val="center"/>
        </w:trPr>
        <w:tc>
          <w:tcPr>
            <w:tcW w:w="855" w:type="dxa"/>
            <w:vAlign w:val="center"/>
          </w:tcPr>
          <w:p w:rsidR="00606B31" w:rsidRDefault="003F4DE1">
            <w:pPr>
              <w:jc w:val="center"/>
            </w:pPr>
            <w:r>
              <w:rPr>
                <w:color w:val="000000"/>
                <w:sz w:val="24"/>
                <w:szCs w:val="24"/>
              </w:rPr>
              <w:t>2</w:t>
            </w:r>
          </w:p>
        </w:tc>
        <w:tc>
          <w:tcPr>
            <w:tcW w:w="1334" w:type="dxa"/>
            <w:vAlign w:val="center"/>
          </w:tcPr>
          <w:p w:rsidR="00606B31" w:rsidRDefault="003F4DE1">
            <w:pPr>
              <w:jc w:val="center"/>
            </w:pPr>
            <w:r>
              <w:rPr>
                <w:color w:val="000000"/>
                <w:sz w:val="24"/>
                <w:szCs w:val="24"/>
              </w:rPr>
              <w:t>300365</w:t>
            </w:r>
          </w:p>
        </w:tc>
        <w:tc>
          <w:tcPr>
            <w:tcW w:w="1777" w:type="dxa"/>
            <w:vAlign w:val="center"/>
          </w:tcPr>
          <w:p w:rsidR="00606B31" w:rsidRDefault="003F4DE1">
            <w:pPr>
              <w:jc w:val="center"/>
            </w:pPr>
            <w:r>
              <w:rPr>
                <w:color w:val="000000"/>
                <w:sz w:val="24"/>
                <w:szCs w:val="24"/>
              </w:rPr>
              <w:t>恒华科技</w:t>
            </w:r>
          </w:p>
        </w:tc>
        <w:tc>
          <w:tcPr>
            <w:tcW w:w="1334" w:type="dxa"/>
            <w:vAlign w:val="center"/>
          </w:tcPr>
          <w:p w:rsidR="00606B31" w:rsidRDefault="003F4DE1">
            <w:pPr>
              <w:jc w:val="right"/>
            </w:pPr>
            <w:r>
              <w:rPr>
                <w:color w:val="000000"/>
                <w:sz w:val="24"/>
                <w:szCs w:val="24"/>
              </w:rPr>
              <w:t>14,886,003</w:t>
            </w:r>
          </w:p>
        </w:tc>
        <w:tc>
          <w:tcPr>
            <w:tcW w:w="1924" w:type="dxa"/>
            <w:vAlign w:val="center"/>
          </w:tcPr>
          <w:p w:rsidR="00606B31" w:rsidRDefault="003F4DE1">
            <w:pPr>
              <w:jc w:val="right"/>
            </w:pPr>
            <w:r>
              <w:rPr>
                <w:color w:val="000000"/>
                <w:sz w:val="24"/>
                <w:szCs w:val="24"/>
              </w:rPr>
              <w:t>241,302,108.63</w:t>
            </w:r>
          </w:p>
        </w:tc>
        <w:tc>
          <w:tcPr>
            <w:tcW w:w="1644" w:type="dxa"/>
            <w:vAlign w:val="center"/>
          </w:tcPr>
          <w:p w:rsidR="00606B31" w:rsidRDefault="003F4DE1">
            <w:pPr>
              <w:jc w:val="right"/>
            </w:pPr>
            <w:r>
              <w:rPr>
                <w:color w:val="000000"/>
                <w:sz w:val="24"/>
                <w:szCs w:val="24"/>
              </w:rPr>
              <w:t>6.29</w:t>
            </w:r>
          </w:p>
        </w:tc>
      </w:tr>
      <w:tr w:rsidR="00606B31">
        <w:trPr>
          <w:jc w:val="center"/>
        </w:trPr>
        <w:tc>
          <w:tcPr>
            <w:tcW w:w="855" w:type="dxa"/>
            <w:vAlign w:val="center"/>
          </w:tcPr>
          <w:p w:rsidR="00606B31" w:rsidRDefault="003F4DE1">
            <w:pPr>
              <w:jc w:val="center"/>
            </w:pPr>
            <w:r>
              <w:rPr>
                <w:color w:val="000000"/>
                <w:sz w:val="24"/>
                <w:szCs w:val="24"/>
              </w:rPr>
              <w:t>3</w:t>
            </w:r>
          </w:p>
        </w:tc>
        <w:tc>
          <w:tcPr>
            <w:tcW w:w="1334" w:type="dxa"/>
            <w:vAlign w:val="center"/>
          </w:tcPr>
          <w:p w:rsidR="00606B31" w:rsidRDefault="003F4DE1">
            <w:pPr>
              <w:jc w:val="center"/>
            </w:pPr>
            <w:r>
              <w:rPr>
                <w:color w:val="000000"/>
                <w:sz w:val="24"/>
                <w:szCs w:val="24"/>
              </w:rPr>
              <w:t>300078</w:t>
            </w:r>
          </w:p>
        </w:tc>
        <w:tc>
          <w:tcPr>
            <w:tcW w:w="1777" w:type="dxa"/>
            <w:vAlign w:val="center"/>
          </w:tcPr>
          <w:p w:rsidR="00606B31" w:rsidRDefault="003F4DE1">
            <w:pPr>
              <w:jc w:val="center"/>
            </w:pPr>
            <w:r>
              <w:rPr>
                <w:color w:val="000000"/>
                <w:sz w:val="24"/>
                <w:szCs w:val="24"/>
              </w:rPr>
              <w:t>思创</w:t>
            </w:r>
            <w:proofErr w:type="gramStart"/>
            <w:r>
              <w:rPr>
                <w:color w:val="000000"/>
                <w:sz w:val="24"/>
                <w:szCs w:val="24"/>
              </w:rPr>
              <w:t>医</w:t>
            </w:r>
            <w:proofErr w:type="gramEnd"/>
            <w:r>
              <w:rPr>
                <w:color w:val="000000"/>
                <w:sz w:val="24"/>
                <w:szCs w:val="24"/>
              </w:rPr>
              <w:t>惠</w:t>
            </w:r>
          </w:p>
        </w:tc>
        <w:tc>
          <w:tcPr>
            <w:tcW w:w="1334" w:type="dxa"/>
            <w:vAlign w:val="center"/>
          </w:tcPr>
          <w:p w:rsidR="00606B31" w:rsidRDefault="003F4DE1">
            <w:pPr>
              <w:jc w:val="right"/>
            </w:pPr>
            <w:r>
              <w:rPr>
                <w:color w:val="000000"/>
                <w:sz w:val="24"/>
                <w:szCs w:val="24"/>
              </w:rPr>
              <w:t>22,482,515</w:t>
            </w:r>
          </w:p>
        </w:tc>
        <w:tc>
          <w:tcPr>
            <w:tcW w:w="1924" w:type="dxa"/>
            <w:vAlign w:val="center"/>
          </w:tcPr>
          <w:p w:rsidR="00606B31" w:rsidRDefault="003F4DE1">
            <w:pPr>
              <w:jc w:val="right"/>
            </w:pPr>
            <w:r>
              <w:rPr>
                <w:color w:val="000000"/>
                <w:sz w:val="24"/>
                <w:szCs w:val="24"/>
              </w:rPr>
              <w:t>229,546,478.15</w:t>
            </w:r>
          </w:p>
        </w:tc>
        <w:tc>
          <w:tcPr>
            <w:tcW w:w="1644" w:type="dxa"/>
            <w:vAlign w:val="center"/>
          </w:tcPr>
          <w:p w:rsidR="00606B31" w:rsidRDefault="003F4DE1">
            <w:pPr>
              <w:jc w:val="right"/>
            </w:pPr>
            <w:r>
              <w:rPr>
                <w:color w:val="000000"/>
                <w:sz w:val="24"/>
                <w:szCs w:val="24"/>
              </w:rPr>
              <w:t>5.99</w:t>
            </w:r>
          </w:p>
        </w:tc>
      </w:tr>
      <w:tr w:rsidR="00606B31">
        <w:trPr>
          <w:jc w:val="center"/>
        </w:trPr>
        <w:tc>
          <w:tcPr>
            <w:tcW w:w="855" w:type="dxa"/>
            <w:vAlign w:val="center"/>
          </w:tcPr>
          <w:p w:rsidR="00606B31" w:rsidRDefault="003F4DE1">
            <w:pPr>
              <w:jc w:val="center"/>
            </w:pPr>
            <w:r>
              <w:rPr>
                <w:color w:val="000000"/>
                <w:sz w:val="24"/>
                <w:szCs w:val="24"/>
              </w:rPr>
              <w:t>4</w:t>
            </w:r>
          </w:p>
        </w:tc>
        <w:tc>
          <w:tcPr>
            <w:tcW w:w="1334" w:type="dxa"/>
            <w:vAlign w:val="center"/>
          </w:tcPr>
          <w:p w:rsidR="00606B31" w:rsidRDefault="003F4DE1">
            <w:pPr>
              <w:jc w:val="center"/>
            </w:pPr>
            <w:r>
              <w:rPr>
                <w:color w:val="000000"/>
                <w:sz w:val="24"/>
                <w:szCs w:val="24"/>
              </w:rPr>
              <w:t>002044</w:t>
            </w:r>
          </w:p>
        </w:tc>
        <w:tc>
          <w:tcPr>
            <w:tcW w:w="1777" w:type="dxa"/>
            <w:vAlign w:val="center"/>
          </w:tcPr>
          <w:p w:rsidR="00606B31" w:rsidRDefault="003F4DE1">
            <w:pPr>
              <w:jc w:val="center"/>
            </w:pPr>
            <w:r>
              <w:rPr>
                <w:color w:val="000000"/>
                <w:sz w:val="24"/>
                <w:szCs w:val="24"/>
              </w:rPr>
              <w:t>美</w:t>
            </w:r>
            <w:proofErr w:type="gramStart"/>
            <w:r>
              <w:rPr>
                <w:color w:val="000000"/>
                <w:sz w:val="24"/>
                <w:szCs w:val="24"/>
              </w:rPr>
              <w:t>年健康</w:t>
            </w:r>
            <w:proofErr w:type="gramEnd"/>
          </w:p>
        </w:tc>
        <w:tc>
          <w:tcPr>
            <w:tcW w:w="1334" w:type="dxa"/>
            <w:vAlign w:val="center"/>
          </w:tcPr>
          <w:p w:rsidR="00606B31" w:rsidRDefault="003F4DE1">
            <w:pPr>
              <w:jc w:val="right"/>
            </w:pPr>
            <w:r>
              <w:rPr>
                <w:color w:val="000000"/>
                <w:sz w:val="24"/>
                <w:szCs w:val="24"/>
              </w:rPr>
              <w:t>16,763,115</w:t>
            </w:r>
          </w:p>
        </w:tc>
        <w:tc>
          <w:tcPr>
            <w:tcW w:w="1924" w:type="dxa"/>
            <w:vAlign w:val="center"/>
          </w:tcPr>
          <w:p w:rsidR="00606B31" w:rsidRDefault="003F4DE1">
            <w:pPr>
              <w:jc w:val="right"/>
            </w:pPr>
            <w:r>
              <w:rPr>
                <w:color w:val="000000"/>
                <w:sz w:val="24"/>
                <w:szCs w:val="24"/>
              </w:rPr>
              <w:t>207,675,150.60</w:t>
            </w:r>
          </w:p>
        </w:tc>
        <w:tc>
          <w:tcPr>
            <w:tcW w:w="1644" w:type="dxa"/>
            <w:vAlign w:val="center"/>
          </w:tcPr>
          <w:p w:rsidR="00606B31" w:rsidRDefault="003F4DE1">
            <w:pPr>
              <w:jc w:val="right"/>
            </w:pPr>
            <w:r>
              <w:rPr>
                <w:color w:val="000000"/>
                <w:sz w:val="24"/>
                <w:szCs w:val="24"/>
              </w:rPr>
              <w:t>5.42</w:t>
            </w:r>
          </w:p>
        </w:tc>
      </w:tr>
      <w:tr w:rsidR="00606B31">
        <w:trPr>
          <w:jc w:val="center"/>
        </w:trPr>
        <w:tc>
          <w:tcPr>
            <w:tcW w:w="855" w:type="dxa"/>
            <w:vAlign w:val="center"/>
          </w:tcPr>
          <w:p w:rsidR="00606B31" w:rsidRDefault="003F4DE1">
            <w:pPr>
              <w:jc w:val="center"/>
            </w:pPr>
            <w:r>
              <w:rPr>
                <w:color w:val="000000"/>
                <w:sz w:val="24"/>
                <w:szCs w:val="24"/>
              </w:rPr>
              <w:t>5</w:t>
            </w:r>
          </w:p>
        </w:tc>
        <w:tc>
          <w:tcPr>
            <w:tcW w:w="1334" w:type="dxa"/>
            <w:vAlign w:val="center"/>
          </w:tcPr>
          <w:p w:rsidR="00606B31" w:rsidRDefault="003F4DE1">
            <w:pPr>
              <w:jc w:val="center"/>
            </w:pPr>
            <w:r>
              <w:rPr>
                <w:color w:val="000000"/>
                <w:sz w:val="24"/>
                <w:szCs w:val="24"/>
              </w:rPr>
              <w:t>300271</w:t>
            </w:r>
          </w:p>
        </w:tc>
        <w:tc>
          <w:tcPr>
            <w:tcW w:w="1777" w:type="dxa"/>
            <w:vAlign w:val="center"/>
          </w:tcPr>
          <w:p w:rsidR="00606B31" w:rsidRDefault="003F4DE1">
            <w:pPr>
              <w:jc w:val="center"/>
            </w:pPr>
            <w:r>
              <w:rPr>
                <w:color w:val="000000"/>
                <w:sz w:val="24"/>
                <w:szCs w:val="24"/>
              </w:rPr>
              <w:t>华</w:t>
            </w:r>
            <w:proofErr w:type="gramStart"/>
            <w:r>
              <w:rPr>
                <w:color w:val="000000"/>
                <w:sz w:val="24"/>
                <w:szCs w:val="24"/>
              </w:rPr>
              <w:t>宇软件</w:t>
            </w:r>
            <w:proofErr w:type="gramEnd"/>
          </w:p>
        </w:tc>
        <w:tc>
          <w:tcPr>
            <w:tcW w:w="1334" w:type="dxa"/>
            <w:vAlign w:val="center"/>
          </w:tcPr>
          <w:p w:rsidR="00606B31" w:rsidRDefault="003F4DE1">
            <w:pPr>
              <w:jc w:val="right"/>
            </w:pPr>
            <w:r>
              <w:rPr>
                <w:color w:val="000000"/>
                <w:sz w:val="24"/>
                <w:szCs w:val="24"/>
              </w:rPr>
              <w:t>7,472,278</w:t>
            </w:r>
          </w:p>
        </w:tc>
        <w:tc>
          <w:tcPr>
            <w:tcW w:w="1924" w:type="dxa"/>
            <w:vAlign w:val="center"/>
          </w:tcPr>
          <w:p w:rsidR="00606B31" w:rsidRDefault="003F4DE1">
            <w:pPr>
              <w:jc w:val="right"/>
            </w:pPr>
            <w:r>
              <w:rPr>
                <w:color w:val="000000"/>
                <w:sz w:val="24"/>
                <w:szCs w:val="24"/>
              </w:rPr>
              <w:t>141,973,282.00</w:t>
            </w:r>
          </w:p>
        </w:tc>
        <w:tc>
          <w:tcPr>
            <w:tcW w:w="1644" w:type="dxa"/>
            <w:vAlign w:val="center"/>
          </w:tcPr>
          <w:p w:rsidR="00606B31" w:rsidRDefault="003F4DE1">
            <w:pPr>
              <w:jc w:val="right"/>
            </w:pPr>
            <w:r>
              <w:rPr>
                <w:color w:val="000000"/>
                <w:sz w:val="24"/>
                <w:szCs w:val="24"/>
              </w:rPr>
              <w:t>3.70</w:t>
            </w:r>
          </w:p>
        </w:tc>
      </w:tr>
      <w:tr w:rsidR="00606B31">
        <w:trPr>
          <w:jc w:val="center"/>
        </w:trPr>
        <w:tc>
          <w:tcPr>
            <w:tcW w:w="855" w:type="dxa"/>
            <w:vAlign w:val="center"/>
          </w:tcPr>
          <w:p w:rsidR="00606B31" w:rsidRDefault="003F4DE1">
            <w:pPr>
              <w:jc w:val="center"/>
            </w:pPr>
            <w:r>
              <w:rPr>
                <w:color w:val="000000"/>
                <w:sz w:val="24"/>
                <w:szCs w:val="24"/>
              </w:rPr>
              <w:t>6</w:t>
            </w:r>
          </w:p>
        </w:tc>
        <w:tc>
          <w:tcPr>
            <w:tcW w:w="1334" w:type="dxa"/>
            <w:vAlign w:val="center"/>
          </w:tcPr>
          <w:p w:rsidR="00606B31" w:rsidRDefault="003F4DE1">
            <w:pPr>
              <w:jc w:val="center"/>
            </w:pPr>
            <w:r>
              <w:rPr>
                <w:color w:val="000000"/>
                <w:sz w:val="24"/>
                <w:szCs w:val="24"/>
              </w:rPr>
              <w:t>603039</w:t>
            </w:r>
          </w:p>
        </w:tc>
        <w:tc>
          <w:tcPr>
            <w:tcW w:w="1777" w:type="dxa"/>
            <w:vAlign w:val="center"/>
          </w:tcPr>
          <w:p w:rsidR="00606B31" w:rsidRDefault="003F4DE1">
            <w:pPr>
              <w:jc w:val="center"/>
            </w:pPr>
            <w:proofErr w:type="gramStart"/>
            <w:r>
              <w:rPr>
                <w:color w:val="000000"/>
                <w:sz w:val="24"/>
                <w:szCs w:val="24"/>
              </w:rPr>
              <w:t>泛微网络</w:t>
            </w:r>
            <w:proofErr w:type="gramEnd"/>
          </w:p>
        </w:tc>
        <w:tc>
          <w:tcPr>
            <w:tcW w:w="1334" w:type="dxa"/>
            <w:vAlign w:val="center"/>
          </w:tcPr>
          <w:p w:rsidR="00606B31" w:rsidRDefault="003F4DE1">
            <w:pPr>
              <w:jc w:val="right"/>
            </w:pPr>
            <w:r>
              <w:rPr>
                <w:color w:val="000000"/>
                <w:sz w:val="24"/>
                <w:szCs w:val="24"/>
              </w:rPr>
              <w:t>1,775,998</w:t>
            </w:r>
          </w:p>
        </w:tc>
        <w:tc>
          <w:tcPr>
            <w:tcW w:w="1924" w:type="dxa"/>
            <w:vAlign w:val="center"/>
          </w:tcPr>
          <w:p w:rsidR="00606B31" w:rsidRDefault="003F4DE1">
            <w:pPr>
              <w:jc w:val="right"/>
            </w:pPr>
            <w:r>
              <w:rPr>
                <w:color w:val="000000"/>
                <w:sz w:val="24"/>
                <w:szCs w:val="24"/>
              </w:rPr>
              <w:t>131,779,051.60</w:t>
            </w:r>
          </w:p>
        </w:tc>
        <w:tc>
          <w:tcPr>
            <w:tcW w:w="1644" w:type="dxa"/>
            <w:vAlign w:val="center"/>
          </w:tcPr>
          <w:p w:rsidR="00606B31" w:rsidRDefault="003F4DE1">
            <w:pPr>
              <w:jc w:val="right"/>
            </w:pPr>
            <w:r>
              <w:rPr>
                <w:color w:val="000000"/>
                <w:sz w:val="24"/>
                <w:szCs w:val="24"/>
              </w:rPr>
              <w:t>3.44</w:t>
            </w:r>
          </w:p>
        </w:tc>
      </w:tr>
      <w:tr w:rsidR="00606B31">
        <w:trPr>
          <w:jc w:val="center"/>
        </w:trPr>
        <w:tc>
          <w:tcPr>
            <w:tcW w:w="855" w:type="dxa"/>
            <w:vAlign w:val="center"/>
          </w:tcPr>
          <w:p w:rsidR="00606B31" w:rsidRDefault="003F4DE1">
            <w:pPr>
              <w:jc w:val="center"/>
            </w:pPr>
            <w:r>
              <w:rPr>
                <w:color w:val="000000"/>
                <w:sz w:val="24"/>
                <w:szCs w:val="24"/>
              </w:rPr>
              <w:t>7</w:t>
            </w:r>
          </w:p>
        </w:tc>
        <w:tc>
          <w:tcPr>
            <w:tcW w:w="1334" w:type="dxa"/>
            <w:vAlign w:val="center"/>
          </w:tcPr>
          <w:p w:rsidR="00606B31" w:rsidRDefault="003F4DE1">
            <w:pPr>
              <w:jc w:val="center"/>
            </w:pPr>
            <w:r>
              <w:rPr>
                <w:color w:val="000000"/>
                <w:sz w:val="24"/>
                <w:szCs w:val="24"/>
              </w:rPr>
              <w:t>002410</w:t>
            </w:r>
          </w:p>
        </w:tc>
        <w:tc>
          <w:tcPr>
            <w:tcW w:w="1777" w:type="dxa"/>
            <w:vAlign w:val="center"/>
          </w:tcPr>
          <w:p w:rsidR="00606B31" w:rsidRDefault="003F4DE1">
            <w:pPr>
              <w:jc w:val="center"/>
            </w:pPr>
            <w:r>
              <w:rPr>
                <w:color w:val="000000"/>
                <w:sz w:val="24"/>
                <w:szCs w:val="24"/>
              </w:rPr>
              <w:t>广联达</w:t>
            </w:r>
          </w:p>
        </w:tc>
        <w:tc>
          <w:tcPr>
            <w:tcW w:w="1334" w:type="dxa"/>
            <w:vAlign w:val="center"/>
          </w:tcPr>
          <w:p w:rsidR="00606B31" w:rsidRDefault="003F4DE1">
            <w:pPr>
              <w:jc w:val="right"/>
            </w:pPr>
            <w:r>
              <w:rPr>
                <w:color w:val="000000"/>
                <w:sz w:val="24"/>
                <w:szCs w:val="24"/>
              </w:rPr>
              <w:t>3,866,958</w:t>
            </w:r>
          </w:p>
        </w:tc>
        <w:tc>
          <w:tcPr>
            <w:tcW w:w="1924" w:type="dxa"/>
            <w:vAlign w:val="center"/>
          </w:tcPr>
          <w:p w:rsidR="00606B31" w:rsidRDefault="003F4DE1">
            <w:pPr>
              <w:jc w:val="right"/>
            </w:pPr>
            <w:r>
              <w:rPr>
                <w:color w:val="000000"/>
                <w:sz w:val="24"/>
                <w:szCs w:val="24"/>
              </w:rPr>
              <w:t>127,184,248.62</w:t>
            </w:r>
          </w:p>
        </w:tc>
        <w:tc>
          <w:tcPr>
            <w:tcW w:w="1644" w:type="dxa"/>
            <w:vAlign w:val="center"/>
          </w:tcPr>
          <w:p w:rsidR="00606B31" w:rsidRDefault="003F4DE1">
            <w:pPr>
              <w:jc w:val="right"/>
            </w:pPr>
            <w:r>
              <w:rPr>
                <w:color w:val="000000"/>
                <w:sz w:val="24"/>
                <w:szCs w:val="24"/>
              </w:rPr>
              <w:t>3.32</w:t>
            </w:r>
          </w:p>
        </w:tc>
      </w:tr>
      <w:tr w:rsidR="00606B31">
        <w:trPr>
          <w:jc w:val="center"/>
        </w:trPr>
        <w:tc>
          <w:tcPr>
            <w:tcW w:w="855" w:type="dxa"/>
            <w:vAlign w:val="center"/>
          </w:tcPr>
          <w:p w:rsidR="00606B31" w:rsidRDefault="003F4DE1">
            <w:pPr>
              <w:jc w:val="center"/>
            </w:pPr>
            <w:r>
              <w:rPr>
                <w:color w:val="000000"/>
                <w:sz w:val="24"/>
                <w:szCs w:val="24"/>
              </w:rPr>
              <w:t>8</w:t>
            </w:r>
          </w:p>
        </w:tc>
        <w:tc>
          <w:tcPr>
            <w:tcW w:w="1334" w:type="dxa"/>
            <w:vAlign w:val="center"/>
          </w:tcPr>
          <w:p w:rsidR="00606B31" w:rsidRDefault="003F4DE1">
            <w:pPr>
              <w:jc w:val="center"/>
            </w:pPr>
            <w:r>
              <w:rPr>
                <w:color w:val="000000"/>
                <w:sz w:val="24"/>
                <w:szCs w:val="24"/>
              </w:rPr>
              <w:t>300253</w:t>
            </w:r>
          </w:p>
        </w:tc>
        <w:tc>
          <w:tcPr>
            <w:tcW w:w="1777" w:type="dxa"/>
            <w:vAlign w:val="center"/>
          </w:tcPr>
          <w:p w:rsidR="00606B31" w:rsidRDefault="003F4DE1">
            <w:pPr>
              <w:jc w:val="center"/>
            </w:pPr>
            <w:r>
              <w:rPr>
                <w:color w:val="000000"/>
                <w:sz w:val="24"/>
                <w:szCs w:val="24"/>
              </w:rPr>
              <w:t>卫</w:t>
            </w:r>
            <w:proofErr w:type="gramStart"/>
            <w:r>
              <w:rPr>
                <w:color w:val="000000"/>
                <w:sz w:val="24"/>
                <w:szCs w:val="24"/>
              </w:rPr>
              <w:t>宁健康</w:t>
            </w:r>
            <w:proofErr w:type="gramEnd"/>
          </w:p>
        </w:tc>
        <w:tc>
          <w:tcPr>
            <w:tcW w:w="1334" w:type="dxa"/>
            <w:vAlign w:val="center"/>
          </w:tcPr>
          <w:p w:rsidR="00606B31" w:rsidRDefault="003F4DE1">
            <w:pPr>
              <w:jc w:val="right"/>
            </w:pPr>
            <w:r>
              <w:rPr>
                <w:color w:val="000000"/>
                <w:sz w:val="24"/>
                <w:szCs w:val="24"/>
              </w:rPr>
              <w:t>8,952,626</w:t>
            </w:r>
          </w:p>
        </w:tc>
        <w:tc>
          <w:tcPr>
            <w:tcW w:w="1924" w:type="dxa"/>
            <w:vAlign w:val="center"/>
          </w:tcPr>
          <w:p w:rsidR="00606B31" w:rsidRDefault="003F4DE1">
            <w:pPr>
              <w:jc w:val="right"/>
            </w:pPr>
            <w:r>
              <w:rPr>
                <w:color w:val="000000"/>
                <w:sz w:val="24"/>
                <w:szCs w:val="24"/>
              </w:rPr>
              <w:t>126,948,236.68</w:t>
            </w:r>
          </w:p>
        </w:tc>
        <w:tc>
          <w:tcPr>
            <w:tcW w:w="1644" w:type="dxa"/>
            <w:vAlign w:val="center"/>
          </w:tcPr>
          <w:p w:rsidR="00606B31" w:rsidRDefault="003F4DE1">
            <w:pPr>
              <w:jc w:val="right"/>
            </w:pPr>
            <w:r>
              <w:rPr>
                <w:color w:val="000000"/>
                <w:sz w:val="24"/>
                <w:szCs w:val="24"/>
              </w:rPr>
              <w:t>3.31</w:t>
            </w:r>
          </w:p>
        </w:tc>
      </w:tr>
      <w:tr w:rsidR="00606B31">
        <w:trPr>
          <w:jc w:val="center"/>
        </w:trPr>
        <w:tc>
          <w:tcPr>
            <w:tcW w:w="855" w:type="dxa"/>
            <w:vAlign w:val="center"/>
          </w:tcPr>
          <w:p w:rsidR="00606B31" w:rsidRDefault="003F4DE1">
            <w:pPr>
              <w:jc w:val="center"/>
            </w:pPr>
            <w:r>
              <w:rPr>
                <w:color w:val="000000"/>
                <w:sz w:val="24"/>
                <w:szCs w:val="24"/>
              </w:rPr>
              <w:t>9</w:t>
            </w:r>
          </w:p>
        </w:tc>
        <w:tc>
          <w:tcPr>
            <w:tcW w:w="1334" w:type="dxa"/>
            <w:vAlign w:val="center"/>
          </w:tcPr>
          <w:p w:rsidR="00606B31" w:rsidRDefault="003F4DE1">
            <w:pPr>
              <w:jc w:val="center"/>
            </w:pPr>
            <w:r>
              <w:rPr>
                <w:color w:val="000000"/>
                <w:sz w:val="24"/>
                <w:szCs w:val="24"/>
              </w:rPr>
              <w:t>300012</w:t>
            </w:r>
          </w:p>
        </w:tc>
        <w:tc>
          <w:tcPr>
            <w:tcW w:w="1777" w:type="dxa"/>
            <w:vAlign w:val="center"/>
          </w:tcPr>
          <w:p w:rsidR="00606B31" w:rsidRDefault="003F4DE1">
            <w:pPr>
              <w:jc w:val="center"/>
            </w:pPr>
            <w:proofErr w:type="gramStart"/>
            <w:r>
              <w:rPr>
                <w:color w:val="000000"/>
                <w:sz w:val="24"/>
                <w:szCs w:val="24"/>
              </w:rPr>
              <w:t>华测检测</w:t>
            </w:r>
            <w:proofErr w:type="gramEnd"/>
          </w:p>
        </w:tc>
        <w:tc>
          <w:tcPr>
            <w:tcW w:w="1334" w:type="dxa"/>
            <w:vAlign w:val="center"/>
          </w:tcPr>
          <w:p w:rsidR="00606B31" w:rsidRDefault="003F4DE1">
            <w:pPr>
              <w:jc w:val="right"/>
            </w:pPr>
            <w:r>
              <w:rPr>
                <w:color w:val="000000"/>
                <w:sz w:val="24"/>
                <w:szCs w:val="24"/>
              </w:rPr>
              <w:t>11,452,707</w:t>
            </w:r>
          </w:p>
        </w:tc>
        <w:tc>
          <w:tcPr>
            <w:tcW w:w="1924" w:type="dxa"/>
            <w:vAlign w:val="center"/>
          </w:tcPr>
          <w:p w:rsidR="00606B31" w:rsidRDefault="003F4DE1">
            <w:pPr>
              <w:jc w:val="right"/>
            </w:pPr>
            <w:r>
              <w:rPr>
                <w:color w:val="000000"/>
                <w:sz w:val="24"/>
                <w:szCs w:val="24"/>
              </w:rPr>
              <w:t>123,689,235.60</w:t>
            </w:r>
          </w:p>
        </w:tc>
        <w:tc>
          <w:tcPr>
            <w:tcW w:w="1644" w:type="dxa"/>
            <w:vAlign w:val="center"/>
          </w:tcPr>
          <w:p w:rsidR="00606B31" w:rsidRDefault="003F4DE1">
            <w:pPr>
              <w:jc w:val="right"/>
            </w:pPr>
            <w:r>
              <w:rPr>
                <w:color w:val="000000"/>
                <w:sz w:val="24"/>
                <w:szCs w:val="24"/>
              </w:rPr>
              <w:t>3.23</w:t>
            </w:r>
          </w:p>
        </w:tc>
      </w:tr>
      <w:tr w:rsidR="00606B31">
        <w:trPr>
          <w:jc w:val="center"/>
        </w:trPr>
        <w:tc>
          <w:tcPr>
            <w:tcW w:w="855" w:type="dxa"/>
            <w:vAlign w:val="center"/>
          </w:tcPr>
          <w:p w:rsidR="00606B31" w:rsidRDefault="003F4DE1">
            <w:pPr>
              <w:jc w:val="center"/>
            </w:pPr>
            <w:r>
              <w:rPr>
                <w:color w:val="000000"/>
                <w:sz w:val="24"/>
                <w:szCs w:val="24"/>
              </w:rPr>
              <w:t>10</w:t>
            </w:r>
          </w:p>
        </w:tc>
        <w:tc>
          <w:tcPr>
            <w:tcW w:w="1334" w:type="dxa"/>
            <w:vAlign w:val="center"/>
          </w:tcPr>
          <w:p w:rsidR="00606B31" w:rsidRDefault="003F4DE1">
            <w:pPr>
              <w:jc w:val="center"/>
            </w:pPr>
            <w:r>
              <w:rPr>
                <w:color w:val="000000"/>
                <w:sz w:val="24"/>
                <w:szCs w:val="24"/>
              </w:rPr>
              <w:t>300609</w:t>
            </w:r>
          </w:p>
        </w:tc>
        <w:tc>
          <w:tcPr>
            <w:tcW w:w="1777" w:type="dxa"/>
            <w:vAlign w:val="center"/>
          </w:tcPr>
          <w:p w:rsidR="00606B31" w:rsidRDefault="003F4DE1">
            <w:pPr>
              <w:jc w:val="center"/>
            </w:pPr>
            <w:r>
              <w:rPr>
                <w:color w:val="000000"/>
                <w:sz w:val="24"/>
                <w:szCs w:val="24"/>
              </w:rPr>
              <w:t>汇</w:t>
            </w:r>
            <w:proofErr w:type="gramStart"/>
            <w:r>
              <w:rPr>
                <w:color w:val="000000"/>
                <w:sz w:val="24"/>
                <w:szCs w:val="24"/>
              </w:rPr>
              <w:t>纳科技</w:t>
            </w:r>
            <w:proofErr w:type="gramEnd"/>
          </w:p>
        </w:tc>
        <w:tc>
          <w:tcPr>
            <w:tcW w:w="1334" w:type="dxa"/>
            <w:vAlign w:val="center"/>
          </w:tcPr>
          <w:p w:rsidR="00606B31" w:rsidRDefault="003F4DE1">
            <w:pPr>
              <w:jc w:val="right"/>
            </w:pPr>
            <w:r>
              <w:rPr>
                <w:color w:val="000000"/>
                <w:sz w:val="24"/>
                <w:szCs w:val="24"/>
              </w:rPr>
              <w:t>3,354,847</w:t>
            </w:r>
          </w:p>
        </w:tc>
        <w:tc>
          <w:tcPr>
            <w:tcW w:w="1924" w:type="dxa"/>
            <w:vAlign w:val="center"/>
          </w:tcPr>
          <w:p w:rsidR="00606B31" w:rsidRDefault="003F4DE1">
            <w:pPr>
              <w:jc w:val="right"/>
            </w:pPr>
            <w:r>
              <w:rPr>
                <w:color w:val="000000"/>
                <w:sz w:val="24"/>
                <w:szCs w:val="24"/>
              </w:rPr>
              <w:t>117,620,935.82</w:t>
            </w:r>
          </w:p>
        </w:tc>
        <w:tc>
          <w:tcPr>
            <w:tcW w:w="1644" w:type="dxa"/>
            <w:vAlign w:val="center"/>
          </w:tcPr>
          <w:p w:rsidR="00606B31" w:rsidRDefault="003F4DE1">
            <w:pPr>
              <w:jc w:val="right"/>
            </w:pPr>
            <w:r>
              <w:rPr>
                <w:color w:val="000000"/>
                <w:sz w:val="24"/>
                <w:szCs w:val="24"/>
              </w:rPr>
              <w:t>3.07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79,592,000.00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57,452.00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79,649,452.00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06B31">
        <w:trPr>
          <w:jc w:val="center"/>
        </w:trPr>
        <w:tc>
          <w:tcPr>
            <w:tcW w:w="850" w:type="dxa"/>
            <w:vAlign w:val="center"/>
          </w:tcPr>
          <w:p w:rsidR="00606B31" w:rsidRDefault="003F4DE1">
            <w:pPr>
              <w:jc w:val="center"/>
            </w:pPr>
            <w:r>
              <w:rPr>
                <w:color w:val="000000"/>
                <w:sz w:val="24"/>
                <w:szCs w:val="24"/>
              </w:rPr>
              <w:t>1</w:t>
            </w:r>
          </w:p>
        </w:tc>
        <w:tc>
          <w:tcPr>
            <w:tcW w:w="1475" w:type="dxa"/>
            <w:vAlign w:val="center"/>
          </w:tcPr>
          <w:p w:rsidR="00606B31" w:rsidRDefault="003F4DE1">
            <w:pPr>
              <w:jc w:val="center"/>
            </w:pPr>
            <w:r>
              <w:rPr>
                <w:color w:val="000000"/>
                <w:sz w:val="24"/>
                <w:szCs w:val="24"/>
              </w:rPr>
              <w:t>199914</w:t>
            </w:r>
          </w:p>
        </w:tc>
        <w:tc>
          <w:tcPr>
            <w:tcW w:w="1769" w:type="dxa"/>
            <w:vAlign w:val="center"/>
          </w:tcPr>
          <w:p w:rsidR="00606B31" w:rsidRDefault="003F4DE1">
            <w:pPr>
              <w:jc w:val="center"/>
            </w:pPr>
            <w:r>
              <w:rPr>
                <w:color w:val="000000"/>
                <w:sz w:val="24"/>
                <w:szCs w:val="24"/>
              </w:rPr>
              <w:t>19</w:t>
            </w:r>
            <w:r>
              <w:rPr>
                <w:color w:val="000000"/>
                <w:sz w:val="24"/>
                <w:szCs w:val="24"/>
              </w:rPr>
              <w:t>贴现国债</w:t>
            </w:r>
            <w:r>
              <w:rPr>
                <w:color w:val="000000"/>
                <w:sz w:val="24"/>
                <w:szCs w:val="24"/>
              </w:rPr>
              <w:t>14</w:t>
            </w:r>
          </w:p>
        </w:tc>
        <w:tc>
          <w:tcPr>
            <w:tcW w:w="1387" w:type="dxa"/>
            <w:vAlign w:val="center"/>
          </w:tcPr>
          <w:p w:rsidR="00606B31" w:rsidRDefault="003F4DE1">
            <w:pPr>
              <w:jc w:val="right"/>
            </w:pPr>
            <w:r>
              <w:rPr>
                <w:color w:val="000000"/>
                <w:sz w:val="24"/>
                <w:szCs w:val="24"/>
              </w:rPr>
              <w:t>800,000</w:t>
            </w:r>
          </w:p>
        </w:tc>
        <w:tc>
          <w:tcPr>
            <w:tcW w:w="2150" w:type="dxa"/>
            <w:vAlign w:val="center"/>
          </w:tcPr>
          <w:p w:rsidR="00606B31" w:rsidRDefault="003F4DE1">
            <w:pPr>
              <w:jc w:val="right"/>
            </w:pPr>
            <w:r>
              <w:rPr>
                <w:color w:val="000000"/>
                <w:sz w:val="24"/>
                <w:szCs w:val="24"/>
              </w:rPr>
              <w:t>79,592,000.00</w:t>
            </w:r>
          </w:p>
        </w:tc>
        <w:tc>
          <w:tcPr>
            <w:tcW w:w="1237" w:type="dxa"/>
            <w:vAlign w:val="center"/>
          </w:tcPr>
          <w:p w:rsidR="00606B31" w:rsidRDefault="003F4DE1">
            <w:pPr>
              <w:jc w:val="right"/>
            </w:pPr>
            <w:r>
              <w:rPr>
                <w:color w:val="000000"/>
                <w:sz w:val="24"/>
                <w:szCs w:val="24"/>
              </w:rPr>
              <w:t>2.08</w:t>
            </w:r>
          </w:p>
        </w:tc>
      </w:tr>
      <w:tr w:rsidR="00606B31">
        <w:trPr>
          <w:jc w:val="center"/>
        </w:trPr>
        <w:tc>
          <w:tcPr>
            <w:tcW w:w="850" w:type="dxa"/>
            <w:vAlign w:val="center"/>
          </w:tcPr>
          <w:p w:rsidR="00606B31" w:rsidRDefault="003F4DE1">
            <w:pPr>
              <w:jc w:val="center"/>
            </w:pPr>
            <w:r>
              <w:rPr>
                <w:color w:val="000000"/>
                <w:sz w:val="24"/>
                <w:szCs w:val="24"/>
              </w:rPr>
              <w:t>2</w:t>
            </w:r>
          </w:p>
        </w:tc>
        <w:tc>
          <w:tcPr>
            <w:tcW w:w="1475" w:type="dxa"/>
            <w:vAlign w:val="center"/>
          </w:tcPr>
          <w:p w:rsidR="00606B31" w:rsidRDefault="003F4DE1">
            <w:pPr>
              <w:jc w:val="center"/>
            </w:pPr>
            <w:r>
              <w:rPr>
                <w:color w:val="000000"/>
                <w:sz w:val="24"/>
                <w:szCs w:val="24"/>
              </w:rPr>
              <w:t>113011</w:t>
            </w:r>
          </w:p>
        </w:tc>
        <w:tc>
          <w:tcPr>
            <w:tcW w:w="1769" w:type="dxa"/>
            <w:vAlign w:val="center"/>
          </w:tcPr>
          <w:p w:rsidR="00606B31" w:rsidRDefault="003F4DE1">
            <w:pPr>
              <w:jc w:val="center"/>
            </w:pPr>
            <w:r>
              <w:rPr>
                <w:color w:val="000000"/>
                <w:sz w:val="24"/>
                <w:szCs w:val="24"/>
              </w:rPr>
              <w:t>光大转债</w:t>
            </w:r>
          </w:p>
        </w:tc>
        <w:tc>
          <w:tcPr>
            <w:tcW w:w="1387" w:type="dxa"/>
            <w:vAlign w:val="center"/>
          </w:tcPr>
          <w:p w:rsidR="00606B31" w:rsidRDefault="003F4DE1">
            <w:pPr>
              <w:jc w:val="right"/>
            </w:pPr>
            <w:r>
              <w:rPr>
                <w:color w:val="000000"/>
                <w:sz w:val="24"/>
                <w:szCs w:val="24"/>
              </w:rPr>
              <w:t>530</w:t>
            </w:r>
          </w:p>
        </w:tc>
        <w:tc>
          <w:tcPr>
            <w:tcW w:w="2150" w:type="dxa"/>
            <w:vAlign w:val="center"/>
          </w:tcPr>
          <w:p w:rsidR="00606B31" w:rsidRDefault="003F4DE1">
            <w:pPr>
              <w:jc w:val="right"/>
            </w:pPr>
            <w:r>
              <w:rPr>
                <w:color w:val="000000"/>
                <w:sz w:val="24"/>
                <w:szCs w:val="24"/>
              </w:rPr>
              <w:t>57,452.00</w:t>
            </w:r>
          </w:p>
        </w:tc>
        <w:tc>
          <w:tcPr>
            <w:tcW w:w="1237" w:type="dxa"/>
            <w:vAlign w:val="center"/>
          </w:tcPr>
          <w:p w:rsidR="00606B31" w:rsidRDefault="003F4DE1">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1,471,491.33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9,233,984.20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446,316.90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7,138,778.00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18,290,570.43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06B31">
        <w:trPr>
          <w:jc w:val="center"/>
        </w:trPr>
        <w:tc>
          <w:tcPr>
            <w:tcW w:w="1883" w:type="dxa"/>
            <w:vAlign w:val="center"/>
          </w:tcPr>
          <w:p w:rsidR="00606B31" w:rsidRDefault="003F4DE1">
            <w:pPr>
              <w:jc w:val="center"/>
            </w:pPr>
            <w:r>
              <w:rPr>
                <w:color w:val="000000"/>
                <w:sz w:val="24"/>
                <w:szCs w:val="24"/>
              </w:rPr>
              <w:t>1</w:t>
            </w:r>
          </w:p>
        </w:tc>
        <w:tc>
          <w:tcPr>
            <w:tcW w:w="1801" w:type="dxa"/>
            <w:vAlign w:val="center"/>
          </w:tcPr>
          <w:p w:rsidR="00606B31" w:rsidRDefault="003F4DE1">
            <w:pPr>
              <w:jc w:val="center"/>
            </w:pPr>
            <w:r>
              <w:rPr>
                <w:color w:val="000000"/>
                <w:sz w:val="24"/>
                <w:szCs w:val="24"/>
              </w:rPr>
              <w:t>113011</w:t>
            </w:r>
          </w:p>
        </w:tc>
        <w:tc>
          <w:tcPr>
            <w:tcW w:w="1727" w:type="dxa"/>
            <w:vAlign w:val="center"/>
          </w:tcPr>
          <w:p w:rsidR="00606B31" w:rsidRDefault="003F4DE1">
            <w:pPr>
              <w:jc w:val="center"/>
            </w:pPr>
            <w:r>
              <w:rPr>
                <w:color w:val="000000"/>
                <w:sz w:val="24"/>
                <w:szCs w:val="24"/>
              </w:rPr>
              <w:t>光大转债</w:t>
            </w:r>
          </w:p>
        </w:tc>
        <w:tc>
          <w:tcPr>
            <w:tcW w:w="1768" w:type="dxa"/>
            <w:vAlign w:val="center"/>
          </w:tcPr>
          <w:p w:rsidR="00606B31" w:rsidRDefault="003F4DE1">
            <w:pPr>
              <w:jc w:val="right"/>
            </w:pPr>
            <w:r>
              <w:rPr>
                <w:color w:val="000000"/>
                <w:sz w:val="24"/>
                <w:szCs w:val="24"/>
              </w:rPr>
              <w:t>57,452.00</w:t>
            </w:r>
          </w:p>
        </w:tc>
        <w:tc>
          <w:tcPr>
            <w:tcW w:w="1689" w:type="dxa"/>
            <w:vAlign w:val="center"/>
          </w:tcPr>
          <w:p w:rsidR="00606B31" w:rsidRDefault="003F4DE1">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06B31">
        <w:trPr>
          <w:jc w:val="center"/>
        </w:trPr>
        <w:tc>
          <w:tcPr>
            <w:tcW w:w="1129" w:type="dxa"/>
            <w:vAlign w:val="center"/>
          </w:tcPr>
          <w:p w:rsidR="00606B31" w:rsidRDefault="003F4DE1">
            <w:pPr>
              <w:jc w:val="center"/>
            </w:pPr>
            <w:r>
              <w:rPr>
                <w:color w:val="000000"/>
                <w:sz w:val="24"/>
                <w:szCs w:val="24"/>
              </w:rPr>
              <w:t>1</w:t>
            </w:r>
          </w:p>
        </w:tc>
        <w:tc>
          <w:tcPr>
            <w:tcW w:w="1356" w:type="dxa"/>
            <w:vAlign w:val="center"/>
          </w:tcPr>
          <w:p w:rsidR="00606B31" w:rsidRDefault="003F4DE1">
            <w:pPr>
              <w:jc w:val="center"/>
            </w:pPr>
            <w:r>
              <w:rPr>
                <w:color w:val="000000"/>
                <w:sz w:val="24"/>
                <w:szCs w:val="24"/>
              </w:rPr>
              <w:t>002044</w:t>
            </w:r>
          </w:p>
        </w:tc>
        <w:tc>
          <w:tcPr>
            <w:tcW w:w="1355" w:type="dxa"/>
            <w:vAlign w:val="center"/>
          </w:tcPr>
          <w:p w:rsidR="00606B31" w:rsidRDefault="003F4DE1">
            <w:pPr>
              <w:jc w:val="center"/>
            </w:pPr>
            <w:r>
              <w:rPr>
                <w:color w:val="000000"/>
                <w:sz w:val="24"/>
                <w:szCs w:val="24"/>
              </w:rPr>
              <w:t>美</w:t>
            </w:r>
            <w:proofErr w:type="gramStart"/>
            <w:r>
              <w:rPr>
                <w:color w:val="000000"/>
                <w:sz w:val="24"/>
                <w:szCs w:val="24"/>
              </w:rPr>
              <w:t>年健康</w:t>
            </w:r>
            <w:proofErr w:type="gramEnd"/>
          </w:p>
        </w:tc>
        <w:tc>
          <w:tcPr>
            <w:tcW w:w="1880" w:type="dxa"/>
            <w:vAlign w:val="center"/>
          </w:tcPr>
          <w:p w:rsidR="00606B31" w:rsidRDefault="003F4DE1">
            <w:pPr>
              <w:jc w:val="right"/>
            </w:pPr>
            <w:r>
              <w:rPr>
                <w:color w:val="000000"/>
                <w:sz w:val="24"/>
                <w:szCs w:val="24"/>
              </w:rPr>
              <w:t>15,562,800.00</w:t>
            </w:r>
          </w:p>
        </w:tc>
        <w:tc>
          <w:tcPr>
            <w:tcW w:w="1724" w:type="dxa"/>
            <w:vAlign w:val="center"/>
          </w:tcPr>
          <w:p w:rsidR="00606B31" w:rsidRDefault="003F4DE1">
            <w:pPr>
              <w:jc w:val="right"/>
            </w:pPr>
            <w:r>
              <w:rPr>
                <w:color w:val="000000"/>
                <w:sz w:val="24"/>
                <w:szCs w:val="24"/>
              </w:rPr>
              <w:t>0.41</w:t>
            </w:r>
          </w:p>
        </w:tc>
        <w:tc>
          <w:tcPr>
            <w:tcW w:w="1424" w:type="dxa"/>
            <w:vAlign w:val="center"/>
          </w:tcPr>
          <w:p w:rsidR="00606B31" w:rsidRDefault="003F4DE1">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1,764,955,287.81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566,754,861.67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549,602,542.15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1,782,107,607.33</w:t>
            </w:r>
          </w:p>
        </w:tc>
      </w:tr>
    </w:tbl>
    <w:p w:rsidR="00606B31" w:rsidRDefault="003F4D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583C19" w:rsidRDefault="003C50AD" w:rsidP="003C50AD">
      <w:pPr>
        <w:spacing w:line="360" w:lineRule="auto"/>
        <w:ind w:firstLineChars="200" w:firstLine="480"/>
        <w:rPr>
          <w:color w:val="000000"/>
          <w:sz w:val="24"/>
        </w:rPr>
      </w:pPr>
      <w:r w:rsidRPr="00583C19">
        <w:rPr>
          <w:color w:val="000000"/>
          <w:sz w:val="24"/>
        </w:rPr>
        <w:t>根据有关法律法规规定和基金合同的约定，本基金可投资</w:t>
      </w:r>
      <w:proofErr w:type="gramStart"/>
      <w:r w:rsidRPr="00583C19">
        <w:rPr>
          <w:color w:val="000000"/>
          <w:sz w:val="24"/>
        </w:rPr>
        <w:t>科创板</w:t>
      </w:r>
      <w:proofErr w:type="gramEnd"/>
      <w:r w:rsidRPr="00583C19">
        <w:rPr>
          <w:color w:val="000000"/>
          <w:sz w:val="24"/>
        </w:rPr>
        <w:t>股票。基金资产投资于</w:t>
      </w:r>
      <w:proofErr w:type="gramStart"/>
      <w:r w:rsidRPr="00583C19">
        <w:rPr>
          <w:color w:val="000000"/>
          <w:sz w:val="24"/>
        </w:rPr>
        <w:t>科创板</w:t>
      </w:r>
      <w:proofErr w:type="gramEnd"/>
      <w:r w:rsidRPr="00583C19">
        <w:rPr>
          <w:color w:val="000000"/>
          <w:sz w:val="24"/>
        </w:rPr>
        <w:t>股票，会</w:t>
      </w:r>
      <w:proofErr w:type="gramStart"/>
      <w:r w:rsidRPr="00583C19">
        <w:rPr>
          <w:color w:val="000000"/>
          <w:sz w:val="24"/>
        </w:rPr>
        <w:t>面临科创板机制</w:t>
      </w:r>
      <w:proofErr w:type="gramEnd"/>
      <w:r w:rsidRPr="00583C19">
        <w:rPr>
          <w:color w:val="000000"/>
          <w:sz w:val="24"/>
        </w:rPr>
        <w:t>下因投资标的、市场制度以及交易规则等差异带来的特有风险，包括但不限于市场风险、流动性风险、退市风险、集中度风险、系统性风险、政策风险等。有关详情请查阅本基金管理人于</w:t>
      </w:r>
      <w:r w:rsidRPr="00583C19">
        <w:rPr>
          <w:color w:val="000000"/>
          <w:sz w:val="24"/>
        </w:rPr>
        <w:t>2019</w:t>
      </w:r>
      <w:r w:rsidRPr="00583C19">
        <w:rPr>
          <w:color w:val="000000"/>
          <w:sz w:val="24"/>
        </w:rPr>
        <w:t>年</w:t>
      </w:r>
      <w:r w:rsidRPr="00583C19">
        <w:rPr>
          <w:color w:val="000000"/>
          <w:sz w:val="24"/>
        </w:rPr>
        <w:t>6</w:t>
      </w:r>
      <w:r w:rsidRPr="00583C19">
        <w:rPr>
          <w:color w:val="000000"/>
          <w:sz w:val="24"/>
        </w:rPr>
        <w:t>月</w:t>
      </w:r>
      <w:r w:rsidRPr="00583C19">
        <w:rPr>
          <w:color w:val="000000"/>
          <w:sz w:val="24"/>
        </w:rPr>
        <w:t>22</w:t>
      </w:r>
      <w:r w:rsidRPr="00583C19">
        <w:rPr>
          <w:color w:val="000000"/>
          <w:sz w:val="24"/>
        </w:rPr>
        <w:t>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06B31" w:rsidRDefault="003F4DE1">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、中国证监会核准交银施罗德阿尔法核心股票型证券投资基金募集的文件；</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w:t>
      </w:r>
      <w:bookmarkStart w:id="0" w:name="_GoBack"/>
      <w:bookmarkEnd w:id="0"/>
      <w:r>
        <w:rPr>
          <w:color w:val="000000"/>
          <w:sz w:val="24"/>
          <w:szCs w:val="24"/>
        </w:rPr>
        <w:t>基金基金合同》；</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606B31" w:rsidRDefault="003F4DE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606B31" w:rsidRDefault="003F4DE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606B31" w:rsidRDefault="003F4DE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606B31" w:rsidRDefault="003F4DE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06B31" w:rsidRDefault="003F4DE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9D" w:rsidRDefault="0023659D" w:rsidP="00876D65">
      <w:r>
        <w:separator/>
      </w:r>
    </w:p>
  </w:endnote>
  <w:endnote w:type="continuationSeparator" w:id="0">
    <w:p w:rsidR="0023659D" w:rsidRDefault="0023659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83C19">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583C1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9D" w:rsidRDefault="0023659D" w:rsidP="00876D65">
      <w:r>
        <w:separator/>
      </w:r>
    </w:p>
  </w:footnote>
  <w:footnote w:type="continuationSeparator" w:id="0">
    <w:p w:rsidR="0023659D" w:rsidRDefault="0023659D"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交银施罗德阿尔</w:t>
    </w:r>
    <w:proofErr w:type="gramStart"/>
    <w:r w:rsidRPr="003E676C">
      <w:rPr>
        <w:sz w:val="24"/>
        <w:szCs w:val="24"/>
      </w:rPr>
      <w:t>法核心</w:t>
    </w:r>
    <w:proofErr w:type="gramEnd"/>
    <w:r w:rsidRPr="003E676C">
      <w:rPr>
        <w:sz w:val="24"/>
        <w:szCs w:val="24"/>
      </w:rPr>
      <w:t>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659D"/>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D12"/>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4DE1"/>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3C1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6B31"/>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7068-C1DF-4E39-B3DC-6980BB10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时长璐</dc:creator>
  <cp:lastModifiedBy>时长璐</cp:lastModifiedBy>
  <cp:revision>3</cp:revision>
  <dcterms:created xsi:type="dcterms:W3CDTF">2019-07-15T03:22:00Z</dcterms:created>
  <dcterms:modified xsi:type="dcterms:W3CDTF">2019-07-15T03:32:00Z</dcterms:modified>
</cp:coreProperties>
</file>