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2019年第2季度报告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2019年6月30日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中国农业银行股份有限公司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基金托管人中国农业银行股份有限公司根据本基金合同规定，于2019年7月16日复核了本报告中的财务指标、净值表现和投资组合报告等内容，保证复核内容不存在虚假记载、误导性陈述或者重大遗漏。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本报告期自2019年4月1日起至6月30日止。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2012年12月19日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541,706,020.02</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交银纯债债券发起A/B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交银纯债债券发起C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519718</w:t>
            </w:r>
            <w:r w:rsidRPr="007F52FA">
              <w:rPr>
                <w:color w:themeColor="text1" w:val="000000"/>
                <w:sz w:val="24"/>
              </w:rPr>
              <w:t>（前端）、</w:t>
            </w:r>
            <w:r w:rsidRPr="007F52FA">
              <w:rPr>
                <w:color w:themeColor="text1" w:val="000000"/>
                <w:sz w:val="24"/>
              </w:rPr>
              <w:t>519719</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519720</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494,908,003.03</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46,798,016.99</w:t>
            </w:r>
            <w:r w:rsidRPr="007F52FA">
              <w:rPr>
                <w:color w:val="000000"/>
                <w:kern w:val="0"/>
                <w:sz w:val="24"/>
              </w:rPr>
              <w:t>份</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注：1、本基金A类基金份额采用前端收费模式，B类基金份额采用后端收费模式，前端交易代码即为A类基金份额交易代码，后端交易代码即为B类基金份额交易代码。</w:t>
      </w:r>
    </w:p>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2、本基金为发起式基金。</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(2019年4月1日-2019年6月30日)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交银纯债债券发起A/B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交银纯债债券发起C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5,283,901.58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769,233.28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2,336,376.52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116,615.81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0.0059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0.0020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534,601,050.17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50,286,817.41</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1.080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1.075</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交银纯债债券发起A/B</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0.56%</w:t>
            </w:r>
          </w:p>
        </w:tc>
        <w:tc>
          <w:tcPr>
            <w:vAlign w:val="center"/>
          </w:tcPr>
          <w:p>
            <w:pPr>
              <w:jc w:val="center"/>
            </w:pPr>
            <w:r>
              <w:rPr>
                <w:color w:val="000000"/>
                <w:sz w:val="24"/>
              </w:rPr>
              <w:t>0.06%</w:t>
            </w:r>
          </w:p>
        </w:tc>
        <w:tc>
          <w:tcPr>
            <w:vAlign w:val="center"/>
          </w:tcPr>
          <w:p>
            <w:pPr>
              <w:jc w:val="center"/>
            </w:pPr>
            <w:r>
              <w:rPr>
                <w:color w:val="000000"/>
                <w:sz w:val="24"/>
              </w:rPr>
              <w:t>-0.23%</w:t>
            </w:r>
          </w:p>
        </w:tc>
        <w:tc>
          <w:tcPr>
            <w:vAlign w:val="center"/>
          </w:tcPr>
          <w:p>
            <w:pPr>
              <w:jc w:val="center"/>
            </w:pPr>
            <w:r>
              <w:rPr>
                <w:color w:val="000000"/>
                <w:sz w:val="24"/>
              </w:rPr>
              <w:t>0.06%</w:t>
            </w:r>
          </w:p>
        </w:tc>
        <w:tc>
          <w:tcPr>
            <w:vAlign w:val="center"/>
          </w:tcPr>
          <w:p>
            <w:pPr>
              <w:jc w:val="center"/>
            </w:pPr>
            <w:r>
              <w:rPr>
                <w:color w:val="000000"/>
                <w:sz w:val="24"/>
              </w:rPr>
              <w:t>0.79%</w:t>
            </w:r>
          </w:p>
        </w:tc>
        <w:tc>
          <w:tcPr>
            <w:vAlign w:val="center"/>
          </w:tcPr>
          <w:p>
            <w:pPr>
              <w:jc w:val="center"/>
            </w:pPr>
            <w:r>
              <w:rPr>
                <w:color w:val="000000"/>
                <w:sz w:val="24"/>
              </w:rPr>
              <w:t>0.00%</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交银纯债债券发起C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0.56%</w:t>
            </w:r>
          </w:p>
        </w:tc>
        <w:tc>
          <w:tcPr>
            <w:vAlign w:val="center"/>
          </w:tcPr>
          <w:p>
            <w:pPr>
              <w:jc w:val="center"/>
            </w:pPr>
            <w:r>
              <w:rPr>
                <w:color w:val="000000"/>
                <w:sz w:val="24"/>
              </w:rPr>
              <w:t>0.06%</w:t>
            </w:r>
          </w:p>
        </w:tc>
        <w:tc>
          <w:tcPr>
            <w:vAlign w:val="center"/>
          </w:tcPr>
          <w:p>
            <w:pPr>
              <w:jc w:val="center"/>
            </w:pPr>
            <w:r>
              <w:rPr>
                <w:color w:val="000000"/>
                <w:sz w:val="24"/>
              </w:rPr>
              <w:t>-0.23%</w:t>
            </w:r>
          </w:p>
        </w:tc>
        <w:tc>
          <w:tcPr>
            <w:vAlign w:val="center"/>
          </w:tcPr>
          <w:p>
            <w:pPr>
              <w:jc w:val="center"/>
            </w:pPr>
            <w:r>
              <w:rPr>
                <w:color w:val="000000"/>
                <w:sz w:val="24"/>
              </w:rPr>
              <w:t>0.06%</w:t>
            </w:r>
          </w:p>
        </w:tc>
        <w:tc>
          <w:tcPr>
            <w:vAlign w:val="center"/>
          </w:tcPr>
          <w:p>
            <w:pPr>
              <w:jc w:val="center"/>
            </w:pPr>
            <w:r>
              <w:rPr>
                <w:color w:val="000000"/>
                <w:sz w:val="24"/>
              </w:rPr>
              <w:t>0.79%</w:t>
            </w:r>
          </w:p>
        </w:tc>
        <w:tc>
          <w:tcPr>
            <w:vAlign w:val="center"/>
          </w:tcPr>
          <w:p>
            <w:pPr>
              <w:jc w:val="center"/>
            </w:pPr>
            <w:r>
              <w:rPr>
                <w:color w:val="000000"/>
                <w:sz w:val="24"/>
              </w:rPr>
              <w:t>0.00%</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交银施罗德纯债债券型发起式证券投资基金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2012年12月19日</w:t>
      </w:r>
      <w:r w:rsidR="009A045B" w:rsidRPr="007F52FA">
        <w:rPr>
          <w:rFonts w:ascii="Times New Roman" w:hAnsi="Times New Roman"/>
          <w:sz w:val="24"/>
          <w:szCs w:val="24"/>
        </w:rPr>
        <w:t>至</w:t>
      </w:r>
      <w:r w:rsidRPr="007F52FA">
        <w:rPr>
          <w:rFonts w:ascii="Times New Roman" w:hAnsi="Times New Roman"/>
          <w:sz w:val="24"/>
          <w:szCs w:val="24"/>
        </w:rPr>
        <w:t>2019年6月30日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交银纯债债券发起C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于海颖</w:t>
            </w:r>
          </w:p>
        </w:tc>
        <w:tc>
          <w:tcPr>
            <w:vAlign w:val="center"/>
          </w:tcPr>
          <w:p>
            <w:pPr>
              <w:jc w:val="center"/>
            </w:pPr>
            <w:r>
              <w:rPr>
                <w:color w:val="000000"/>
                <w:sz w:val="24"/>
              </w:rPr>
              <w:t>交银增利债券、交银纯债债券发起、交银丰盈收益债券、交银丰晟收益债券、交银裕如纯债债券的基金经理，公司固定收益（公募）投资总监</w:t>
            </w:r>
          </w:p>
        </w:tc>
        <w:tc>
          <w:tcPr>
            <w:vAlign w:val="center"/>
          </w:tcPr>
          <w:p>
            <w:pPr>
              <w:jc w:val="center"/>
            </w:pPr>
            <w:r>
              <w:rPr>
                <w:color w:val="000000"/>
                <w:sz w:val="24"/>
              </w:rPr>
              <w:t>2017-06-10</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2017年6月10日至2019年3月14日担任交银施罗德荣鑫保本混合型证券投资基金的基金经理。2017年6月10日至2019年3月14日担任交银施罗德荣祥保本混合型证券投资基金的基金经理。2017年6月10日至2019年3月14日担任交银施罗德定期支付月月丰债券型证券投资基金的基金经理。2017年6月10日至2019年3月14日担任交银施罗德强化回报债券型证券投资基金的基金经理。2017年6月10日至2019年3月14日担任交银施罗德增利增强债券型证券投资基金的基金经理。2017年6月10日至2019年3月14日担任交银施罗德增强收益债券型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交银增利债券、交银纯债债券发起、交银丰润收益债券、交银增利增强债券、交银丰晟收益债券、交银裕如纯债债券、交银中债1-3年农发债指数的基金经理</w:t>
            </w:r>
          </w:p>
        </w:tc>
        <w:tc>
          <w:tcPr>
            <w:vAlign w:val="center"/>
          </w:tcPr>
          <w:p>
            <w:pPr>
              <w:jc w:val="center"/>
            </w:pPr>
            <w:r>
              <w:rPr>
                <w:color w:val="000000"/>
                <w:sz w:val="24"/>
              </w:rPr>
              <w:t>2018-08-29</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二季度债券收益率呈现出四月上行，五月下行，六月震荡的格局。二季度伊始，公布的三月PMI数据大幅超预期，在央行辟谣降准后，货币政策宽松的预期出现动摇。在基本面预期好转、资金面边际收敛、再加上股市上涨的多重利空之下，现券收益率一路上行。随后公布的三月经济数据均超出市场预期，四月政治局会议重新调整稳增长与调结构的关系，重提地产调控和结构性去杠杆，市场对经济增长的预期也一度上修。进入五月之后，中美贸易摩擦再度升级，风险偏好大幅回落，央行随即定向降准。随后四月经济数据陆续出台，较三月明显走弱，尤其是信贷社融大幅低于预期，带动债券走牛。此后，虽然贸易摩擦继续发酵，但是在通胀预期走高、季末流动性波动的情况下，收益率没有进一步下行，呈现震荡态势。</w:t>
      </w:r>
    </w:p>
    <w:p>
      <w:pPr>
        <w:spacing w:before="29" w:line="288" w:lineRule="auto"/>
        <w:ind w:firstLine="480" w:firstLineChars="200"/>
        <w:rPr>
          <w:color w:val="000000"/>
          <w:sz w:val="24"/>
        </w:rPr>
      </w:pPr>
      <w:r>
        <w:rPr>
          <w:color w:val="000000"/>
          <w:sz w:val="24"/>
        </w:rPr>
        <w:t>报告期内，基于对宏观经济的判断，结合市场收益率曲线的形态动态的进行了组合调整，适当缩短组合久期配置，由于资金变动加剧，组合杠杆有所降低。券种配置上，组合以信用债为底仓，获得较好的票息收益和杠杆收益。同时，组合以较小的仓位进行了阶段性的长久期利率债波段操作，增厚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2019年三季度，债券市场或将在预期经济下行和出台逆周期政策之间来回波动。一方面经济内生企稳的动能略显不足，全球经济增速回落和贸易摩擦带来出口不确定性，地产融资受限后续建安投资持续性不高。另一方面，逆周期调控政策不断出台，无论是货币还是财政政策均有一定的对冲空间，但在供给侧结构性改革的思路下，政策或更多发挥托而不举的效果。预计随着名义增速回落，三季度债市的交易空间或将进一步打开，但由于收益率绝对水平已经较低、社融底逐步夯实，且四季度后通胀预期回升，债市收益率突破前低需要更多因素催化。操作策略方面，我们将关注信用债的票息机会，拟继续以中高等级信用债为配置重点，并维持中等的杠杆水平，以提升组合整体静态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 主要财务指标” 及“3.2.1本报告期基金份额净值增长率及其与同期业绩比较基准收益率的比较”部分披露。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749,227,752.80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96.18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749,227,752.80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96.18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19,291,147.22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2.48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10,433,334.53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1.34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778,952,234.55</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40,235,000.00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6.88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64,598,000.00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11.04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64,598,000.00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11.04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75,562,752.80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12.92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119,936,000.00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20.51</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448,896,000.00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76.75</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749,227,752.80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128.10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101800154</w:t>
            </w:r>
          </w:p>
        </w:tc>
        <w:tc>
          <w:tcPr>
            <w:vAlign w:val="center"/>
          </w:tcPr>
          <w:p>
            <w:pPr>
              <w:jc w:val="center"/>
            </w:pPr>
            <w:r>
              <w:rPr>
                <w:color w:val="000000"/>
                <w:sz w:val="24"/>
              </w:rPr>
              <w:t>18外滩MTN001</w:t>
            </w:r>
          </w:p>
        </w:tc>
        <w:tc>
          <w:tcPr>
            <w:vAlign w:val="center"/>
          </w:tcPr>
          <w:p>
            <w:pPr>
              <w:jc w:val="right"/>
            </w:pPr>
            <w:r>
              <w:rPr>
                <w:color w:val="000000"/>
                <w:sz w:val="24"/>
              </w:rPr>
              <w:t>300,000</w:t>
            </w:r>
          </w:p>
        </w:tc>
        <w:tc>
          <w:tcPr>
            <w:vAlign w:val="center"/>
          </w:tcPr>
          <w:p>
            <w:pPr>
              <w:jc w:val="right"/>
            </w:pPr>
            <w:r>
              <w:rPr>
                <w:color w:val="000000"/>
                <w:sz w:val="24"/>
              </w:rPr>
              <w:t>30,978,000.00</w:t>
            </w:r>
          </w:p>
        </w:tc>
        <w:tc>
          <w:tcPr>
            <w:vAlign w:val="center"/>
          </w:tcPr>
          <w:p>
            <w:pPr>
              <w:jc w:val="right"/>
            </w:pPr>
            <w:r>
              <w:rPr>
                <w:color w:val="000000"/>
                <w:sz w:val="24"/>
              </w:rPr>
              <w:t>5.30</w:t>
            </w:r>
          </w:p>
        </w:tc>
      </w:tr>
      <w:tr>
        <w:tc>
          <w:tcPr>
            <w:vAlign w:val="center"/>
          </w:tcPr>
          <w:p>
            <w:pPr>
              <w:jc w:val="center"/>
            </w:pPr>
            <w:r>
              <w:rPr>
                <w:color w:val="000000"/>
                <w:sz w:val="24"/>
              </w:rPr>
              <w:t>2</w:t>
            </w:r>
          </w:p>
        </w:tc>
        <w:tc>
          <w:tcPr>
            <w:vAlign w:val="center"/>
          </w:tcPr>
          <w:p>
            <w:pPr>
              <w:jc w:val="center"/>
            </w:pPr>
            <w:r>
              <w:rPr>
                <w:color w:val="000000"/>
                <w:sz w:val="24"/>
              </w:rPr>
              <w:t>101562012</w:t>
            </w:r>
          </w:p>
        </w:tc>
        <w:tc>
          <w:tcPr>
            <w:vAlign w:val="center"/>
          </w:tcPr>
          <w:p>
            <w:pPr>
              <w:jc w:val="center"/>
            </w:pPr>
            <w:r>
              <w:rPr>
                <w:color w:val="000000"/>
                <w:sz w:val="24"/>
              </w:rPr>
              <w:t>15泰州城建MTN001</w:t>
            </w:r>
          </w:p>
        </w:tc>
        <w:tc>
          <w:tcPr>
            <w:vAlign w:val="center"/>
          </w:tcPr>
          <w:p>
            <w:pPr>
              <w:jc w:val="right"/>
            </w:pPr>
            <w:r>
              <w:rPr>
                <w:color w:val="000000"/>
                <w:sz w:val="24"/>
              </w:rPr>
              <w:t>300,000</w:t>
            </w:r>
          </w:p>
        </w:tc>
        <w:tc>
          <w:tcPr>
            <w:vAlign w:val="center"/>
          </w:tcPr>
          <w:p>
            <w:pPr>
              <w:jc w:val="right"/>
            </w:pPr>
            <w:r>
              <w:rPr>
                <w:color w:val="000000"/>
                <w:sz w:val="24"/>
              </w:rPr>
              <w:t>30,558,000.00</w:t>
            </w:r>
          </w:p>
        </w:tc>
        <w:tc>
          <w:tcPr>
            <w:vAlign w:val="center"/>
          </w:tcPr>
          <w:p>
            <w:pPr>
              <w:jc w:val="right"/>
            </w:pPr>
            <w:r>
              <w:rPr>
                <w:color w:val="000000"/>
                <w:sz w:val="24"/>
              </w:rPr>
              <w:t>5.22</w:t>
            </w:r>
          </w:p>
        </w:tc>
      </w:tr>
      <w:tr>
        <w:tc>
          <w:tcPr>
            <w:vAlign w:val="center"/>
          </w:tcPr>
          <w:p>
            <w:pPr>
              <w:jc w:val="center"/>
            </w:pPr>
            <w:r>
              <w:rPr>
                <w:color w:val="000000"/>
                <w:sz w:val="24"/>
              </w:rPr>
              <w:t>3</w:t>
            </w:r>
          </w:p>
        </w:tc>
        <w:tc>
          <w:tcPr>
            <w:vAlign w:val="center"/>
          </w:tcPr>
          <w:p>
            <w:pPr>
              <w:jc w:val="center"/>
            </w:pPr>
            <w:r>
              <w:rPr>
                <w:color w:val="000000"/>
                <w:sz w:val="24"/>
              </w:rPr>
              <w:t>011901189</w:t>
            </w:r>
          </w:p>
        </w:tc>
        <w:tc>
          <w:tcPr>
            <w:vAlign w:val="center"/>
          </w:tcPr>
          <w:p>
            <w:pPr>
              <w:jc w:val="center"/>
            </w:pPr>
            <w:r>
              <w:rPr>
                <w:color w:val="000000"/>
                <w:sz w:val="24"/>
              </w:rPr>
              <w:t>19邯郸交建SCP001</w:t>
            </w:r>
          </w:p>
        </w:tc>
        <w:tc>
          <w:tcPr>
            <w:vAlign w:val="center"/>
          </w:tcPr>
          <w:p>
            <w:pPr>
              <w:jc w:val="right"/>
            </w:pPr>
            <w:r>
              <w:rPr>
                <w:color w:val="000000"/>
                <w:sz w:val="24"/>
              </w:rPr>
              <w:t>300,000</w:t>
            </w:r>
          </w:p>
        </w:tc>
        <w:tc>
          <w:tcPr>
            <w:vAlign w:val="center"/>
          </w:tcPr>
          <w:p>
            <w:pPr>
              <w:jc w:val="right"/>
            </w:pPr>
            <w:r>
              <w:rPr>
                <w:color w:val="000000"/>
                <w:sz w:val="24"/>
              </w:rPr>
              <w:t>29,943,000.00</w:t>
            </w:r>
          </w:p>
        </w:tc>
        <w:tc>
          <w:tcPr>
            <w:vAlign w:val="center"/>
          </w:tcPr>
          <w:p>
            <w:pPr>
              <w:jc w:val="right"/>
            </w:pPr>
            <w:r>
              <w:rPr>
                <w:color w:val="000000"/>
                <w:sz w:val="24"/>
              </w:rPr>
              <w:t>5.12</w:t>
            </w:r>
          </w:p>
        </w:tc>
      </w:tr>
      <w:tr>
        <w:tc>
          <w:tcPr>
            <w:vAlign w:val="center"/>
          </w:tcPr>
          <w:p>
            <w:pPr>
              <w:jc w:val="center"/>
            </w:pPr>
            <w:r>
              <w:rPr>
                <w:color w:val="000000"/>
                <w:sz w:val="24"/>
              </w:rPr>
              <w:t>4</w:t>
            </w:r>
          </w:p>
        </w:tc>
        <w:tc>
          <w:tcPr>
            <w:vAlign w:val="center"/>
          </w:tcPr>
          <w:p>
            <w:pPr>
              <w:jc w:val="center"/>
            </w:pPr>
            <w:r>
              <w:rPr>
                <w:color w:val="000000"/>
                <w:sz w:val="24"/>
              </w:rPr>
              <w:t>041900222</w:t>
            </w:r>
          </w:p>
        </w:tc>
        <w:tc>
          <w:tcPr>
            <w:vAlign w:val="center"/>
          </w:tcPr>
          <w:p>
            <w:pPr>
              <w:jc w:val="center"/>
            </w:pPr>
            <w:r>
              <w:rPr>
                <w:color w:val="000000"/>
                <w:sz w:val="24"/>
              </w:rPr>
              <w:t>19扬州经开CP002</w:t>
            </w:r>
          </w:p>
        </w:tc>
        <w:tc>
          <w:tcPr>
            <w:vAlign w:val="center"/>
          </w:tcPr>
          <w:p>
            <w:pPr>
              <w:jc w:val="right"/>
            </w:pPr>
            <w:r>
              <w:rPr>
                <w:color w:val="000000"/>
                <w:sz w:val="24"/>
              </w:rPr>
              <w:t>300,000</w:t>
            </w:r>
          </w:p>
        </w:tc>
        <w:tc>
          <w:tcPr>
            <w:vAlign w:val="center"/>
          </w:tcPr>
          <w:p>
            <w:pPr>
              <w:jc w:val="right"/>
            </w:pPr>
            <w:r>
              <w:rPr>
                <w:color w:val="000000"/>
                <w:sz w:val="24"/>
              </w:rPr>
              <w:t>29,937,000.00</w:t>
            </w:r>
          </w:p>
        </w:tc>
        <w:tc>
          <w:tcPr>
            <w:vAlign w:val="center"/>
          </w:tcPr>
          <w:p>
            <w:pPr>
              <w:jc w:val="right"/>
            </w:pPr>
            <w:r>
              <w:rPr>
                <w:color w:val="000000"/>
                <w:sz w:val="24"/>
              </w:rPr>
              <w:t>5.12</w:t>
            </w:r>
          </w:p>
        </w:tc>
      </w:tr>
      <w:tr>
        <w:tc>
          <w:tcPr>
            <w:vAlign w:val="center"/>
          </w:tcPr>
          <w:p>
            <w:pPr>
              <w:jc w:val="center"/>
            </w:pPr>
            <w:r>
              <w:rPr>
                <w:color w:val="000000"/>
                <w:sz w:val="24"/>
              </w:rPr>
              <w:t>5</w:t>
            </w:r>
          </w:p>
        </w:tc>
        <w:tc>
          <w:tcPr>
            <w:vAlign w:val="center"/>
          </w:tcPr>
          <w:p>
            <w:pPr>
              <w:jc w:val="center"/>
            </w:pPr>
            <w:r>
              <w:rPr>
                <w:color w:val="000000"/>
                <w:sz w:val="24"/>
              </w:rPr>
              <w:t>199920</w:t>
            </w:r>
          </w:p>
        </w:tc>
        <w:tc>
          <w:tcPr>
            <w:vAlign w:val="center"/>
          </w:tcPr>
          <w:p>
            <w:pPr>
              <w:jc w:val="center"/>
            </w:pPr>
            <w:r>
              <w:rPr>
                <w:color w:val="000000"/>
                <w:sz w:val="24"/>
              </w:rPr>
              <w:t>19贴现国债20</w:t>
            </w:r>
          </w:p>
        </w:tc>
        <w:tc>
          <w:tcPr>
            <w:vAlign w:val="center"/>
          </w:tcPr>
          <w:p>
            <w:pPr>
              <w:jc w:val="right"/>
            </w:pPr>
            <w:r>
              <w:rPr>
                <w:color w:val="000000"/>
                <w:sz w:val="24"/>
              </w:rPr>
              <w:t>300,000</w:t>
            </w:r>
          </w:p>
        </w:tc>
        <w:tc>
          <w:tcPr>
            <w:vAlign w:val="center"/>
          </w:tcPr>
          <w:p>
            <w:pPr>
              <w:jc w:val="right"/>
            </w:pPr>
            <w:r>
              <w:rPr>
                <w:color w:val="000000"/>
                <w:sz w:val="24"/>
              </w:rPr>
              <w:t>29,838,000.00</w:t>
            </w:r>
          </w:p>
        </w:tc>
        <w:tc>
          <w:tcPr>
            <w:vAlign w:val="center"/>
          </w:tcPr>
          <w:p>
            <w:pPr>
              <w:jc w:val="right"/>
            </w:pPr>
            <w:r>
              <w:rPr>
                <w:color w:val="000000"/>
                <w:sz w:val="24"/>
              </w:rPr>
              <w:t>5.10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rsidRPr="007F52FA">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6,214.14</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9,341,140.51</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1,085,979.88</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10,433,334.53</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7F52FA">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7F52FA">
      <w:pPr>
        <w:spacing w:before="29" w:line="288" w:lineRule="auto"/>
        <w:rPr>
          <w:rFonts w:eastAsiaTheme="minorEastAsia"/>
          <w:sz w:val="24"/>
        </w:rPr>
      </w:pPr>
    </w:p>
    <w:p w:rsidP="007C14DF" w:rsidR="001D5CD0" w:rsidRDefault="001D5CD0" w:rsidRPr="007F52FA">
      <w:pPr>
        <w:spacing w:before="29" w:line="288" w:lineRule="auto"/>
        <w:rPr>
          <w:rFonts w:eastAsiaTheme="minorEastAsia"/>
          <w:color w:val="000000"/>
          <w:kern w:val="0"/>
          <w:sz w:val="24"/>
        </w:rPr>
      </w:pPr>
      <w:r w:rsidRPr="007F52FA">
        <w:rPr>
          <w:rFonts w:eastAsiaTheme="minorEastAsia"/>
          <w:color w:val="000000"/>
          <w:kern w:val="0"/>
          <w:sz w:val="24"/>
        </w:rPr>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交银纯债债券发起A/B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交银纯债债券发起C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319,128,211.74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91,297,749.55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365,090,935.78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40,326,297.92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189,311,144.49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84,826,030.48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494,908,003.03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46,798,016.99</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B47574" w:rsidRDefault="006B046C" w:rsidRPr="007F52FA">
      <w:pPr>
        <w:pStyle w:val="1"/>
        <w:spacing w:after="312" w:afterLines="100" w:before="312" w:beforeLines="100" w:line="288" w:lineRule="auto"/>
        <w:jc w:val="center"/>
        <w:rPr>
          <w:rFonts w:eastAsiaTheme="minorEastAsia"/>
          <w:b w:val="0"/>
          <w:color w:val="000000"/>
          <w:sz w:val="24"/>
          <w:szCs w:val="24"/>
        </w:rPr>
      </w:pPr>
      <w:r w:rsidRPr="007F52FA">
        <w:rPr>
          <w:rFonts w:eastAsiaTheme="minorEastAsia"/>
          <w:color w:val="000000"/>
          <w:kern w:val="0"/>
          <w:sz w:val="24"/>
          <w:szCs w:val="24"/>
        </w:rPr>
        <w:t/>
      </w:r>
      <w:r w:rsidR="00B47574" w:rsidRPr="007F52FA">
        <w:rPr>
          <w:rFonts w:eastAsiaTheme="minorEastAsia"/>
          <w:color w:val="000000"/>
          <w:kern w:val="0"/>
          <w:sz w:val="24"/>
          <w:szCs w:val="24"/>
        </w:rPr>
        <w:t>§</w:t>
      </w:r>
      <w:r w:rsidR="00D66685" w:rsidRPr="007F52FA">
        <w:rPr>
          <w:rFonts w:eastAsiaTheme="minorEastAsia"/>
          <w:color w:val="000000"/>
          <w:kern w:val="0"/>
          <w:sz w:val="24"/>
          <w:szCs w:val="24"/>
        </w:rPr>
        <w:t/>
      </w:r>
      <w:r w:rsidR="00B47574"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00B47574" w:rsidRPr="007F52FA">
        <w:rPr>
          <w:rFonts w:eastAsiaTheme="minorEastAsia"/>
          <w:color w:val="000000"/>
          <w:kern w:val="0"/>
          <w:sz w:val="24"/>
          <w:szCs w:val="24"/>
        </w:rPr>
        <w:t>发起式基金发起资金持有份额情况</w:t>
      </w:r>
    </w:p>
    <w:p w:rsidP="007C14DF" w:rsidR="00B47574" w:rsidRDefault="00B4757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基金管理人于本基金募集期内运用固有资金认购本基金份额10,000,000.00元人民币（不含募集期利息结转的份额），作为本基金的发起资金。自本基金基金合同生效之日起，发起资金所认购的基金份额持有期限不低于三年。本基金管理人持有的发起份额已于2017年一季度全部赎回，相应份额的持有期限符合基金合同的约定。</w:t>
      </w:r>
    </w:p>
    <w:p w:rsidP="007C14DF" w:rsidR="00574FC7" w:rsidRDefault="00574FC7"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§9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9.1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2019/4/1-2019/6/30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186,308,454.61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186,308,454.61</w:t>
            </w:r>
          </w:p>
        </w:tc>
        <w:tc>
          <w:tcPr>
            <w:vAlign w:val="center"/>
          </w:tcPr>
          <w:p>
            <w:pPr>
              <w:jc w:val="center"/>
            </w:pPr>
            <w:r>
              <w:rPr>
                <w:rFonts w:ascii="宋体" w:hAnsi="宋体" w:hint="eastAsia"/>
                <w:color w:val="000000"/>
                <w:kern w:val="0"/>
                <w:szCs w:val="21"/>
              </w:rPr>
              <w:t>34.39%</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1、中国证监会批准交银施罗德纯债债券型发起式证券投资基金募集的文件；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2、《交银施罗德纯债债券型发起式证券投资基金基金合同》；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3、《交银施罗德纯债债券型发起式证券投资基金招募说明书》；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4、《交银施罗德纯债债券型发起式证券投资基金托管协议》；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5、关于募集交银施罗德纯债债券型发起式证券投资基金之法律意见书；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8、报告期内交银施罗德纯债债券型发起式证券投资基金在指定报刊上各项公告的原稿。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10.3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08" w:rsidRDefault="00CE3F08">
      <w:r>
        <w:separator/>
      </w:r>
    </w:p>
  </w:endnote>
  <w:endnote w:type="continuationSeparator" w:id="0">
    <w:p w:rsidR="00CE3F08" w:rsidRDefault="00C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87122">
      <w:rPr>
        <w:noProof/>
        <w:kern w:val="0"/>
        <w:szCs w:val="21"/>
      </w:rPr>
      <w:t>26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87122">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CE3F08" w:rsidRDefault="00CE3F08">
      <w:r>
        <w:separator/>
      </w:r>
    </w:p>
  </w:footnote>
  <w:footnote w:id="0" w:type="continuationSeparator">
    <w:p w:rsidR="00CE3F08" w:rsidRDefault="00CE3F08">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交银施罗德纯债债券型发起式证券投资基金2019年第2季度报告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1A756-3F40-4048-9F43-4670680D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214</TotalTime>
  <Pages>27</Pages>
  <Words>4288</Words>
  <Characters>24444</Characters>
  <Application>Microsoft Office Word</Application>
  <DocSecurity>0</DocSecurity>
  <Lines>203</Lines>
  <Paragraphs>57</Paragraphs>
  <ScaleCrop>false</ScaleCrop>
  <Company>TRT. Ltd. Co.</Company>
  <LinksUpToDate>false</LinksUpToDate>
  <CharactersWithSpaces>28675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2019-07-04T03:19:00Z</dcterms:modified>
  <cp:revision>389</cp:revision>
</cp:coreProperties>
</file>