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交银施罗德经济新动力混合型证券投资基金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交银经济新动力混合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519778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519778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2016年10月20日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869,195,262.95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-38,489,174.94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-75,862,264.18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-0.0929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1,188,083,359.25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1.3669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-4.72%</w:t>
            </w:r>
          </w:p>
        </w:tc>
        <w:tc>
          <w:tcPr>
            <w:vAlign w:val="center"/>
          </w:tcPr>
          <w:p>
            <w:pPr>
              <w:jc w:val="center"/>
            </w:pPr>
            <w:r>
              <w:rPr>
                <w:color w:val="000000"/>
                <w:sz w:val="24"/>
                <w:szCs w:val="24"/>
              </w:rPr>
              <w:t>1.90%</w:t>
            </w:r>
          </w:p>
        </w:tc>
        <w:tc>
          <w:tcPr>
            <w:vAlign w:val="center"/>
          </w:tcPr>
          <w:p>
            <w:pPr>
              <w:jc w:val="center"/>
            </w:pPr>
            <w:r>
              <w:rPr>
                <w:color w:val="000000"/>
                <w:sz w:val="24"/>
                <w:szCs w:val="24"/>
              </w:rPr>
              <w:t>-0.30%</w:t>
            </w:r>
          </w:p>
        </w:tc>
        <w:tc>
          <w:tcPr>
            <w:vAlign w:val="center"/>
          </w:tcPr>
          <w:p>
            <w:pPr>
              <w:jc w:val="center"/>
            </w:pPr>
            <w:r>
              <w:rPr>
                <w:color w:val="000000"/>
                <w:sz w:val="24"/>
                <w:szCs w:val="24"/>
              </w:rPr>
              <w:t>0.91%</w:t>
            </w:r>
          </w:p>
        </w:tc>
        <w:tc>
          <w:tcPr>
            <w:vAlign w:val="center"/>
          </w:tcPr>
          <w:p>
            <w:pPr>
              <w:jc w:val="center"/>
            </w:pPr>
            <w:r>
              <w:rPr>
                <w:color w:val="000000"/>
                <w:sz w:val="24"/>
                <w:szCs w:val="24"/>
              </w:rPr>
              <w:t>-4.42%</w:t>
            </w:r>
          </w:p>
        </w:tc>
        <w:tc>
          <w:tcPr>
            <w:vAlign w:val="center"/>
          </w:tcPr>
          <w:p>
            <w:pPr>
              <w:jc w:val="center"/>
            </w:pPr>
            <w:r>
              <w:rPr>
                <w:color w:val="000000"/>
                <w:sz w:val="24"/>
                <w:szCs w:val="24"/>
              </w:rPr>
              <w:t>0.99%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交银施罗德经济新动力混合型证券投资基金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2016年10月20日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交银成长30混合、交银经济新动力混合的基金经理</w:t>
            </w:r>
          </w:p>
        </w:tc>
        <w:tc>
          <w:tcPr>
            <w:vAlign w:val="center"/>
          </w:tcPr>
          <w:p>
            <w:pPr>
              <w:jc w:val="center"/>
            </w:pPr>
            <w:r>
              <w:rPr>
                <w:color w:val="000000"/>
                <w:sz w:val="24"/>
                <w:szCs w:val="24"/>
              </w:rPr>
              <w:t>2018-06-02</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二季度，中美贸易摩擦再起波澜，以华为为代表的中国科技企业的禁运事件进一步打压了市场的风险偏好，成长股尤其是科技股在二季度显著回调，消费股几乎一枝独秀的背后，是市场所有参与方面对不确定性的选择。市场在等待G20会谈明确方向。</w:t>
      </w:r>
    </w:p>
    <w:p>
      <w:pPr>
        <w:spacing w:before="29" w:line="288" w:lineRule="auto"/>
        <w:ind w:firstLine="480" w:firstLineChars="200"/>
        <w:rPr>
          <w:color w:val="000000"/>
          <w:sz w:val="24"/>
          <w:szCs w:val="24"/>
        </w:rPr>
      </w:pPr>
      <w:r>
        <w:rPr>
          <w:color w:val="000000"/>
          <w:sz w:val="24"/>
          <w:szCs w:val="24"/>
        </w:rPr>
        <w:t>报告期内，本基金根据市场风险事件的进展调整了仓位，重点配置了新能源汽车、智能装备、创新硬件、半导体、5G、产业信息化以及医药等领域的成长股及以地产为代表的逆周期蓝筹品种。</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展望2019年三季度，我们认为尽管外部的不确定因素仍存，拥抱业绩的确定性将是“能守善攻”的制胜法宝。我们有幸已经挖掘出并持有一批估值具备吸引力的优质成长股，它们或顺应产业爆发的趋势，或有望成长为细分行业的隐形冠军。同时，以地产为代表的逆周期蓝筹品种仍然具备配置的价值。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1,124,905,838.24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91.81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1,124,905,838.24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91.81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91,452,871.64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8,851,191.29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0.72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1,225,209,901.17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21,719,808.04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1.83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796,117,257.24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67.01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7,135,483.62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28,925,966.70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93,192,866.44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29,250,749.94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2.46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125,250,198.86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10.54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7,223,942.00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14,377,968.80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1,688,490.00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23,106.60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1,124,905,838.24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94.68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3,839,883</w:t>
            </w:r>
          </w:p>
        </w:tc>
        <w:tc>
          <w:tcPr>
            <w:vAlign w:val="center"/>
          </w:tcPr>
          <w:p>
            <w:pPr>
              <w:jc w:val="right"/>
            </w:pPr>
            <w:r>
              <w:rPr>
                <w:color w:val="000000"/>
                <w:sz w:val="24"/>
                <w:szCs w:val="24"/>
              </w:rPr>
              <w:t>116,962,836.18</w:t>
            </w:r>
          </w:p>
        </w:tc>
        <w:tc>
          <w:tcPr>
            <w:vAlign w:val="center"/>
          </w:tcPr>
          <w:p>
            <w:pPr>
              <w:jc w:val="right"/>
            </w:pPr>
            <w:r>
              <w:rPr>
                <w:color w:val="000000"/>
                <w:sz w:val="24"/>
                <w:szCs w:val="24"/>
              </w:rPr>
              <w:t>9.84</w:t>
            </w:r>
          </w:p>
        </w:tc>
      </w:tr>
      <w:tr>
        <w:tc>
          <w:tcPr>
            <w:vAlign w:val="center"/>
          </w:tcPr>
          <w:p>
            <w:pPr>
              <w:jc w:val="center"/>
            </w:pPr>
            <w:r>
              <w:rPr>
                <w:color w:val="000000"/>
                <w:sz w:val="24"/>
                <w:szCs w:val="24"/>
              </w:rPr>
              <w:t>2</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8,241,716</w:t>
            </w:r>
          </w:p>
        </w:tc>
        <w:tc>
          <w:tcPr>
            <w:vAlign w:val="center"/>
          </w:tcPr>
          <w:p>
            <w:pPr>
              <w:jc w:val="right"/>
            </w:pPr>
            <w:r>
              <w:rPr>
                <w:color w:val="000000"/>
                <w:sz w:val="24"/>
                <w:szCs w:val="24"/>
              </w:rPr>
              <w:t>94,944,568.32</w:t>
            </w:r>
          </w:p>
        </w:tc>
        <w:tc>
          <w:tcPr>
            <w:vAlign w:val="center"/>
          </w:tcPr>
          <w:p>
            <w:pPr>
              <w:jc w:val="right"/>
            </w:pPr>
            <w:r>
              <w:rPr>
                <w:color w:val="000000"/>
                <w:sz w:val="24"/>
                <w:szCs w:val="24"/>
              </w:rPr>
              <w:t>7.99</w:t>
            </w:r>
          </w:p>
        </w:tc>
      </w:tr>
      <w:tr>
        <w:tc>
          <w:tcPr>
            <w:vAlign w:val="center"/>
          </w:tcPr>
          <w:p>
            <w:pPr>
              <w:jc w:val="center"/>
            </w:pPr>
            <w:r>
              <w:rPr>
                <w:color w:val="000000"/>
                <w:sz w:val="24"/>
                <w:szCs w:val="24"/>
              </w:rPr>
              <w:t>3</w:t>
            </w:r>
          </w:p>
        </w:tc>
        <w:tc>
          <w:tcPr>
            <w:vAlign w:val="center"/>
          </w:tcPr>
          <w:p>
            <w:pPr>
              <w:jc w:val="center"/>
            </w:pPr>
            <w:r>
              <w:rPr>
                <w:color w:val="000000"/>
                <w:sz w:val="24"/>
                <w:szCs w:val="24"/>
              </w:rPr>
              <w:t>002322</w:t>
            </w:r>
          </w:p>
        </w:tc>
        <w:tc>
          <w:tcPr>
            <w:vAlign w:val="center"/>
          </w:tcPr>
          <w:p>
            <w:pPr>
              <w:jc w:val="center"/>
            </w:pPr>
            <w:r>
              <w:rPr>
                <w:color w:val="000000"/>
                <w:sz w:val="24"/>
                <w:szCs w:val="24"/>
              </w:rPr>
              <w:t>理工环科</w:t>
            </w:r>
          </w:p>
        </w:tc>
        <w:tc>
          <w:tcPr>
            <w:vAlign w:val="center"/>
          </w:tcPr>
          <w:p>
            <w:pPr>
              <w:jc w:val="right"/>
            </w:pPr>
            <w:r>
              <w:rPr>
                <w:color w:val="000000"/>
                <w:sz w:val="24"/>
                <w:szCs w:val="24"/>
              </w:rPr>
              <w:t>7,408,018</w:t>
            </w:r>
          </w:p>
        </w:tc>
        <w:tc>
          <w:tcPr>
            <w:vAlign w:val="center"/>
          </w:tcPr>
          <w:p>
            <w:pPr>
              <w:jc w:val="right"/>
            </w:pPr>
            <w:r>
              <w:rPr>
                <w:color w:val="000000"/>
                <w:sz w:val="24"/>
                <w:szCs w:val="24"/>
              </w:rPr>
              <w:t>93,192,866.44</w:t>
            </w:r>
          </w:p>
        </w:tc>
        <w:tc>
          <w:tcPr>
            <w:vAlign w:val="center"/>
          </w:tcPr>
          <w:p>
            <w:pPr>
              <w:jc w:val="right"/>
            </w:pPr>
            <w:r>
              <w:rPr>
                <w:color w:val="000000"/>
                <w:sz w:val="24"/>
                <w:szCs w:val="24"/>
              </w:rPr>
              <w:t>7.84</w:t>
            </w:r>
          </w:p>
        </w:tc>
      </w:tr>
      <w:tr>
        <w:tc>
          <w:tcPr>
            <w:vAlign w:val="center"/>
          </w:tcPr>
          <w:p>
            <w:pPr>
              <w:jc w:val="center"/>
            </w:pPr>
            <w:r>
              <w:rPr>
                <w:color w:val="000000"/>
                <w:sz w:val="24"/>
                <w:szCs w:val="24"/>
              </w:rPr>
              <w:t>4</w:t>
            </w:r>
          </w:p>
        </w:tc>
        <w:tc>
          <w:tcPr>
            <w:vAlign w:val="center"/>
          </w:tcPr>
          <w:p>
            <w:pPr>
              <w:jc w:val="center"/>
            </w:pPr>
            <w:r>
              <w:rPr>
                <w:color w:val="000000"/>
                <w:sz w:val="24"/>
                <w:szCs w:val="24"/>
              </w:rPr>
              <w:t>002463</w:t>
            </w:r>
          </w:p>
        </w:tc>
        <w:tc>
          <w:tcPr>
            <w:vAlign w:val="center"/>
          </w:tcPr>
          <w:p>
            <w:pPr>
              <w:jc w:val="center"/>
            </w:pPr>
            <w:r>
              <w:rPr>
                <w:color w:val="000000"/>
                <w:sz w:val="24"/>
                <w:szCs w:val="24"/>
              </w:rPr>
              <w:t>沪电股份</w:t>
            </w:r>
          </w:p>
        </w:tc>
        <w:tc>
          <w:tcPr>
            <w:vAlign w:val="center"/>
          </w:tcPr>
          <w:p>
            <w:pPr>
              <w:jc w:val="right"/>
            </w:pPr>
            <w:r>
              <w:rPr>
                <w:color w:val="000000"/>
                <w:sz w:val="24"/>
                <w:szCs w:val="24"/>
              </w:rPr>
              <w:t>5,107,300</w:t>
            </w:r>
          </w:p>
        </w:tc>
        <w:tc>
          <w:tcPr>
            <w:vAlign w:val="center"/>
          </w:tcPr>
          <w:p>
            <w:pPr>
              <w:jc w:val="right"/>
            </w:pPr>
            <w:r>
              <w:rPr>
                <w:color w:val="000000"/>
                <w:sz w:val="24"/>
                <w:szCs w:val="24"/>
              </w:rPr>
              <w:t>69,561,426.00</w:t>
            </w:r>
          </w:p>
        </w:tc>
        <w:tc>
          <w:tcPr>
            <w:vAlign w:val="center"/>
          </w:tcPr>
          <w:p>
            <w:pPr>
              <w:jc w:val="right"/>
            </w:pPr>
            <w:r>
              <w:rPr>
                <w:color w:val="000000"/>
                <w:sz w:val="24"/>
                <w:szCs w:val="24"/>
              </w:rPr>
              <w:t>5.85</w:t>
            </w:r>
          </w:p>
        </w:tc>
      </w:tr>
      <w:tr>
        <w:tc>
          <w:tcPr>
            <w:vAlign w:val="center"/>
          </w:tcPr>
          <w:p>
            <w:pPr>
              <w:jc w:val="center"/>
            </w:pPr>
            <w:r>
              <w:rPr>
                <w:color w:val="000000"/>
                <w:sz w:val="24"/>
                <w:szCs w:val="24"/>
              </w:rPr>
              <w:t>5</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482,246</w:t>
            </w:r>
          </w:p>
        </w:tc>
        <w:tc>
          <w:tcPr>
            <w:vAlign w:val="center"/>
          </w:tcPr>
          <w:p>
            <w:pPr>
              <w:jc w:val="right"/>
            </w:pPr>
            <w:r>
              <w:rPr>
                <w:color w:val="000000"/>
                <w:sz w:val="24"/>
                <w:szCs w:val="24"/>
              </w:rPr>
              <w:t>66,935,744.80</w:t>
            </w:r>
          </w:p>
        </w:tc>
        <w:tc>
          <w:tcPr>
            <w:vAlign w:val="center"/>
          </w:tcPr>
          <w:p>
            <w:pPr>
              <w:jc w:val="right"/>
            </w:pPr>
            <w:r>
              <w:rPr>
                <w:color w:val="000000"/>
                <w:sz w:val="24"/>
                <w:szCs w:val="24"/>
              </w:rPr>
              <w:t>5.63</w:t>
            </w:r>
          </w:p>
        </w:tc>
      </w:tr>
      <w:tr>
        <w:tc>
          <w:tcPr>
            <w:vAlign w:val="center"/>
          </w:tcPr>
          <w:p>
            <w:pPr>
              <w:jc w:val="center"/>
            </w:pPr>
            <w:r>
              <w:rPr>
                <w:color w:val="000000"/>
                <w:sz w:val="24"/>
                <w:szCs w:val="24"/>
              </w:rPr>
              <w:t>6</w:t>
            </w:r>
          </w:p>
        </w:tc>
        <w:tc>
          <w:tcPr>
            <w:vAlign w:val="center"/>
          </w:tcPr>
          <w:p>
            <w:pPr>
              <w:jc w:val="center"/>
            </w:pPr>
            <w:r>
              <w:rPr>
                <w:color w:val="000000"/>
                <w:sz w:val="24"/>
                <w:szCs w:val="24"/>
              </w:rPr>
              <w:t>603666</w:t>
            </w:r>
          </w:p>
        </w:tc>
        <w:tc>
          <w:tcPr>
            <w:vAlign w:val="center"/>
          </w:tcPr>
          <w:p>
            <w:pPr>
              <w:jc w:val="center"/>
            </w:pPr>
            <w:r>
              <w:rPr>
                <w:color w:val="000000"/>
                <w:sz w:val="24"/>
                <w:szCs w:val="24"/>
              </w:rPr>
              <w:t>亿嘉和</w:t>
            </w:r>
          </w:p>
        </w:tc>
        <w:tc>
          <w:tcPr>
            <w:vAlign w:val="center"/>
          </w:tcPr>
          <w:p>
            <w:pPr>
              <w:jc w:val="right"/>
            </w:pPr>
            <w:r>
              <w:rPr>
                <w:color w:val="000000"/>
                <w:sz w:val="24"/>
                <w:szCs w:val="24"/>
              </w:rPr>
              <w:t>1,098,700</w:t>
            </w:r>
          </w:p>
        </w:tc>
        <w:tc>
          <w:tcPr>
            <w:vAlign w:val="center"/>
          </w:tcPr>
          <w:p>
            <w:pPr>
              <w:jc w:val="right"/>
            </w:pPr>
            <w:r>
              <w:rPr>
                <w:color w:val="000000"/>
                <w:sz w:val="24"/>
                <w:szCs w:val="24"/>
              </w:rPr>
              <w:t>60,175,799.00</w:t>
            </w:r>
          </w:p>
        </w:tc>
        <w:tc>
          <w:tcPr>
            <w:vAlign w:val="center"/>
          </w:tcPr>
          <w:p>
            <w:pPr>
              <w:jc w:val="right"/>
            </w:pPr>
            <w:r>
              <w:rPr>
                <w:color w:val="000000"/>
                <w:sz w:val="24"/>
                <w:szCs w:val="24"/>
              </w:rPr>
              <w:t>5.06</w:t>
            </w:r>
          </w:p>
        </w:tc>
      </w:tr>
      <w:tr>
        <w:tc>
          <w:tcPr>
            <w:vAlign w:val="center"/>
          </w:tcPr>
          <w:p>
            <w:pPr>
              <w:jc w:val="center"/>
            </w:pPr>
            <w:r>
              <w:rPr>
                <w:color w:val="000000"/>
                <w:sz w:val="24"/>
                <w:szCs w:val="24"/>
              </w:rPr>
              <w:t>7</w:t>
            </w:r>
          </w:p>
        </w:tc>
        <w:tc>
          <w:tcPr>
            <w:vAlign w:val="center"/>
          </w:tcPr>
          <w:p>
            <w:pPr>
              <w:jc w:val="center"/>
            </w:pPr>
            <w:r>
              <w:rPr>
                <w:color w:val="000000"/>
                <w:sz w:val="24"/>
                <w:szCs w:val="24"/>
              </w:rPr>
              <w:t>601155</w:t>
            </w:r>
          </w:p>
        </w:tc>
        <w:tc>
          <w:tcPr>
            <w:vAlign w:val="center"/>
          </w:tcPr>
          <w:p>
            <w:pPr>
              <w:jc w:val="center"/>
            </w:pPr>
            <w:r>
              <w:rPr>
                <w:color w:val="000000"/>
                <w:sz w:val="24"/>
                <w:szCs w:val="24"/>
              </w:rPr>
              <w:t>新城控股</w:t>
            </w:r>
          </w:p>
        </w:tc>
        <w:tc>
          <w:tcPr>
            <w:vAlign w:val="center"/>
          </w:tcPr>
          <w:p>
            <w:pPr>
              <w:jc w:val="right"/>
            </w:pPr>
            <w:r>
              <w:rPr>
                <w:color w:val="000000"/>
                <w:sz w:val="24"/>
                <w:szCs w:val="24"/>
              </w:rPr>
              <w:t>1,427,580</w:t>
            </w:r>
          </w:p>
        </w:tc>
        <w:tc>
          <w:tcPr>
            <w:vAlign w:val="center"/>
          </w:tcPr>
          <w:p>
            <w:pPr>
              <w:jc w:val="right"/>
            </w:pPr>
            <w:r>
              <w:rPr>
                <w:color w:val="000000"/>
                <w:sz w:val="24"/>
                <w:szCs w:val="24"/>
              </w:rPr>
              <w:t>56,831,959.80</w:t>
            </w:r>
          </w:p>
        </w:tc>
        <w:tc>
          <w:tcPr>
            <w:vAlign w:val="center"/>
          </w:tcPr>
          <w:p>
            <w:pPr>
              <w:jc w:val="right"/>
            </w:pPr>
            <w:r>
              <w:rPr>
                <w:color w:val="000000"/>
                <w:sz w:val="24"/>
                <w:szCs w:val="24"/>
              </w:rPr>
              <w:t>4.78</w:t>
            </w:r>
          </w:p>
        </w:tc>
      </w:tr>
      <w:tr>
        <w:tc>
          <w:tcPr>
            <w:vAlign w:val="center"/>
          </w:tcPr>
          <w:p>
            <w:pPr>
              <w:jc w:val="center"/>
            </w:pPr>
            <w:r>
              <w:rPr>
                <w:color w:val="000000"/>
                <w:sz w:val="24"/>
                <w:szCs w:val="24"/>
              </w:rPr>
              <w:t>8</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2,290,998</w:t>
            </w:r>
          </w:p>
        </w:tc>
        <w:tc>
          <w:tcPr>
            <w:vAlign w:val="center"/>
          </w:tcPr>
          <w:p>
            <w:pPr>
              <w:jc w:val="right"/>
            </w:pPr>
            <w:r>
              <w:rPr>
                <w:color w:val="000000"/>
                <w:sz w:val="24"/>
                <w:szCs w:val="24"/>
              </w:rPr>
              <w:t>56,793,840.42</w:t>
            </w:r>
          </w:p>
        </w:tc>
        <w:tc>
          <w:tcPr>
            <w:vAlign w:val="center"/>
          </w:tcPr>
          <w:p>
            <w:pPr>
              <w:jc w:val="right"/>
            </w:pPr>
            <w:r>
              <w:rPr>
                <w:color w:val="000000"/>
                <w:sz w:val="24"/>
                <w:szCs w:val="24"/>
              </w:rPr>
              <w:t>4.78</w:t>
            </w:r>
          </w:p>
        </w:tc>
      </w:tr>
      <w:tr>
        <w:tc>
          <w:tcPr>
            <w:vAlign w:val="center"/>
          </w:tcPr>
          <w:p>
            <w:pPr>
              <w:jc w:val="center"/>
            </w:pPr>
            <w:r>
              <w:rPr>
                <w:color w:val="000000"/>
                <w:sz w:val="24"/>
                <w:szCs w:val="24"/>
              </w:rPr>
              <w:t>9</w:t>
            </w:r>
          </w:p>
        </w:tc>
        <w:tc>
          <w:tcPr>
            <w:vAlign w:val="center"/>
          </w:tcPr>
          <w:p>
            <w:pPr>
              <w:jc w:val="center"/>
            </w:pPr>
            <w:r>
              <w:rPr>
                <w:color w:val="000000"/>
                <w:sz w:val="24"/>
                <w:szCs w:val="24"/>
              </w:rPr>
              <w:t>000961</w:t>
            </w:r>
          </w:p>
        </w:tc>
        <w:tc>
          <w:tcPr>
            <w:vAlign w:val="center"/>
          </w:tcPr>
          <w:p>
            <w:pPr>
              <w:jc w:val="center"/>
            </w:pPr>
            <w:r>
              <w:rPr>
                <w:color w:val="000000"/>
                <w:sz w:val="24"/>
                <w:szCs w:val="24"/>
              </w:rPr>
              <w:t>中南建设</w:t>
            </w:r>
          </w:p>
        </w:tc>
        <w:tc>
          <w:tcPr>
            <w:vAlign w:val="center"/>
          </w:tcPr>
          <w:p>
            <w:pPr>
              <w:jc w:val="right"/>
            </w:pPr>
            <w:r>
              <w:rPr>
                <w:color w:val="000000"/>
                <w:sz w:val="24"/>
                <w:szCs w:val="24"/>
              </w:rPr>
              <w:t>5,911,441</w:t>
            </w:r>
          </w:p>
        </w:tc>
        <w:tc>
          <w:tcPr>
            <w:vAlign w:val="center"/>
          </w:tcPr>
          <w:p>
            <w:pPr>
              <w:jc w:val="right"/>
            </w:pPr>
            <w:r>
              <w:rPr>
                <w:color w:val="000000"/>
                <w:sz w:val="24"/>
                <w:szCs w:val="24"/>
              </w:rPr>
              <w:t>51,193,079.06</w:t>
            </w:r>
          </w:p>
        </w:tc>
        <w:tc>
          <w:tcPr>
            <w:vAlign w:val="center"/>
          </w:tcPr>
          <w:p>
            <w:pPr>
              <w:jc w:val="right"/>
            </w:pPr>
            <w:r>
              <w:rPr>
                <w:color w:val="000000"/>
                <w:sz w:val="24"/>
                <w:szCs w:val="24"/>
              </w:rPr>
              <w:t>4.31</w:t>
            </w:r>
          </w:p>
        </w:tc>
      </w:tr>
      <w:tr>
        <w:tc>
          <w:tcPr>
            <w:vAlign w:val="center"/>
          </w:tcPr>
          <w:p>
            <w:pPr>
              <w:jc w:val="center"/>
            </w:pPr>
            <w:r>
              <w:rPr>
                <w:color w:val="000000"/>
                <w:sz w:val="24"/>
                <w:szCs w:val="24"/>
              </w:rPr>
              <w:t>10</w:t>
            </w:r>
          </w:p>
        </w:tc>
        <w:tc>
          <w:tcPr>
            <w:vAlign w:val="center"/>
          </w:tcPr>
          <w:p>
            <w:pPr>
              <w:jc w:val="center"/>
            </w:pPr>
            <w:r>
              <w:rPr>
                <w:color w:val="000000"/>
                <w:sz w:val="24"/>
                <w:szCs w:val="24"/>
              </w:rPr>
              <w:t>603026</w:t>
            </w:r>
          </w:p>
        </w:tc>
        <w:tc>
          <w:tcPr>
            <w:vAlign w:val="center"/>
          </w:tcPr>
          <w:p>
            <w:pPr>
              <w:jc w:val="center"/>
            </w:pPr>
            <w:r>
              <w:rPr>
                <w:color w:val="000000"/>
                <w:sz w:val="24"/>
                <w:szCs w:val="24"/>
              </w:rPr>
              <w:t>石大胜华</w:t>
            </w:r>
          </w:p>
        </w:tc>
        <w:tc>
          <w:tcPr>
            <w:vAlign w:val="center"/>
          </w:tcPr>
          <w:p>
            <w:pPr>
              <w:jc w:val="right"/>
            </w:pPr>
            <w:r>
              <w:rPr>
                <w:color w:val="000000"/>
                <w:sz w:val="24"/>
                <w:szCs w:val="24"/>
              </w:rPr>
              <w:t>1,170,300</w:t>
            </w:r>
          </w:p>
        </w:tc>
        <w:tc>
          <w:tcPr>
            <w:vAlign w:val="center"/>
          </w:tcPr>
          <w:p>
            <w:pPr>
              <w:jc w:val="right"/>
            </w:pPr>
            <w:r>
              <w:rPr>
                <w:color w:val="000000"/>
                <w:sz w:val="24"/>
                <w:szCs w:val="24"/>
              </w:rPr>
              <w:t>35,413,278.00</w:t>
            </w:r>
          </w:p>
        </w:tc>
        <w:tc>
          <w:tcPr>
            <w:vAlign w:val="center"/>
          </w:tcPr>
          <w:p>
            <w:pPr>
              <w:jc w:val="right"/>
            </w:pPr>
            <w:r>
              <w:rPr>
                <w:color w:val="000000"/>
                <w:sz w:val="24"/>
                <w:szCs w:val="24"/>
              </w:rPr>
              <w:t>2.98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465,379.21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28,587.58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8,357,224.50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8,851,191.29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r w:rsidR="008E326D" w:rsidRPr="00414345">
        <w:rPr>
          <w:color w:val="000000"/>
          <w:sz w:val="24"/>
          <w:szCs w:val="24"/>
        </w:rPr>
        <w:t/>
      </w:r>
      <w:r w:rsidR="008E326D" w:rsidRPr="00414345">
        <w:rPr>
          <w:color w:val="000000"/>
          <w:sz w:val="24"/>
          <w:szCs w:val="24"/>
        </w:rPr>
        <w:lastRenderedPageBreak/>
        <w:t/>
      </w:r>
      <w:proofErr w:type="gramEnd"/>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519,708,628.38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561,079,901.42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211,593,266.85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869,195,262.95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注：1、如果本报告期间发生转换入、份额类别调整、红利再投业务，则总申购份额中包含该业务；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2、如果本报告期间发生转换出、份额类别调整业务，则总赎回份额中包含该业务。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1、中国证监会准予交银施罗德经济新动力混合型证券投资基金募集注册的文件；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2、《交银施罗德经济新动力混合型证券投资基金基金合同》；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3、《交银施罗德经济新动力混合型证券投资基金招募说明书》；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4、《交银施罗德经济新动力混合型证券投资基金托管协议》；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5、关于申请募集注册交银施罗德经济新动力混合型证券投资基金的法律意见书；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8、报告期内交银施罗德经济新动力混合型证券投资基金在指定报刊上各项公告的原稿。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交银施罗德经济新动力混合型证券投资基金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