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二〇一九年七月十七日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1762B4" w:rsidRDefault="00E4196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762B4" w:rsidRDefault="00E4196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762B4" w:rsidRDefault="00E4196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762B4" w:rsidRDefault="00E4196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762B4" w:rsidRDefault="00E4196E">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339,524,362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4196E" w:rsidRPr="0036023B" w:rsidTr="00E4196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E4196E" w:rsidRPr="0036023B" w:rsidTr="00E4196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5,493,847.15</w:t>
            </w:r>
          </w:p>
        </w:tc>
      </w:tr>
      <w:tr w:rsidR="00E4196E" w:rsidRPr="0036023B" w:rsidTr="00E4196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3,548,600.05</w:t>
            </w:r>
          </w:p>
        </w:tc>
      </w:tr>
      <w:tr w:rsidR="00E4196E" w:rsidRPr="0036023B" w:rsidTr="00E4196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0.0105</w:t>
            </w:r>
          </w:p>
        </w:tc>
      </w:tr>
      <w:tr w:rsidR="00E4196E" w:rsidRPr="0036023B" w:rsidTr="00E4196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399,265,950.21</w:t>
            </w:r>
          </w:p>
        </w:tc>
      </w:tr>
      <w:tr w:rsidR="00E4196E" w:rsidRPr="0036023B" w:rsidTr="00E4196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1.176</w:t>
            </w:r>
          </w:p>
        </w:tc>
      </w:tr>
    </w:tbl>
    <w:p w:rsidR="001762B4" w:rsidRDefault="00E4196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1762B4">
        <w:trPr>
          <w:jc w:val="center"/>
        </w:trPr>
        <w:tc>
          <w:tcPr>
            <w:tcW w:w="1469" w:type="dxa"/>
            <w:vAlign w:val="center"/>
          </w:tcPr>
          <w:p w:rsidR="001762B4" w:rsidRDefault="00E4196E">
            <w:pPr>
              <w:jc w:val="left"/>
            </w:pPr>
            <w:r>
              <w:rPr>
                <w:color w:val="000000"/>
                <w:sz w:val="24"/>
              </w:rPr>
              <w:t>过去三个月</w:t>
            </w:r>
          </w:p>
        </w:tc>
        <w:tc>
          <w:tcPr>
            <w:tcW w:w="1150" w:type="dxa"/>
            <w:vAlign w:val="center"/>
          </w:tcPr>
          <w:p w:rsidR="001762B4" w:rsidRDefault="00E4196E">
            <w:pPr>
              <w:jc w:val="center"/>
            </w:pPr>
            <w:r>
              <w:rPr>
                <w:color w:val="000000"/>
                <w:sz w:val="24"/>
              </w:rPr>
              <w:t>0.68%</w:t>
            </w:r>
          </w:p>
        </w:tc>
        <w:tc>
          <w:tcPr>
            <w:tcW w:w="1223" w:type="dxa"/>
            <w:vAlign w:val="center"/>
          </w:tcPr>
          <w:p w:rsidR="001762B4" w:rsidRDefault="00E4196E">
            <w:pPr>
              <w:jc w:val="center"/>
            </w:pPr>
            <w:r>
              <w:rPr>
                <w:color w:val="000000"/>
                <w:sz w:val="24"/>
              </w:rPr>
              <w:t>1.44%</w:t>
            </w:r>
          </w:p>
        </w:tc>
        <w:tc>
          <w:tcPr>
            <w:tcW w:w="1244" w:type="dxa"/>
            <w:vAlign w:val="center"/>
          </w:tcPr>
          <w:p w:rsidR="001762B4" w:rsidRDefault="00E4196E">
            <w:pPr>
              <w:jc w:val="center"/>
            </w:pPr>
            <w:r>
              <w:rPr>
                <w:color w:val="000000"/>
                <w:sz w:val="24"/>
              </w:rPr>
              <w:t>-0.51%</w:t>
            </w:r>
          </w:p>
        </w:tc>
        <w:tc>
          <w:tcPr>
            <w:tcW w:w="1251" w:type="dxa"/>
            <w:vAlign w:val="center"/>
          </w:tcPr>
          <w:p w:rsidR="001762B4" w:rsidRDefault="00E4196E">
            <w:pPr>
              <w:jc w:val="center"/>
            </w:pPr>
            <w:r>
              <w:rPr>
                <w:color w:val="000000"/>
                <w:sz w:val="24"/>
              </w:rPr>
              <w:t>1.42%</w:t>
            </w:r>
          </w:p>
        </w:tc>
        <w:tc>
          <w:tcPr>
            <w:tcW w:w="1263" w:type="dxa"/>
            <w:vAlign w:val="center"/>
          </w:tcPr>
          <w:p w:rsidR="001762B4" w:rsidRDefault="00E4196E">
            <w:pPr>
              <w:jc w:val="center"/>
            </w:pPr>
            <w:r>
              <w:rPr>
                <w:color w:val="000000"/>
                <w:sz w:val="24"/>
              </w:rPr>
              <w:t>1.19%</w:t>
            </w:r>
          </w:p>
        </w:tc>
        <w:tc>
          <w:tcPr>
            <w:tcW w:w="1268" w:type="dxa"/>
            <w:vAlign w:val="center"/>
          </w:tcPr>
          <w:p w:rsidR="001762B4" w:rsidRDefault="00E4196E">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1762B4">
        <w:trPr>
          <w:jc w:val="center"/>
        </w:trPr>
        <w:tc>
          <w:tcPr>
            <w:tcW w:w="846" w:type="dxa"/>
            <w:vAlign w:val="center"/>
          </w:tcPr>
          <w:p w:rsidR="001762B4" w:rsidRDefault="00E4196E">
            <w:pPr>
              <w:jc w:val="center"/>
            </w:pPr>
            <w:r>
              <w:rPr>
                <w:color w:val="000000"/>
                <w:sz w:val="24"/>
              </w:rPr>
              <w:t>蔡铮</w:t>
            </w:r>
          </w:p>
        </w:tc>
        <w:tc>
          <w:tcPr>
            <w:tcW w:w="845" w:type="dxa"/>
            <w:vAlign w:val="center"/>
          </w:tcPr>
          <w:p w:rsidR="001762B4" w:rsidRDefault="00E4196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1762B4" w:rsidRDefault="00E4196E">
            <w:pPr>
              <w:jc w:val="center"/>
            </w:pPr>
            <w:r>
              <w:rPr>
                <w:color w:val="000000"/>
                <w:sz w:val="24"/>
              </w:rPr>
              <w:lastRenderedPageBreak/>
              <w:t>2012-12-27</w:t>
            </w:r>
          </w:p>
        </w:tc>
        <w:tc>
          <w:tcPr>
            <w:tcW w:w="1548" w:type="dxa"/>
            <w:vAlign w:val="center"/>
          </w:tcPr>
          <w:p w:rsidR="001762B4" w:rsidRDefault="00E4196E">
            <w:pPr>
              <w:jc w:val="center"/>
            </w:pPr>
            <w:r>
              <w:rPr>
                <w:color w:val="000000"/>
                <w:sz w:val="24"/>
              </w:rPr>
              <w:t>-</w:t>
            </w:r>
          </w:p>
        </w:tc>
        <w:tc>
          <w:tcPr>
            <w:tcW w:w="1407" w:type="dxa"/>
            <w:vAlign w:val="center"/>
          </w:tcPr>
          <w:p w:rsidR="001762B4" w:rsidRDefault="00E4196E">
            <w:pPr>
              <w:jc w:val="center"/>
            </w:pPr>
            <w:r>
              <w:rPr>
                <w:color w:val="000000"/>
                <w:sz w:val="24"/>
              </w:rPr>
              <w:t>10</w:t>
            </w:r>
            <w:r>
              <w:rPr>
                <w:color w:val="000000"/>
                <w:sz w:val="24"/>
              </w:rPr>
              <w:t>年</w:t>
            </w:r>
          </w:p>
        </w:tc>
        <w:tc>
          <w:tcPr>
            <w:tcW w:w="2673" w:type="dxa"/>
            <w:vAlign w:val="center"/>
          </w:tcPr>
          <w:p w:rsidR="001762B4" w:rsidRDefault="00E4196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1762B4" w:rsidRDefault="00E419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62B4" w:rsidRDefault="00E419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62B4" w:rsidRDefault="00E419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本基金于本报告期内未发现异常交易行为。本报告期内，本公司管理的所有投资组合参与的交易所公开竞价同日反向交易成交较少的单边交易量超过该证券当日总成交量</w:t>
      </w:r>
      <w:r w:rsidRPr="0036023B">
        <w:rPr>
          <w:color w:val="000000"/>
          <w:sz w:val="24"/>
        </w:rPr>
        <w:t>5%</w:t>
      </w:r>
      <w:r w:rsidRPr="0036023B">
        <w:rPr>
          <w:color w:val="000000"/>
          <w:sz w:val="24"/>
        </w:rPr>
        <w:t>的情况有</w:t>
      </w:r>
      <w:r w:rsidRPr="0036023B">
        <w:rPr>
          <w:color w:val="000000"/>
          <w:sz w:val="24"/>
        </w:rPr>
        <w:t>1</w:t>
      </w:r>
      <w:r w:rsidRPr="0036023B">
        <w:rPr>
          <w:color w:val="000000"/>
          <w:sz w:val="24"/>
        </w:rPr>
        <w:t>次，是投资组合因投资策略需要而发生同日反向交易，未发现不公平交易和利益输送的情况。本基金与本公司管理的其他投资组合在不同时间窗下（如日内、</w:t>
      </w:r>
      <w:r w:rsidRPr="0036023B">
        <w:rPr>
          <w:color w:val="000000"/>
          <w:sz w:val="24"/>
        </w:rPr>
        <w:lastRenderedPageBreak/>
        <w:t>3</w:t>
      </w:r>
      <w:r w:rsidRPr="0036023B">
        <w:rPr>
          <w:color w:val="000000"/>
          <w:sz w:val="24"/>
        </w:rPr>
        <w:t>日内、</w:t>
      </w:r>
      <w:r w:rsidRPr="0036023B">
        <w:rPr>
          <w:color w:val="000000"/>
          <w:sz w:val="24"/>
        </w:rPr>
        <w:t>5</w:t>
      </w:r>
      <w:r w:rsidRPr="0036023B">
        <w:rPr>
          <w:color w:val="000000"/>
          <w:sz w:val="24"/>
        </w:rPr>
        <w:t>日内）同向交易的交易价差未发现异常。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1762B4" w:rsidRDefault="00E4196E">
      <w:pPr>
        <w:spacing w:before="29" w:line="288" w:lineRule="auto"/>
        <w:ind w:firstLineChars="200" w:firstLine="480"/>
        <w:rPr>
          <w:color w:val="000000"/>
          <w:sz w:val="24"/>
        </w:rPr>
      </w:pPr>
      <w:r>
        <w:rPr>
          <w:color w:val="000000"/>
          <w:sz w:val="24"/>
        </w:rPr>
        <w:t>2019</w:t>
      </w:r>
      <w:r>
        <w:rPr>
          <w:color w:val="000000"/>
          <w:sz w:val="24"/>
        </w:rPr>
        <w:t>年二季度国内宏观环境基本稳定，经济增速延续稳中偏弱格局，通胀和流动性保持平稳，财政政策持续发力。年初的快速上涨使得市场情绪显著修复，成交大幅回暖，但四月之后市场出现较大幅调整，投资者情绪回归冷静。直至六月中旬科创板宣布正式开板，市场信心有所提振。作为跟踪基准指数的指数基金，二季度基金总体呈现先下行后震荡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397,428,623.96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99.44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397,428,623.96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99.44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lastRenderedPageBreak/>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2,248,006.84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0.56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1,561.24</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399,678,192.04</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26,416,102.81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6.62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88,407,891.27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22.14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17,036,504.65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25,031,577.08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2,508,278.40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14,612,150.97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3.66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9,367,641.52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201,509,608.21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50.47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10,489,731.05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875,394.00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1,173,744.00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397,428,623.96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99.54</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1762B4">
        <w:trPr>
          <w:jc w:val="center"/>
        </w:trPr>
        <w:tc>
          <w:tcPr>
            <w:tcW w:w="850" w:type="dxa"/>
            <w:vAlign w:val="center"/>
          </w:tcPr>
          <w:p w:rsidR="001762B4" w:rsidRDefault="00E4196E">
            <w:pPr>
              <w:jc w:val="center"/>
            </w:pPr>
            <w:r>
              <w:rPr>
                <w:color w:val="000000"/>
                <w:sz w:val="24"/>
              </w:rPr>
              <w:t>1</w:t>
            </w:r>
          </w:p>
        </w:tc>
        <w:tc>
          <w:tcPr>
            <w:tcW w:w="1327" w:type="dxa"/>
            <w:vAlign w:val="center"/>
          </w:tcPr>
          <w:p w:rsidR="001762B4" w:rsidRDefault="00E4196E">
            <w:pPr>
              <w:jc w:val="center"/>
            </w:pPr>
            <w:r>
              <w:rPr>
                <w:color w:val="000000"/>
                <w:sz w:val="24"/>
              </w:rPr>
              <w:t>601318</w:t>
            </w:r>
          </w:p>
        </w:tc>
        <w:tc>
          <w:tcPr>
            <w:tcW w:w="1769" w:type="dxa"/>
            <w:vAlign w:val="center"/>
          </w:tcPr>
          <w:p w:rsidR="001762B4" w:rsidRDefault="00E4196E">
            <w:pPr>
              <w:jc w:val="center"/>
            </w:pPr>
            <w:r>
              <w:rPr>
                <w:color w:val="000000"/>
                <w:sz w:val="24"/>
              </w:rPr>
              <w:t>中国平安</w:t>
            </w:r>
          </w:p>
        </w:tc>
        <w:tc>
          <w:tcPr>
            <w:tcW w:w="1327" w:type="dxa"/>
            <w:vAlign w:val="center"/>
          </w:tcPr>
          <w:p w:rsidR="001762B4" w:rsidRDefault="00E4196E">
            <w:pPr>
              <w:jc w:val="right"/>
            </w:pPr>
            <w:r>
              <w:rPr>
                <w:color w:val="000000"/>
                <w:sz w:val="24"/>
              </w:rPr>
              <w:t>810,035</w:t>
            </w:r>
          </w:p>
        </w:tc>
        <w:tc>
          <w:tcPr>
            <w:tcW w:w="1915" w:type="dxa"/>
            <w:vAlign w:val="center"/>
          </w:tcPr>
          <w:p w:rsidR="001762B4" w:rsidRDefault="00E4196E">
            <w:pPr>
              <w:jc w:val="right"/>
            </w:pPr>
            <w:r>
              <w:rPr>
                <w:color w:val="000000"/>
                <w:sz w:val="24"/>
              </w:rPr>
              <w:t>71,777,201.35</w:t>
            </w:r>
          </w:p>
        </w:tc>
        <w:tc>
          <w:tcPr>
            <w:tcW w:w="1680" w:type="dxa"/>
            <w:vAlign w:val="center"/>
          </w:tcPr>
          <w:p w:rsidR="001762B4" w:rsidRDefault="00E4196E">
            <w:pPr>
              <w:jc w:val="right"/>
            </w:pPr>
            <w:r>
              <w:rPr>
                <w:color w:val="000000"/>
                <w:sz w:val="24"/>
              </w:rPr>
              <w:t>17.98</w:t>
            </w:r>
          </w:p>
        </w:tc>
      </w:tr>
      <w:tr w:rsidR="001762B4">
        <w:trPr>
          <w:jc w:val="center"/>
        </w:trPr>
        <w:tc>
          <w:tcPr>
            <w:tcW w:w="850" w:type="dxa"/>
            <w:vAlign w:val="center"/>
          </w:tcPr>
          <w:p w:rsidR="001762B4" w:rsidRDefault="00E4196E">
            <w:pPr>
              <w:jc w:val="center"/>
            </w:pPr>
            <w:r>
              <w:rPr>
                <w:color w:val="000000"/>
                <w:sz w:val="24"/>
              </w:rPr>
              <w:t>2</w:t>
            </w:r>
          </w:p>
        </w:tc>
        <w:tc>
          <w:tcPr>
            <w:tcW w:w="1327" w:type="dxa"/>
            <w:vAlign w:val="center"/>
          </w:tcPr>
          <w:p w:rsidR="001762B4" w:rsidRDefault="00E4196E">
            <w:pPr>
              <w:jc w:val="center"/>
            </w:pPr>
            <w:r>
              <w:rPr>
                <w:color w:val="000000"/>
                <w:sz w:val="24"/>
              </w:rPr>
              <w:t>600036</w:t>
            </w:r>
          </w:p>
        </w:tc>
        <w:tc>
          <w:tcPr>
            <w:tcW w:w="1769" w:type="dxa"/>
            <w:vAlign w:val="center"/>
          </w:tcPr>
          <w:p w:rsidR="001762B4" w:rsidRDefault="00E4196E">
            <w:pPr>
              <w:jc w:val="center"/>
            </w:pPr>
            <w:r>
              <w:rPr>
                <w:color w:val="000000"/>
                <w:sz w:val="24"/>
              </w:rPr>
              <w:t>招商银行</w:t>
            </w:r>
          </w:p>
        </w:tc>
        <w:tc>
          <w:tcPr>
            <w:tcW w:w="1327" w:type="dxa"/>
            <w:vAlign w:val="center"/>
          </w:tcPr>
          <w:p w:rsidR="001762B4" w:rsidRDefault="00E4196E">
            <w:pPr>
              <w:jc w:val="right"/>
            </w:pPr>
            <w:r>
              <w:rPr>
                <w:color w:val="000000"/>
                <w:sz w:val="24"/>
              </w:rPr>
              <w:t>771,282</w:t>
            </w:r>
          </w:p>
        </w:tc>
        <w:tc>
          <w:tcPr>
            <w:tcW w:w="1915" w:type="dxa"/>
            <w:vAlign w:val="center"/>
          </w:tcPr>
          <w:p w:rsidR="001762B4" w:rsidRDefault="00E4196E">
            <w:pPr>
              <w:jc w:val="right"/>
            </w:pPr>
            <w:r>
              <w:rPr>
                <w:color w:val="000000"/>
                <w:sz w:val="24"/>
              </w:rPr>
              <w:t>27,750,726.36</w:t>
            </w:r>
          </w:p>
        </w:tc>
        <w:tc>
          <w:tcPr>
            <w:tcW w:w="1680" w:type="dxa"/>
            <w:vAlign w:val="center"/>
          </w:tcPr>
          <w:p w:rsidR="001762B4" w:rsidRDefault="00E4196E">
            <w:pPr>
              <w:jc w:val="right"/>
            </w:pPr>
            <w:r>
              <w:rPr>
                <w:color w:val="000000"/>
                <w:sz w:val="24"/>
              </w:rPr>
              <w:t>6.95</w:t>
            </w:r>
          </w:p>
        </w:tc>
      </w:tr>
      <w:tr w:rsidR="001762B4">
        <w:trPr>
          <w:jc w:val="center"/>
        </w:trPr>
        <w:tc>
          <w:tcPr>
            <w:tcW w:w="850" w:type="dxa"/>
            <w:vAlign w:val="center"/>
          </w:tcPr>
          <w:p w:rsidR="001762B4" w:rsidRDefault="00E4196E">
            <w:pPr>
              <w:jc w:val="center"/>
            </w:pPr>
            <w:r>
              <w:rPr>
                <w:color w:val="000000"/>
                <w:sz w:val="24"/>
              </w:rPr>
              <w:t>3</w:t>
            </w:r>
          </w:p>
        </w:tc>
        <w:tc>
          <w:tcPr>
            <w:tcW w:w="1327" w:type="dxa"/>
            <w:vAlign w:val="center"/>
          </w:tcPr>
          <w:p w:rsidR="001762B4" w:rsidRDefault="00E4196E">
            <w:pPr>
              <w:jc w:val="center"/>
            </w:pPr>
            <w:r>
              <w:rPr>
                <w:color w:val="000000"/>
                <w:sz w:val="24"/>
              </w:rPr>
              <w:t>601166</w:t>
            </w:r>
          </w:p>
        </w:tc>
        <w:tc>
          <w:tcPr>
            <w:tcW w:w="1769" w:type="dxa"/>
            <w:vAlign w:val="center"/>
          </w:tcPr>
          <w:p w:rsidR="001762B4" w:rsidRDefault="00E4196E">
            <w:pPr>
              <w:jc w:val="center"/>
            </w:pPr>
            <w:r>
              <w:rPr>
                <w:color w:val="000000"/>
                <w:sz w:val="24"/>
              </w:rPr>
              <w:t>兴业银行</w:t>
            </w:r>
          </w:p>
        </w:tc>
        <w:tc>
          <w:tcPr>
            <w:tcW w:w="1327" w:type="dxa"/>
            <w:vAlign w:val="center"/>
          </w:tcPr>
          <w:p w:rsidR="001762B4" w:rsidRDefault="00E4196E">
            <w:pPr>
              <w:jc w:val="right"/>
            </w:pPr>
            <w:r>
              <w:rPr>
                <w:color w:val="000000"/>
                <w:sz w:val="24"/>
              </w:rPr>
              <w:t>1,074,262</w:t>
            </w:r>
          </w:p>
        </w:tc>
        <w:tc>
          <w:tcPr>
            <w:tcW w:w="1915" w:type="dxa"/>
            <w:vAlign w:val="center"/>
          </w:tcPr>
          <w:p w:rsidR="001762B4" w:rsidRDefault="00E4196E">
            <w:pPr>
              <w:jc w:val="right"/>
            </w:pPr>
            <w:r>
              <w:rPr>
                <w:color w:val="000000"/>
                <w:sz w:val="24"/>
              </w:rPr>
              <w:t>19,648,251.98</w:t>
            </w:r>
          </w:p>
        </w:tc>
        <w:tc>
          <w:tcPr>
            <w:tcW w:w="1680" w:type="dxa"/>
            <w:vAlign w:val="center"/>
          </w:tcPr>
          <w:p w:rsidR="001762B4" w:rsidRDefault="00E4196E">
            <w:pPr>
              <w:jc w:val="right"/>
            </w:pPr>
            <w:r>
              <w:rPr>
                <w:color w:val="000000"/>
                <w:sz w:val="24"/>
              </w:rPr>
              <w:t>4.92</w:t>
            </w:r>
          </w:p>
        </w:tc>
      </w:tr>
      <w:tr w:rsidR="001762B4">
        <w:trPr>
          <w:jc w:val="center"/>
        </w:trPr>
        <w:tc>
          <w:tcPr>
            <w:tcW w:w="850" w:type="dxa"/>
            <w:vAlign w:val="center"/>
          </w:tcPr>
          <w:p w:rsidR="001762B4" w:rsidRDefault="00E4196E">
            <w:pPr>
              <w:jc w:val="center"/>
            </w:pPr>
            <w:r>
              <w:rPr>
                <w:color w:val="000000"/>
                <w:sz w:val="24"/>
              </w:rPr>
              <w:t>4</w:t>
            </w:r>
          </w:p>
        </w:tc>
        <w:tc>
          <w:tcPr>
            <w:tcW w:w="1327" w:type="dxa"/>
            <w:vAlign w:val="center"/>
          </w:tcPr>
          <w:p w:rsidR="001762B4" w:rsidRDefault="00E4196E">
            <w:pPr>
              <w:jc w:val="center"/>
            </w:pPr>
            <w:r>
              <w:rPr>
                <w:color w:val="000000"/>
                <w:sz w:val="24"/>
              </w:rPr>
              <w:t>600887</w:t>
            </w:r>
          </w:p>
        </w:tc>
        <w:tc>
          <w:tcPr>
            <w:tcW w:w="1769" w:type="dxa"/>
            <w:vAlign w:val="center"/>
          </w:tcPr>
          <w:p w:rsidR="001762B4" w:rsidRDefault="00E4196E">
            <w:pPr>
              <w:jc w:val="center"/>
            </w:pPr>
            <w:r>
              <w:rPr>
                <w:color w:val="000000"/>
                <w:sz w:val="24"/>
              </w:rPr>
              <w:t>伊利股份</w:t>
            </w:r>
          </w:p>
        </w:tc>
        <w:tc>
          <w:tcPr>
            <w:tcW w:w="1327" w:type="dxa"/>
            <w:vAlign w:val="center"/>
          </w:tcPr>
          <w:p w:rsidR="001762B4" w:rsidRDefault="00E4196E">
            <w:pPr>
              <w:jc w:val="right"/>
            </w:pPr>
            <w:r>
              <w:rPr>
                <w:color w:val="000000"/>
                <w:sz w:val="24"/>
              </w:rPr>
              <w:t>450,400</w:t>
            </w:r>
          </w:p>
        </w:tc>
        <w:tc>
          <w:tcPr>
            <w:tcW w:w="1915" w:type="dxa"/>
            <w:vAlign w:val="center"/>
          </w:tcPr>
          <w:p w:rsidR="001762B4" w:rsidRDefault="00E4196E">
            <w:pPr>
              <w:jc w:val="right"/>
            </w:pPr>
            <w:r>
              <w:rPr>
                <w:color w:val="000000"/>
                <w:sz w:val="24"/>
              </w:rPr>
              <w:t>15,047,864.00</w:t>
            </w:r>
          </w:p>
        </w:tc>
        <w:tc>
          <w:tcPr>
            <w:tcW w:w="1680" w:type="dxa"/>
            <w:vAlign w:val="center"/>
          </w:tcPr>
          <w:p w:rsidR="001762B4" w:rsidRDefault="00E4196E">
            <w:pPr>
              <w:jc w:val="right"/>
            </w:pPr>
            <w:r>
              <w:rPr>
                <w:color w:val="000000"/>
                <w:sz w:val="24"/>
              </w:rPr>
              <w:t>3.77</w:t>
            </w:r>
          </w:p>
        </w:tc>
      </w:tr>
      <w:tr w:rsidR="001762B4">
        <w:trPr>
          <w:jc w:val="center"/>
        </w:trPr>
        <w:tc>
          <w:tcPr>
            <w:tcW w:w="850" w:type="dxa"/>
            <w:vAlign w:val="center"/>
          </w:tcPr>
          <w:p w:rsidR="001762B4" w:rsidRDefault="00E4196E">
            <w:pPr>
              <w:jc w:val="center"/>
            </w:pPr>
            <w:r>
              <w:rPr>
                <w:color w:val="000000"/>
                <w:sz w:val="24"/>
              </w:rPr>
              <w:t>5</w:t>
            </w:r>
          </w:p>
        </w:tc>
        <w:tc>
          <w:tcPr>
            <w:tcW w:w="1327" w:type="dxa"/>
            <w:vAlign w:val="center"/>
          </w:tcPr>
          <w:p w:rsidR="001762B4" w:rsidRDefault="00E4196E">
            <w:pPr>
              <w:jc w:val="center"/>
            </w:pPr>
            <w:r>
              <w:rPr>
                <w:color w:val="000000"/>
                <w:sz w:val="24"/>
              </w:rPr>
              <w:t>600000</w:t>
            </w:r>
          </w:p>
        </w:tc>
        <w:tc>
          <w:tcPr>
            <w:tcW w:w="1769" w:type="dxa"/>
            <w:vAlign w:val="center"/>
          </w:tcPr>
          <w:p w:rsidR="001762B4" w:rsidRDefault="00E4196E">
            <w:pPr>
              <w:jc w:val="center"/>
            </w:pPr>
            <w:r>
              <w:rPr>
                <w:color w:val="000000"/>
                <w:sz w:val="24"/>
              </w:rPr>
              <w:t>浦发银行</w:t>
            </w:r>
          </w:p>
        </w:tc>
        <w:tc>
          <w:tcPr>
            <w:tcW w:w="1327" w:type="dxa"/>
            <w:vAlign w:val="center"/>
          </w:tcPr>
          <w:p w:rsidR="001762B4" w:rsidRDefault="00E4196E">
            <w:pPr>
              <w:jc w:val="right"/>
            </w:pPr>
            <w:r>
              <w:rPr>
                <w:color w:val="000000"/>
                <w:sz w:val="24"/>
              </w:rPr>
              <w:t>877,945</w:t>
            </w:r>
          </w:p>
        </w:tc>
        <w:tc>
          <w:tcPr>
            <w:tcW w:w="1915" w:type="dxa"/>
            <w:vAlign w:val="center"/>
          </w:tcPr>
          <w:p w:rsidR="001762B4" w:rsidRDefault="00E4196E">
            <w:pPr>
              <w:jc w:val="right"/>
            </w:pPr>
            <w:r>
              <w:rPr>
                <w:color w:val="000000"/>
                <w:sz w:val="24"/>
              </w:rPr>
              <w:t>10,254,397.60</w:t>
            </w:r>
          </w:p>
        </w:tc>
        <w:tc>
          <w:tcPr>
            <w:tcW w:w="1680" w:type="dxa"/>
            <w:vAlign w:val="center"/>
          </w:tcPr>
          <w:p w:rsidR="001762B4" w:rsidRDefault="00E4196E">
            <w:pPr>
              <w:jc w:val="right"/>
            </w:pPr>
            <w:r>
              <w:rPr>
                <w:color w:val="000000"/>
                <w:sz w:val="24"/>
              </w:rPr>
              <w:t>2.57</w:t>
            </w:r>
          </w:p>
        </w:tc>
      </w:tr>
      <w:tr w:rsidR="001762B4">
        <w:trPr>
          <w:jc w:val="center"/>
        </w:trPr>
        <w:tc>
          <w:tcPr>
            <w:tcW w:w="850" w:type="dxa"/>
            <w:vAlign w:val="center"/>
          </w:tcPr>
          <w:p w:rsidR="001762B4" w:rsidRDefault="00E4196E">
            <w:pPr>
              <w:jc w:val="center"/>
            </w:pPr>
            <w:r>
              <w:rPr>
                <w:color w:val="000000"/>
                <w:sz w:val="24"/>
              </w:rPr>
              <w:t>6</w:t>
            </w:r>
          </w:p>
        </w:tc>
        <w:tc>
          <w:tcPr>
            <w:tcW w:w="1327" w:type="dxa"/>
            <w:vAlign w:val="center"/>
          </w:tcPr>
          <w:p w:rsidR="001762B4" w:rsidRDefault="00E4196E">
            <w:pPr>
              <w:jc w:val="center"/>
            </w:pPr>
            <w:r>
              <w:rPr>
                <w:color w:val="000000"/>
                <w:sz w:val="24"/>
              </w:rPr>
              <w:t>601398</w:t>
            </w:r>
          </w:p>
        </w:tc>
        <w:tc>
          <w:tcPr>
            <w:tcW w:w="1769" w:type="dxa"/>
            <w:vAlign w:val="center"/>
          </w:tcPr>
          <w:p w:rsidR="001762B4" w:rsidRDefault="00E4196E">
            <w:pPr>
              <w:jc w:val="center"/>
            </w:pPr>
            <w:r>
              <w:rPr>
                <w:color w:val="000000"/>
                <w:sz w:val="24"/>
              </w:rPr>
              <w:t>工商银行</w:t>
            </w:r>
          </w:p>
        </w:tc>
        <w:tc>
          <w:tcPr>
            <w:tcW w:w="1327" w:type="dxa"/>
            <w:vAlign w:val="center"/>
          </w:tcPr>
          <w:p w:rsidR="001762B4" w:rsidRDefault="00E4196E">
            <w:pPr>
              <w:jc w:val="right"/>
            </w:pPr>
            <w:r>
              <w:rPr>
                <w:color w:val="000000"/>
                <w:sz w:val="24"/>
              </w:rPr>
              <w:t>1,612,751</w:t>
            </w:r>
          </w:p>
        </w:tc>
        <w:tc>
          <w:tcPr>
            <w:tcW w:w="1915" w:type="dxa"/>
            <w:vAlign w:val="center"/>
          </w:tcPr>
          <w:p w:rsidR="001762B4" w:rsidRDefault="00E4196E">
            <w:pPr>
              <w:jc w:val="right"/>
            </w:pPr>
            <w:r>
              <w:rPr>
                <w:color w:val="000000"/>
                <w:sz w:val="24"/>
              </w:rPr>
              <w:t>9,499,103.39</w:t>
            </w:r>
          </w:p>
        </w:tc>
        <w:tc>
          <w:tcPr>
            <w:tcW w:w="1680" w:type="dxa"/>
            <w:vAlign w:val="center"/>
          </w:tcPr>
          <w:p w:rsidR="001762B4" w:rsidRDefault="00E4196E">
            <w:pPr>
              <w:jc w:val="right"/>
            </w:pPr>
            <w:r>
              <w:rPr>
                <w:color w:val="000000"/>
                <w:sz w:val="24"/>
              </w:rPr>
              <w:t>2.38</w:t>
            </w:r>
          </w:p>
        </w:tc>
      </w:tr>
      <w:tr w:rsidR="001762B4">
        <w:trPr>
          <w:jc w:val="center"/>
        </w:trPr>
        <w:tc>
          <w:tcPr>
            <w:tcW w:w="850" w:type="dxa"/>
            <w:vAlign w:val="center"/>
          </w:tcPr>
          <w:p w:rsidR="001762B4" w:rsidRDefault="00E4196E">
            <w:pPr>
              <w:jc w:val="center"/>
            </w:pPr>
            <w:r>
              <w:rPr>
                <w:color w:val="000000"/>
                <w:sz w:val="24"/>
              </w:rPr>
              <w:t>7</w:t>
            </w:r>
          </w:p>
        </w:tc>
        <w:tc>
          <w:tcPr>
            <w:tcW w:w="1327" w:type="dxa"/>
            <w:vAlign w:val="center"/>
          </w:tcPr>
          <w:p w:rsidR="001762B4" w:rsidRDefault="00E4196E">
            <w:pPr>
              <w:jc w:val="center"/>
            </w:pPr>
            <w:r>
              <w:rPr>
                <w:color w:val="000000"/>
                <w:sz w:val="24"/>
              </w:rPr>
              <w:t>601668</w:t>
            </w:r>
          </w:p>
        </w:tc>
        <w:tc>
          <w:tcPr>
            <w:tcW w:w="1769" w:type="dxa"/>
            <w:vAlign w:val="center"/>
          </w:tcPr>
          <w:p w:rsidR="001762B4" w:rsidRDefault="00E4196E">
            <w:pPr>
              <w:jc w:val="center"/>
            </w:pPr>
            <w:r>
              <w:rPr>
                <w:color w:val="000000"/>
                <w:sz w:val="24"/>
              </w:rPr>
              <w:t>中国建筑</w:t>
            </w:r>
          </w:p>
        </w:tc>
        <w:tc>
          <w:tcPr>
            <w:tcW w:w="1327" w:type="dxa"/>
            <w:vAlign w:val="center"/>
          </w:tcPr>
          <w:p w:rsidR="001762B4" w:rsidRDefault="00E4196E">
            <w:pPr>
              <w:jc w:val="right"/>
            </w:pPr>
            <w:r>
              <w:rPr>
                <w:color w:val="000000"/>
                <w:sz w:val="24"/>
              </w:rPr>
              <w:t>1,569,525</w:t>
            </w:r>
          </w:p>
        </w:tc>
        <w:tc>
          <w:tcPr>
            <w:tcW w:w="1915" w:type="dxa"/>
            <w:vAlign w:val="center"/>
          </w:tcPr>
          <w:p w:rsidR="001762B4" w:rsidRDefault="00E4196E">
            <w:pPr>
              <w:jc w:val="right"/>
            </w:pPr>
            <w:r>
              <w:rPr>
                <w:color w:val="000000"/>
                <w:sz w:val="24"/>
              </w:rPr>
              <w:t>9,024,768.75</w:t>
            </w:r>
          </w:p>
        </w:tc>
        <w:tc>
          <w:tcPr>
            <w:tcW w:w="1680" w:type="dxa"/>
            <w:vAlign w:val="center"/>
          </w:tcPr>
          <w:p w:rsidR="001762B4" w:rsidRDefault="00E4196E">
            <w:pPr>
              <w:jc w:val="right"/>
            </w:pPr>
            <w:r>
              <w:rPr>
                <w:color w:val="000000"/>
                <w:sz w:val="24"/>
              </w:rPr>
              <w:t>2.26</w:t>
            </w:r>
          </w:p>
        </w:tc>
      </w:tr>
      <w:tr w:rsidR="001762B4">
        <w:trPr>
          <w:jc w:val="center"/>
        </w:trPr>
        <w:tc>
          <w:tcPr>
            <w:tcW w:w="850" w:type="dxa"/>
            <w:vAlign w:val="center"/>
          </w:tcPr>
          <w:p w:rsidR="001762B4" w:rsidRDefault="00E4196E">
            <w:pPr>
              <w:jc w:val="center"/>
            </w:pPr>
            <w:r>
              <w:rPr>
                <w:color w:val="000000"/>
                <w:sz w:val="24"/>
              </w:rPr>
              <w:t>8</w:t>
            </w:r>
          </w:p>
        </w:tc>
        <w:tc>
          <w:tcPr>
            <w:tcW w:w="1327" w:type="dxa"/>
            <w:vAlign w:val="center"/>
          </w:tcPr>
          <w:p w:rsidR="001762B4" w:rsidRDefault="00E4196E">
            <w:pPr>
              <w:jc w:val="center"/>
            </w:pPr>
            <w:r>
              <w:rPr>
                <w:color w:val="000000"/>
                <w:sz w:val="24"/>
              </w:rPr>
              <w:t>600900</w:t>
            </w:r>
          </w:p>
        </w:tc>
        <w:tc>
          <w:tcPr>
            <w:tcW w:w="1769" w:type="dxa"/>
            <w:vAlign w:val="center"/>
          </w:tcPr>
          <w:p w:rsidR="001762B4" w:rsidRDefault="00E4196E">
            <w:pPr>
              <w:jc w:val="center"/>
            </w:pPr>
            <w:r>
              <w:rPr>
                <w:color w:val="000000"/>
                <w:sz w:val="24"/>
              </w:rPr>
              <w:t>长江电力</w:t>
            </w:r>
          </w:p>
        </w:tc>
        <w:tc>
          <w:tcPr>
            <w:tcW w:w="1327" w:type="dxa"/>
            <w:vAlign w:val="center"/>
          </w:tcPr>
          <w:p w:rsidR="001762B4" w:rsidRDefault="00E4196E">
            <w:pPr>
              <w:jc w:val="right"/>
            </w:pPr>
            <w:r>
              <w:rPr>
                <w:color w:val="000000"/>
                <w:sz w:val="24"/>
              </w:rPr>
              <w:t>493,540</w:t>
            </w:r>
          </w:p>
        </w:tc>
        <w:tc>
          <w:tcPr>
            <w:tcW w:w="1915" w:type="dxa"/>
            <w:vAlign w:val="center"/>
          </w:tcPr>
          <w:p w:rsidR="001762B4" w:rsidRDefault="00E4196E">
            <w:pPr>
              <w:jc w:val="right"/>
            </w:pPr>
            <w:r>
              <w:rPr>
                <w:color w:val="000000"/>
                <w:sz w:val="24"/>
              </w:rPr>
              <w:t>8,834,366.00</w:t>
            </w:r>
          </w:p>
        </w:tc>
        <w:tc>
          <w:tcPr>
            <w:tcW w:w="1680" w:type="dxa"/>
            <w:vAlign w:val="center"/>
          </w:tcPr>
          <w:p w:rsidR="001762B4" w:rsidRDefault="00E4196E">
            <w:pPr>
              <w:jc w:val="right"/>
            </w:pPr>
            <w:r>
              <w:rPr>
                <w:color w:val="000000"/>
                <w:sz w:val="24"/>
              </w:rPr>
              <w:t>2.21</w:t>
            </w:r>
          </w:p>
        </w:tc>
      </w:tr>
      <w:tr w:rsidR="001762B4">
        <w:trPr>
          <w:jc w:val="center"/>
        </w:trPr>
        <w:tc>
          <w:tcPr>
            <w:tcW w:w="850" w:type="dxa"/>
            <w:vAlign w:val="center"/>
          </w:tcPr>
          <w:p w:rsidR="001762B4" w:rsidRDefault="00E4196E">
            <w:pPr>
              <w:jc w:val="center"/>
            </w:pPr>
            <w:r>
              <w:rPr>
                <w:color w:val="000000"/>
                <w:sz w:val="24"/>
              </w:rPr>
              <w:t>9</w:t>
            </w:r>
          </w:p>
        </w:tc>
        <w:tc>
          <w:tcPr>
            <w:tcW w:w="1327" w:type="dxa"/>
            <w:vAlign w:val="center"/>
          </w:tcPr>
          <w:p w:rsidR="001762B4" w:rsidRDefault="00E4196E">
            <w:pPr>
              <w:jc w:val="center"/>
            </w:pPr>
            <w:r>
              <w:rPr>
                <w:color w:val="000000"/>
                <w:sz w:val="24"/>
              </w:rPr>
              <w:t>601601</w:t>
            </w:r>
          </w:p>
        </w:tc>
        <w:tc>
          <w:tcPr>
            <w:tcW w:w="1769" w:type="dxa"/>
            <w:vAlign w:val="center"/>
          </w:tcPr>
          <w:p w:rsidR="001762B4" w:rsidRDefault="00E4196E">
            <w:pPr>
              <w:jc w:val="center"/>
            </w:pPr>
            <w:r>
              <w:rPr>
                <w:color w:val="000000"/>
                <w:sz w:val="24"/>
              </w:rPr>
              <w:t>中国太保</w:t>
            </w:r>
          </w:p>
        </w:tc>
        <w:tc>
          <w:tcPr>
            <w:tcW w:w="1327" w:type="dxa"/>
            <w:vAlign w:val="center"/>
          </w:tcPr>
          <w:p w:rsidR="001762B4" w:rsidRDefault="00E4196E">
            <w:pPr>
              <w:jc w:val="right"/>
            </w:pPr>
            <w:r>
              <w:rPr>
                <w:color w:val="000000"/>
                <w:sz w:val="24"/>
              </w:rPr>
              <w:t>235,099</w:t>
            </w:r>
          </w:p>
        </w:tc>
        <w:tc>
          <w:tcPr>
            <w:tcW w:w="1915" w:type="dxa"/>
            <w:vAlign w:val="center"/>
          </w:tcPr>
          <w:p w:rsidR="001762B4" w:rsidRDefault="00E4196E">
            <w:pPr>
              <w:jc w:val="right"/>
            </w:pPr>
            <w:r>
              <w:rPr>
                <w:color w:val="000000"/>
                <w:sz w:val="24"/>
              </w:rPr>
              <w:t>8,583,464.49</w:t>
            </w:r>
          </w:p>
        </w:tc>
        <w:tc>
          <w:tcPr>
            <w:tcW w:w="1680" w:type="dxa"/>
            <w:vAlign w:val="center"/>
          </w:tcPr>
          <w:p w:rsidR="001762B4" w:rsidRDefault="00E4196E">
            <w:pPr>
              <w:jc w:val="right"/>
            </w:pPr>
            <w:r>
              <w:rPr>
                <w:color w:val="000000"/>
                <w:sz w:val="24"/>
              </w:rPr>
              <w:t>2.15</w:t>
            </w:r>
          </w:p>
        </w:tc>
      </w:tr>
      <w:tr w:rsidR="001762B4">
        <w:trPr>
          <w:jc w:val="center"/>
        </w:trPr>
        <w:tc>
          <w:tcPr>
            <w:tcW w:w="850" w:type="dxa"/>
            <w:vAlign w:val="center"/>
          </w:tcPr>
          <w:p w:rsidR="001762B4" w:rsidRDefault="00E4196E">
            <w:pPr>
              <w:jc w:val="center"/>
            </w:pPr>
            <w:r>
              <w:rPr>
                <w:color w:val="000000"/>
                <w:sz w:val="24"/>
              </w:rPr>
              <w:t>10</w:t>
            </w:r>
          </w:p>
        </w:tc>
        <w:tc>
          <w:tcPr>
            <w:tcW w:w="1327" w:type="dxa"/>
            <w:vAlign w:val="center"/>
          </w:tcPr>
          <w:p w:rsidR="001762B4" w:rsidRDefault="00E4196E">
            <w:pPr>
              <w:jc w:val="center"/>
            </w:pPr>
            <w:r>
              <w:rPr>
                <w:color w:val="000000"/>
                <w:sz w:val="24"/>
              </w:rPr>
              <w:t>600048</w:t>
            </w:r>
          </w:p>
        </w:tc>
        <w:tc>
          <w:tcPr>
            <w:tcW w:w="1769" w:type="dxa"/>
            <w:vAlign w:val="center"/>
          </w:tcPr>
          <w:p w:rsidR="001762B4" w:rsidRDefault="00E4196E">
            <w:pPr>
              <w:jc w:val="center"/>
            </w:pPr>
            <w:r>
              <w:rPr>
                <w:color w:val="000000"/>
                <w:sz w:val="24"/>
              </w:rPr>
              <w:t>保利地产</w:t>
            </w:r>
          </w:p>
        </w:tc>
        <w:tc>
          <w:tcPr>
            <w:tcW w:w="1327" w:type="dxa"/>
            <w:vAlign w:val="center"/>
          </w:tcPr>
          <w:p w:rsidR="001762B4" w:rsidRDefault="00E4196E">
            <w:pPr>
              <w:jc w:val="right"/>
            </w:pPr>
            <w:r>
              <w:rPr>
                <w:color w:val="000000"/>
                <w:sz w:val="24"/>
              </w:rPr>
              <w:t>533,659</w:t>
            </w:r>
          </w:p>
        </w:tc>
        <w:tc>
          <w:tcPr>
            <w:tcW w:w="1915" w:type="dxa"/>
            <w:vAlign w:val="center"/>
          </w:tcPr>
          <w:p w:rsidR="001762B4" w:rsidRDefault="00E4196E">
            <w:pPr>
              <w:jc w:val="right"/>
            </w:pPr>
            <w:r>
              <w:rPr>
                <w:color w:val="000000"/>
                <w:sz w:val="24"/>
              </w:rPr>
              <w:t>6,809,488.84</w:t>
            </w:r>
          </w:p>
        </w:tc>
        <w:tc>
          <w:tcPr>
            <w:tcW w:w="1680" w:type="dxa"/>
            <w:vAlign w:val="center"/>
          </w:tcPr>
          <w:p w:rsidR="001762B4" w:rsidRDefault="00E4196E">
            <w:pPr>
              <w:jc w:val="right"/>
            </w:pPr>
            <w:r>
              <w:rPr>
                <w:color w:val="000000"/>
                <w:sz w:val="24"/>
              </w:rPr>
              <w:t>1.71</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E4196E" w:rsidRDefault="00E4196E" w:rsidP="0099526C">
      <w:pPr>
        <w:spacing w:before="29" w:line="288" w:lineRule="auto"/>
        <w:rPr>
          <w:color w:val="000000"/>
          <w:sz w:val="24"/>
        </w:rPr>
      </w:pPr>
      <w:r w:rsidRPr="0036023B">
        <w:rPr>
          <w:color w:val="000000"/>
          <w:sz w:val="24"/>
        </w:rPr>
        <w:t>本基金本报告期末未持有积极投资的股票。</w:t>
      </w:r>
      <w:bookmarkStart w:id="0" w:name="_GoBack"/>
      <w:bookmarkEnd w:id="0"/>
    </w:p>
    <w:p w:rsidR="00E4196E" w:rsidRPr="0036023B" w:rsidRDefault="00E4196E" w:rsidP="0099526C">
      <w:pPr>
        <w:spacing w:before="29" w:line="288" w:lineRule="auto"/>
        <w:rPr>
          <w:b/>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1,197.56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363.68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1,561.24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lastRenderedPageBreak/>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345,524,362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18,000,000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339,524,362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lastRenderedPageBreak/>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762B4">
        <w:tc>
          <w:tcPr>
            <w:tcW w:w="992" w:type="dxa"/>
            <w:vMerge w:val="restart"/>
          </w:tcPr>
          <w:p w:rsidR="001762B4" w:rsidRDefault="001762B4"/>
          <w:p w:rsidR="001762B4" w:rsidRDefault="00E4196E">
            <w:r>
              <w:rPr>
                <w:rFonts w:ascii="宋体" w:hAnsi="宋体" w:hint="eastAsia"/>
                <w:kern w:val="0"/>
                <w:szCs w:val="21"/>
              </w:rPr>
              <w:t>交银施罗德上证180公司治理交易型开放式指数证券投资基金联接基金</w:t>
            </w:r>
          </w:p>
        </w:tc>
        <w:tc>
          <w:tcPr>
            <w:tcW w:w="991" w:type="dxa"/>
            <w:vAlign w:val="center"/>
          </w:tcPr>
          <w:p w:rsidR="001762B4" w:rsidRDefault="00E4196E">
            <w:pPr>
              <w:jc w:val="center"/>
            </w:pPr>
            <w:r>
              <w:rPr>
                <w:rFonts w:ascii="宋体" w:hAnsi="宋体" w:hint="eastAsia"/>
                <w:bCs/>
                <w:color w:val="000000"/>
                <w:kern w:val="0"/>
                <w:szCs w:val="21"/>
              </w:rPr>
              <w:t>1</w:t>
            </w:r>
          </w:p>
        </w:tc>
        <w:tc>
          <w:tcPr>
            <w:tcW w:w="1843" w:type="dxa"/>
            <w:vAlign w:val="center"/>
          </w:tcPr>
          <w:p w:rsidR="001762B4" w:rsidRDefault="00E4196E">
            <w:pPr>
              <w:jc w:val="center"/>
            </w:pPr>
            <w:r>
              <w:rPr>
                <w:rFonts w:ascii="宋体" w:hAnsi="宋体" w:hint="eastAsia"/>
                <w:bCs/>
                <w:color w:val="000000"/>
                <w:kern w:val="0"/>
                <w:szCs w:val="21"/>
              </w:rPr>
              <w:t>2019/4/1-2019/6/30</w:t>
            </w:r>
          </w:p>
        </w:tc>
        <w:tc>
          <w:tcPr>
            <w:tcW w:w="851" w:type="dxa"/>
            <w:vAlign w:val="center"/>
          </w:tcPr>
          <w:p w:rsidR="001762B4" w:rsidRDefault="00E4196E">
            <w:pPr>
              <w:jc w:val="center"/>
            </w:pPr>
            <w:r>
              <w:rPr>
                <w:rFonts w:ascii="宋体" w:hAnsi="宋体" w:hint="eastAsia"/>
                <w:bCs/>
                <w:color w:val="000000"/>
                <w:kern w:val="0"/>
                <w:szCs w:val="21"/>
              </w:rPr>
              <w:t>324,424,699.00</w:t>
            </w:r>
          </w:p>
        </w:tc>
        <w:tc>
          <w:tcPr>
            <w:tcW w:w="850" w:type="dxa"/>
            <w:vAlign w:val="center"/>
          </w:tcPr>
          <w:p w:rsidR="001762B4" w:rsidRDefault="00E4196E">
            <w:pPr>
              <w:jc w:val="center"/>
            </w:pPr>
            <w:r>
              <w:rPr>
                <w:rFonts w:ascii="宋体" w:hAnsi="宋体" w:hint="eastAsia"/>
                <w:bCs/>
                <w:color w:val="000000"/>
                <w:kern w:val="0"/>
                <w:szCs w:val="21"/>
              </w:rPr>
              <w:t>12,000,000.00</w:t>
            </w:r>
          </w:p>
        </w:tc>
        <w:tc>
          <w:tcPr>
            <w:tcW w:w="1134" w:type="dxa"/>
            <w:vAlign w:val="center"/>
          </w:tcPr>
          <w:p w:rsidR="001762B4" w:rsidRDefault="00E4196E">
            <w:pPr>
              <w:jc w:val="center"/>
            </w:pPr>
            <w:r>
              <w:rPr>
                <w:rFonts w:ascii="宋体" w:hAnsi="宋体" w:hint="eastAsia"/>
                <w:bCs/>
                <w:color w:val="000000"/>
                <w:kern w:val="0"/>
                <w:szCs w:val="21"/>
              </w:rPr>
              <w:t>16,000,000.00</w:t>
            </w:r>
          </w:p>
        </w:tc>
        <w:tc>
          <w:tcPr>
            <w:tcW w:w="1419" w:type="dxa"/>
            <w:vAlign w:val="center"/>
          </w:tcPr>
          <w:p w:rsidR="001762B4" w:rsidRDefault="00E4196E">
            <w:pPr>
              <w:jc w:val="center"/>
            </w:pPr>
            <w:r>
              <w:rPr>
                <w:rFonts w:ascii="宋体" w:hAnsi="宋体" w:hint="eastAsia"/>
                <w:bCs/>
                <w:color w:val="000000"/>
                <w:kern w:val="0"/>
                <w:szCs w:val="21"/>
              </w:rPr>
              <w:t>320,424,699.00</w:t>
            </w:r>
          </w:p>
        </w:tc>
        <w:tc>
          <w:tcPr>
            <w:tcW w:w="1130" w:type="dxa"/>
            <w:vAlign w:val="center"/>
          </w:tcPr>
          <w:p w:rsidR="001762B4" w:rsidRDefault="00E4196E">
            <w:pPr>
              <w:jc w:val="center"/>
            </w:pPr>
            <w:r>
              <w:rPr>
                <w:rFonts w:ascii="宋体" w:hAnsi="宋体" w:hint="eastAsia"/>
                <w:bCs/>
                <w:color w:val="000000"/>
                <w:kern w:val="0"/>
                <w:szCs w:val="21"/>
              </w:rPr>
              <w:t>94.37%</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1762B4" w:rsidRDefault="00E4196E">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1762B4" w:rsidRDefault="00E4196E">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1762B4" w:rsidRDefault="00E4196E">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1762B4" w:rsidRDefault="00E4196E">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1762B4" w:rsidRDefault="00E4196E">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1762B4" w:rsidRDefault="00E4196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762B4" w:rsidRDefault="00E4196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1762B4" w:rsidRDefault="00E4196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F8" w:rsidRDefault="00F70EF8">
      <w:r>
        <w:separator/>
      </w:r>
    </w:p>
  </w:endnote>
  <w:endnote w:type="continuationSeparator" w:id="0">
    <w:p w:rsidR="00F70EF8" w:rsidRDefault="00F7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9C5755">
      <w:rPr>
        <w:noProof/>
        <w:kern w:val="0"/>
        <w:szCs w:val="21"/>
      </w:rPr>
      <w:t>9</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9C5755">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F8" w:rsidRDefault="00F70EF8">
      <w:r>
        <w:separator/>
      </w:r>
    </w:p>
  </w:footnote>
  <w:footnote w:type="continuationSeparator" w:id="0">
    <w:p w:rsidR="00F70EF8" w:rsidRDefault="00F70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2B4"/>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755"/>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5357"/>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196E"/>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0EF8"/>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13</Pages>
  <Words>1100</Words>
  <Characters>6270</Characters>
  <Application>Microsoft Office Word</Application>
  <DocSecurity>0</DocSecurity>
  <Lines>52</Lines>
  <Paragraphs>14</Paragraphs>
  <ScaleCrop>false</ScaleCrop>
  <Company>TRT. Ltd. Co.</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403</cp:revision>
  <cp:lastPrinted>2007-07-19T00:46:00Z</cp:lastPrinted>
  <dcterms:created xsi:type="dcterms:W3CDTF">2012-11-21T04:46:00Z</dcterms:created>
  <dcterms:modified xsi:type="dcterms:W3CDTF">2019-07-11T07:08:00Z</dcterms:modified>
</cp:coreProperties>
</file>