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交银施罗德丰盈收益债券型证券投资基金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F7B09" w:rsidRDefault="00596F2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F7B09" w:rsidRDefault="00596F20">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F7B09" w:rsidRDefault="00596F2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F7B09" w:rsidRDefault="00596F2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F7B09" w:rsidRDefault="00596F2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交银丰盈收益债券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契约型，本基金在基金合同生效之日起三年（含三年）的期间内封闭式运作（按照基金合同的约定提前转换基金运作方式的除外），封闭期结束后转为开放式运作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21,343,218.63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追求在有效控制风险的前提下，力争为基金资产获得稳健的投资收益和超额回报。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6F7B09" w:rsidRDefault="00596F20">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6F7B09" w:rsidRDefault="006F7B09">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6F7B09" w:rsidRDefault="00596F20">
            <w:pPr>
              <w:adjustRightInd w:val="0"/>
              <w:spacing w:before="29" w:line="288" w:lineRule="auto"/>
              <w:ind w:left="17"/>
              <w:jc w:val="left"/>
              <w:rPr>
                <w:color w:val="000000"/>
                <w:sz w:val="24"/>
              </w:rPr>
            </w:pPr>
            <w:r>
              <w:rPr>
                <w:color w:val="000000"/>
                <w:kern w:val="0"/>
                <w:sz w:val="24"/>
              </w:rPr>
              <w:t>封闭期内业绩比较基准：三年期银行定期存款税后收益率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519740</w:t>
            </w:r>
          </w:p>
        </w:tc>
        <w:tc>
          <w:tcPr>
            <w:tcW w:w="3048" w:type="dxa"/>
            <w:vAlign w:val="center"/>
          </w:tcPr>
          <w:p w:rsidR="00C23B30" w:rsidRPr="000E4C40" w:rsidRDefault="00C23B30" w:rsidP="00A52A9E">
            <w:pPr>
              <w:spacing w:before="29" w:line="288" w:lineRule="auto"/>
              <w:jc w:val="left"/>
              <w:rPr>
                <w:sz w:val="24"/>
              </w:rPr>
            </w:pPr>
            <w:r w:rsidRPr="000E4C40">
              <w:rPr>
                <w:sz w:val="24"/>
              </w:rPr>
              <w:t>005025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20,084,436.20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1,258,782.43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交银丰盈收益债券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交银丰盈收益债券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95,796.12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18,110.11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58,416.36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21,962.03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21,588,324.34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1,40</w:t>
            </w:r>
            <w:bookmarkStart w:id="0" w:name="_GoBack"/>
            <w:bookmarkEnd w:id="0"/>
            <w:r w:rsidRPr="007F52FA">
              <w:rPr>
                <w:color w:val="000000"/>
                <w:sz w:val="24"/>
              </w:rPr>
              <w:t>5,946.60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1.117</w:t>
            </w:r>
          </w:p>
        </w:tc>
      </w:tr>
    </w:tbl>
    <w:p w:rsidR="006F7B09" w:rsidRDefault="00596F2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交银丰盈收益债券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F7B09">
        <w:trPr>
          <w:jc w:val="center"/>
        </w:trPr>
        <w:tc>
          <w:tcPr>
            <w:tcW w:w="1266" w:type="dxa"/>
            <w:vAlign w:val="center"/>
          </w:tcPr>
          <w:p w:rsidR="006F7B09" w:rsidRDefault="00596F20">
            <w:pPr>
              <w:jc w:val="left"/>
            </w:pPr>
            <w:r>
              <w:rPr>
                <w:color w:val="000000"/>
                <w:sz w:val="24"/>
              </w:rPr>
              <w:t>过去三个月</w:t>
            </w:r>
          </w:p>
        </w:tc>
        <w:tc>
          <w:tcPr>
            <w:tcW w:w="1267" w:type="dxa"/>
            <w:vAlign w:val="center"/>
          </w:tcPr>
          <w:p w:rsidR="006F7B09" w:rsidRDefault="00596F20">
            <w:pPr>
              <w:jc w:val="center"/>
            </w:pPr>
            <w:r>
              <w:rPr>
                <w:color w:val="000000"/>
                <w:sz w:val="24"/>
              </w:rPr>
              <w:t>0.28%</w:t>
            </w:r>
          </w:p>
        </w:tc>
        <w:tc>
          <w:tcPr>
            <w:tcW w:w="1267" w:type="dxa"/>
            <w:vAlign w:val="center"/>
          </w:tcPr>
          <w:p w:rsidR="006F7B09" w:rsidRDefault="00596F20">
            <w:pPr>
              <w:jc w:val="center"/>
            </w:pPr>
            <w:r>
              <w:rPr>
                <w:color w:val="000000"/>
                <w:sz w:val="24"/>
              </w:rPr>
              <w:t>0.06%</w:t>
            </w:r>
          </w:p>
        </w:tc>
        <w:tc>
          <w:tcPr>
            <w:tcW w:w="1267" w:type="dxa"/>
            <w:vAlign w:val="center"/>
          </w:tcPr>
          <w:p w:rsidR="006F7B09" w:rsidRDefault="00596F20">
            <w:pPr>
              <w:jc w:val="center"/>
            </w:pPr>
            <w:r>
              <w:rPr>
                <w:color w:val="000000"/>
                <w:sz w:val="24"/>
              </w:rPr>
              <w:t>-0.23%</w:t>
            </w:r>
          </w:p>
        </w:tc>
        <w:tc>
          <w:tcPr>
            <w:tcW w:w="1267" w:type="dxa"/>
            <w:vAlign w:val="center"/>
          </w:tcPr>
          <w:p w:rsidR="006F7B09" w:rsidRDefault="00596F20">
            <w:pPr>
              <w:jc w:val="center"/>
            </w:pPr>
            <w:r>
              <w:rPr>
                <w:color w:val="000000"/>
                <w:sz w:val="24"/>
              </w:rPr>
              <w:t>0.06%</w:t>
            </w:r>
          </w:p>
        </w:tc>
        <w:tc>
          <w:tcPr>
            <w:tcW w:w="1267" w:type="dxa"/>
            <w:vAlign w:val="center"/>
          </w:tcPr>
          <w:p w:rsidR="006F7B09" w:rsidRDefault="00596F20">
            <w:pPr>
              <w:jc w:val="center"/>
            </w:pPr>
            <w:r>
              <w:rPr>
                <w:color w:val="000000"/>
                <w:sz w:val="24"/>
              </w:rPr>
              <w:t>0.51%</w:t>
            </w:r>
          </w:p>
        </w:tc>
        <w:tc>
          <w:tcPr>
            <w:tcW w:w="1267" w:type="dxa"/>
            <w:vAlign w:val="center"/>
          </w:tcPr>
          <w:p w:rsidR="006F7B09" w:rsidRDefault="00596F20">
            <w:pPr>
              <w:jc w:val="center"/>
            </w:pPr>
            <w:r>
              <w:rPr>
                <w:color w:val="000000"/>
                <w:sz w:val="24"/>
              </w:rPr>
              <w:t>0.00%</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交银丰盈收益债券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B4E3B">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B4E3B">
        <w:trPr>
          <w:jc w:val="center"/>
        </w:trPr>
        <w:tc>
          <w:tcPr>
            <w:tcW w:w="1266" w:type="dxa"/>
            <w:vAlign w:val="center"/>
          </w:tcPr>
          <w:p w:rsidR="000B4E3B" w:rsidRDefault="000B4E3B" w:rsidP="000B4E3B">
            <w:pPr>
              <w:jc w:val="left"/>
            </w:pPr>
            <w:r>
              <w:rPr>
                <w:color w:val="000000"/>
                <w:sz w:val="24"/>
              </w:rPr>
              <w:t>过去三个月</w:t>
            </w:r>
          </w:p>
        </w:tc>
        <w:tc>
          <w:tcPr>
            <w:tcW w:w="1267" w:type="dxa"/>
            <w:vAlign w:val="center"/>
          </w:tcPr>
          <w:p w:rsidR="000B4E3B" w:rsidRDefault="000B4E3B" w:rsidP="000B4E3B">
            <w:pPr>
              <w:jc w:val="left"/>
            </w:pPr>
            <w:r>
              <w:rPr>
                <w:color w:val="000000"/>
                <w:sz w:val="24"/>
              </w:rPr>
              <w:t>0.09%</w:t>
            </w:r>
          </w:p>
        </w:tc>
        <w:tc>
          <w:tcPr>
            <w:tcW w:w="1267" w:type="dxa"/>
            <w:vAlign w:val="center"/>
          </w:tcPr>
          <w:p w:rsidR="000B4E3B" w:rsidRDefault="000B4E3B" w:rsidP="000B4E3B">
            <w:pPr>
              <w:jc w:val="center"/>
            </w:pPr>
            <w:r>
              <w:rPr>
                <w:color w:val="000000"/>
                <w:sz w:val="24"/>
              </w:rPr>
              <w:t>0.05%</w:t>
            </w:r>
          </w:p>
        </w:tc>
        <w:tc>
          <w:tcPr>
            <w:tcW w:w="1267" w:type="dxa"/>
            <w:vAlign w:val="center"/>
          </w:tcPr>
          <w:p w:rsidR="000B4E3B" w:rsidRDefault="000B4E3B" w:rsidP="000B4E3B">
            <w:pPr>
              <w:jc w:val="center"/>
            </w:pPr>
            <w:r>
              <w:rPr>
                <w:color w:val="000000"/>
                <w:sz w:val="24"/>
              </w:rPr>
              <w:t>-0.23%</w:t>
            </w:r>
          </w:p>
        </w:tc>
        <w:tc>
          <w:tcPr>
            <w:tcW w:w="1267" w:type="dxa"/>
            <w:vAlign w:val="center"/>
          </w:tcPr>
          <w:p w:rsidR="000B4E3B" w:rsidRDefault="000B4E3B" w:rsidP="000B4E3B">
            <w:pPr>
              <w:jc w:val="center"/>
            </w:pPr>
            <w:r>
              <w:rPr>
                <w:color w:val="000000"/>
                <w:sz w:val="24"/>
              </w:rPr>
              <w:t>0.06%</w:t>
            </w:r>
          </w:p>
        </w:tc>
        <w:tc>
          <w:tcPr>
            <w:tcW w:w="1267" w:type="dxa"/>
            <w:vAlign w:val="center"/>
          </w:tcPr>
          <w:p w:rsidR="000B4E3B" w:rsidRDefault="000B4E3B" w:rsidP="000B4E3B">
            <w:pPr>
              <w:jc w:val="center"/>
            </w:pPr>
            <w:r>
              <w:rPr>
                <w:color w:val="000000"/>
                <w:sz w:val="24"/>
              </w:rPr>
              <w:t>0.32%</w:t>
            </w:r>
          </w:p>
        </w:tc>
        <w:tc>
          <w:tcPr>
            <w:tcW w:w="1267" w:type="dxa"/>
            <w:vAlign w:val="center"/>
          </w:tcPr>
          <w:p w:rsidR="000B4E3B" w:rsidRDefault="000B4E3B" w:rsidP="000B4E3B">
            <w:pPr>
              <w:jc w:val="center"/>
            </w:pPr>
            <w:r>
              <w:rPr>
                <w:color w:val="000000"/>
                <w:sz w:val="24"/>
              </w:rPr>
              <w:t>-0.01%</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交银施罗德丰盈收益债券型证券投资基金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交银丰盈收益债券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交银丰盈收益债券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F7B09">
        <w:trPr>
          <w:jc w:val="center"/>
        </w:trPr>
        <w:tc>
          <w:tcPr>
            <w:tcW w:w="946" w:type="dxa"/>
            <w:vAlign w:val="center"/>
          </w:tcPr>
          <w:p w:rsidR="006F7B09" w:rsidRDefault="00596F20">
            <w:pPr>
              <w:jc w:val="center"/>
            </w:pPr>
            <w:r>
              <w:rPr>
                <w:color w:val="000000"/>
                <w:sz w:val="24"/>
              </w:rPr>
              <w:t>连端清</w:t>
            </w:r>
          </w:p>
        </w:tc>
        <w:tc>
          <w:tcPr>
            <w:tcW w:w="924" w:type="dxa"/>
            <w:vAlign w:val="center"/>
          </w:tcPr>
          <w:p w:rsidR="006F7B09" w:rsidRDefault="00596F20">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w:t>
            </w:r>
            <w:r>
              <w:rPr>
                <w:color w:val="000000"/>
                <w:sz w:val="24"/>
              </w:rPr>
              <w:lastRenderedPageBreak/>
              <w:t>券、交银裕隆纯债债券、交银天鑫宝货币、交银天益宝货币、交银境尚收益债券、交银天运宝货币的基金经理</w:t>
            </w:r>
          </w:p>
        </w:tc>
        <w:tc>
          <w:tcPr>
            <w:tcW w:w="1202" w:type="dxa"/>
            <w:vAlign w:val="center"/>
          </w:tcPr>
          <w:p w:rsidR="006F7B09" w:rsidRDefault="00596F20">
            <w:pPr>
              <w:jc w:val="center"/>
            </w:pPr>
            <w:r>
              <w:rPr>
                <w:color w:val="000000"/>
                <w:sz w:val="24"/>
              </w:rPr>
              <w:lastRenderedPageBreak/>
              <w:t>2015-08-04</w:t>
            </w:r>
          </w:p>
        </w:tc>
        <w:tc>
          <w:tcPr>
            <w:tcW w:w="1300" w:type="dxa"/>
            <w:vAlign w:val="center"/>
          </w:tcPr>
          <w:p w:rsidR="006F7B09" w:rsidRDefault="00596F20">
            <w:pPr>
              <w:jc w:val="center"/>
            </w:pPr>
            <w:r>
              <w:rPr>
                <w:color w:val="000000"/>
                <w:sz w:val="24"/>
              </w:rPr>
              <w:t>-</w:t>
            </w:r>
          </w:p>
        </w:tc>
        <w:tc>
          <w:tcPr>
            <w:tcW w:w="1245" w:type="dxa"/>
            <w:vAlign w:val="center"/>
          </w:tcPr>
          <w:p w:rsidR="006F7B09" w:rsidRDefault="00596F20">
            <w:pPr>
              <w:jc w:val="center"/>
            </w:pPr>
            <w:r>
              <w:rPr>
                <w:color w:val="000000"/>
                <w:sz w:val="24"/>
              </w:rPr>
              <w:t>6</w:t>
            </w:r>
            <w:r>
              <w:rPr>
                <w:color w:val="000000"/>
                <w:sz w:val="24"/>
              </w:rPr>
              <w:t>年</w:t>
            </w:r>
          </w:p>
        </w:tc>
        <w:tc>
          <w:tcPr>
            <w:tcW w:w="3251" w:type="dxa"/>
            <w:vAlign w:val="center"/>
          </w:tcPr>
          <w:p w:rsidR="006F7B09" w:rsidRDefault="00596F20">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r w:rsidR="006F7B09">
        <w:trPr>
          <w:jc w:val="center"/>
        </w:trPr>
        <w:tc>
          <w:tcPr>
            <w:tcW w:w="946" w:type="dxa"/>
            <w:vAlign w:val="center"/>
          </w:tcPr>
          <w:p w:rsidR="006F7B09" w:rsidRDefault="00596F20">
            <w:pPr>
              <w:jc w:val="center"/>
            </w:pPr>
            <w:r>
              <w:rPr>
                <w:color w:val="000000"/>
                <w:sz w:val="24"/>
              </w:rPr>
              <w:t>于海颖</w:t>
            </w:r>
          </w:p>
        </w:tc>
        <w:tc>
          <w:tcPr>
            <w:tcW w:w="924" w:type="dxa"/>
            <w:vAlign w:val="center"/>
          </w:tcPr>
          <w:p w:rsidR="006F7B09" w:rsidRDefault="00596F20">
            <w:pPr>
              <w:jc w:val="center"/>
            </w:pPr>
            <w:r>
              <w:rPr>
                <w:color w:val="000000"/>
                <w:sz w:val="24"/>
              </w:rPr>
              <w:t>交银增利债券、交银纯债债券发起、交银丰盈收益债券、交银丰晟收益债券、交银裕如纯债债券的基金经</w:t>
            </w:r>
            <w:r>
              <w:rPr>
                <w:color w:val="000000"/>
                <w:sz w:val="24"/>
              </w:rPr>
              <w:lastRenderedPageBreak/>
              <w:t>理，公司固定收益（公募）投资总监</w:t>
            </w:r>
          </w:p>
        </w:tc>
        <w:tc>
          <w:tcPr>
            <w:tcW w:w="1202" w:type="dxa"/>
            <w:vAlign w:val="center"/>
          </w:tcPr>
          <w:p w:rsidR="006F7B09" w:rsidRDefault="00596F20">
            <w:pPr>
              <w:jc w:val="center"/>
            </w:pPr>
            <w:r>
              <w:rPr>
                <w:color w:val="000000"/>
                <w:sz w:val="24"/>
              </w:rPr>
              <w:lastRenderedPageBreak/>
              <w:t>2016-12-29</w:t>
            </w:r>
          </w:p>
        </w:tc>
        <w:tc>
          <w:tcPr>
            <w:tcW w:w="1300" w:type="dxa"/>
            <w:vAlign w:val="center"/>
          </w:tcPr>
          <w:p w:rsidR="006F7B09" w:rsidRDefault="00596F20">
            <w:pPr>
              <w:jc w:val="center"/>
            </w:pPr>
            <w:r>
              <w:rPr>
                <w:color w:val="000000"/>
                <w:sz w:val="24"/>
              </w:rPr>
              <w:t>-</w:t>
            </w:r>
          </w:p>
        </w:tc>
        <w:tc>
          <w:tcPr>
            <w:tcW w:w="1245" w:type="dxa"/>
            <w:vAlign w:val="center"/>
          </w:tcPr>
          <w:p w:rsidR="006F7B09" w:rsidRDefault="00596F20">
            <w:pPr>
              <w:jc w:val="center"/>
            </w:pPr>
            <w:r>
              <w:rPr>
                <w:color w:val="000000"/>
                <w:sz w:val="24"/>
              </w:rPr>
              <w:t>13</w:t>
            </w:r>
            <w:r>
              <w:rPr>
                <w:color w:val="000000"/>
                <w:sz w:val="24"/>
              </w:rPr>
              <w:t>年</w:t>
            </w:r>
          </w:p>
        </w:tc>
        <w:tc>
          <w:tcPr>
            <w:tcW w:w="3251" w:type="dxa"/>
            <w:vAlign w:val="center"/>
          </w:tcPr>
          <w:p w:rsidR="006F7B09" w:rsidRDefault="00596F20">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lastRenderedPageBreak/>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日担任交银施罗德强化回报债券型证券投资基金的基金经理。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bl>
    <w:p w:rsidR="006F7B09" w:rsidRDefault="00596F20">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6F7B09" w:rsidRDefault="00596F20">
      <w:pPr>
        <w:autoSpaceDE w:val="0"/>
        <w:autoSpaceDN w:val="0"/>
        <w:adjustRightInd w:val="0"/>
        <w:spacing w:before="29" w:line="288" w:lineRule="auto"/>
        <w:jc w:val="left"/>
        <w:rPr>
          <w:color w:val="000000"/>
          <w:sz w:val="24"/>
        </w:rPr>
      </w:pPr>
      <w:r>
        <w:rPr>
          <w:color w:val="000000"/>
          <w:sz w:val="24"/>
        </w:rPr>
        <w:lastRenderedPageBreak/>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6F7B09" w:rsidRDefault="00596F2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F7B09" w:rsidRDefault="00596F2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F7B09" w:rsidRDefault="00596F2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F7B09" w:rsidRDefault="00596F20">
      <w:pPr>
        <w:spacing w:before="29" w:line="288" w:lineRule="auto"/>
        <w:ind w:firstLineChars="200" w:firstLine="480"/>
        <w:rPr>
          <w:color w:val="000000"/>
          <w:sz w:val="24"/>
        </w:rPr>
      </w:pPr>
      <w:r>
        <w:rPr>
          <w:color w:val="000000"/>
          <w:sz w:val="24"/>
        </w:rPr>
        <w:t>2019</w:t>
      </w:r>
      <w:r>
        <w:rPr>
          <w:color w:val="000000"/>
          <w:sz w:val="24"/>
        </w:rPr>
        <w:t>年二季度，国内固定资产投资增速放缓，中美贸易谈判再遇波折，叠加海外</w:t>
      </w:r>
      <w:r>
        <w:rPr>
          <w:color w:val="000000"/>
          <w:sz w:val="24"/>
        </w:rPr>
        <w:lastRenderedPageBreak/>
        <w:t>发达经济体增速显著放缓等影响，国内宏观经济再次走弱。房地产投资增速从高位开始下降，基建投资稳增长比较乏力，二季度固定资产投资增速下行承压。受中美贸易谈判波折等因素影响，二季度制造业景气度下降，中采制造业</w:t>
      </w:r>
      <w:r>
        <w:rPr>
          <w:color w:val="000000"/>
          <w:sz w:val="24"/>
        </w:rPr>
        <w:t>PMI</w:t>
      </w:r>
      <w:r>
        <w:rPr>
          <w:color w:val="000000"/>
          <w:sz w:val="24"/>
        </w:rPr>
        <w:t>再次降至荣枯线以下。中美贸易谈判在五月再次遇阻，美方在贸易领域、科技等领域对我国进一步施压，再次影响到企业与市场投资者的信心。受猪肉与果蔬等价格大幅上涨的结构性因素影响，二季度国内</w:t>
      </w:r>
      <w:r>
        <w:rPr>
          <w:color w:val="000000"/>
          <w:sz w:val="24"/>
        </w:rPr>
        <w:t>CPI</w:t>
      </w:r>
      <w:r>
        <w:rPr>
          <w:color w:val="000000"/>
          <w:sz w:val="24"/>
        </w:rPr>
        <w:t>上行承压。在海外，美日欧等发达经济体存在下行压力。货币政策上，由于一季度国内经济有回暖迹象，四月央行货币政策边际上向中性回归，但是五月中美贸易战硝烟再起，加上个别银行信用风险暴露影响货币市场流动性，央行于五月下旬再次加大了公开市场投放力度，二季度央行在公开市场净投放</w:t>
      </w:r>
      <w:r>
        <w:rPr>
          <w:color w:val="000000"/>
          <w:sz w:val="24"/>
        </w:rPr>
        <w:t>7784</w:t>
      </w:r>
      <w:r>
        <w:rPr>
          <w:color w:val="000000"/>
          <w:sz w:val="24"/>
        </w:rPr>
        <w:t>亿。</w:t>
      </w:r>
    </w:p>
    <w:p w:rsidR="006F7B09" w:rsidRDefault="00596F20">
      <w:pPr>
        <w:spacing w:before="29" w:line="288" w:lineRule="auto"/>
        <w:ind w:firstLineChars="200" w:firstLine="480"/>
        <w:rPr>
          <w:color w:val="000000"/>
          <w:sz w:val="24"/>
        </w:rPr>
      </w:pPr>
      <w:r>
        <w:rPr>
          <w:color w:val="000000"/>
          <w:sz w:val="24"/>
        </w:rPr>
        <w:t>资金面上，受缴税、央行公开市场操作等因素影响，二季度货币市场资金面比较波折。四月中下旬市场资金面曾一度趋紧，五月下旬个别银行信用风险暴露后，资金供给方大幅提高融资质押门槛，市场资金面大幅趋紧。但随后在央行释放流动性及其他监管机构协调维稳下，资金面整体上趋于宽松，六月下旬市场流动性非常宽松，持有高等级券的融资方轻松跨季，高等级存单收益率降至历史较低位置。受中美贸易谈判扰动，经济数据波动以及央行货币政策操作边际变化等影响，二季度债市较为波折，整体上呈震荡整理格局。</w:t>
      </w:r>
    </w:p>
    <w:p w:rsidR="006F7B09" w:rsidRDefault="00596F20">
      <w:pPr>
        <w:spacing w:before="29" w:line="288" w:lineRule="auto"/>
        <w:ind w:firstLineChars="200" w:firstLine="480"/>
        <w:rPr>
          <w:color w:val="000000"/>
          <w:sz w:val="24"/>
        </w:rPr>
      </w:pPr>
      <w:r>
        <w:rPr>
          <w:color w:val="000000"/>
          <w:sz w:val="24"/>
        </w:rPr>
        <w:t>基金操作方面，报告期内本基金保持流动性，满足基金份额持有人赎回需求，择机调整组合杠杆与久期，为持有人创造稳健的回报。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年三季度，考虑中美贸易战的扰动以及固定资产投资增长乏力等因素，国内经济继续放缓的概率较高。但是，大阪</w:t>
      </w:r>
      <w:r w:rsidRPr="007F52FA">
        <w:rPr>
          <w:color w:val="000000"/>
          <w:sz w:val="24"/>
        </w:rPr>
        <w:t>G20</w:t>
      </w:r>
      <w:r w:rsidRPr="007F52FA">
        <w:rPr>
          <w:color w:val="000000"/>
          <w:sz w:val="24"/>
        </w:rPr>
        <w:t>中美元首会晤后中美贸易谈判再现曙光以及国内减税降费财政政策推进与改革开放力度加大，可能增强国内经济运行的韧劲。预计短期内人行货币政策将维持中性偏松，保持逆周期调节作用，但公开市场操作边际上可能会再次收紧一些。我们将密切关注中美贸易谈判的进展以及中央经济政策动态。组合管理方面，本基金将紧密跟踪研判宏观经济走势与央行货币政策操作，同时尽力管控风险，积极跟踪把握市场机会，努力为投资者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5D5935" w:rsidP="00274444">
      <w:pPr>
        <w:spacing w:before="29" w:line="288" w:lineRule="auto"/>
        <w:ind w:firstLineChars="200" w:firstLine="480"/>
        <w:rPr>
          <w:color w:val="000000"/>
          <w:sz w:val="24"/>
        </w:rPr>
      </w:pPr>
      <w:r w:rsidRPr="005D5935">
        <w:rPr>
          <w:rFonts w:hint="eastAsia"/>
          <w:color w:val="000000"/>
          <w:sz w:val="24"/>
        </w:rPr>
        <w:t>本基金本报告期内连续二十个工作日以上出现基金资产净值低于</w:t>
      </w:r>
      <w:r w:rsidRPr="005D5935">
        <w:rPr>
          <w:rFonts w:hint="eastAsia"/>
          <w:color w:val="000000"/>
          <w:sz w:val="24"/>
        </w:rPr>
        <w:t>5000</w:t>
      </w:r>
      <w:r w:rsidRPr="005D5935">
        <w:rPr>
          <w:rFonts w:hint="eastAsia"/>
          <w:color w:val="000000"/>
          <w:sz w:val="24"/>
        </w:rPr>
        <w:t>万元的情形，截至本报告期末，本基金基金资产净值仍低于</w:t>
      </w:r>
      <w:r w:rsidRPr="005D5935">
        <w:rPr>
          <w:rFonts w:hint="eastAsia"/>
          <w:color w:val="000000"/>
          <w:sz w:val="24"/>
        </w:rPr>
        <w:t>5000</w:t>
      </w:r>
      <w:r w:rsidRPr="005D5935">
        <w:rPr>
          <w:rFonts w:hint="eastAsia"/>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22,595,586.00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96.15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22,595,586.00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96.15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273,337.50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630,738.04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2.68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23,499,661.54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4,423,840.00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18,171,746.00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79.03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18,171,746.00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79.03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22,595,586.00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98.27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F7B09">
        <w:trPr>
          <w:jc w:val="center"/>
        </w:trPr>
        <w:tc>
          <w:tcPr>
            <w:tcW w:w="1075" w:type="dxa"/>
            <w:vAlign w:val="center"/>
          </w:tcPr>
          <w:p w:rsidR="006F7B09" w:rsidRDefault="00596F20">
            <w:pPr>
              <w:jc w:val="center"/>
            </w:pPr>
            <w:r>
              <w:rPr>
                <w:color w:val="000000"/>
                <w:sz w:val="24"/>
              </w:rPr>
              <w:t>1</w:t>
            </w:r>
          </w:p>
        </w:tc>
        <w:tc>
          <w:tcPr>
            <w:tcW w:w="1533" w:type="dxa"/>
            <w:vAlign w:val="center"/>
          </w:tcPr>
          <w:p w:rsidR="006F7B09" w:rsidRDefault="00596F20">
            <w:pPr>
              <w:jc w:val="center"/>
            </w:pPr>
            <w:r>
              <w:rPr>
                <w:color w:val="000000"/>
                <w:sz w:val="24"/>
              </w:rPr>
              <w:t>180209</w:t>
            </w:r>
          </w:p>
        </w:tc>
        <w:tc>
          <w:tcPr>
            <w:tcW w:w="1533" w:type="dxa"/>
            <w:vAlign w:val="center"/>
          </w:tcPr>
          <w:p w:rsidR="006F7B09" w:rsidRDefault="00596F20">
            <w:pPr>
              <w:jc w:val="center"/>
            </w:pPr>
            <w:r>
              <w:rPr>
                <w:color w:val="000000"/>
                <w:sz w:val="24"/>
              </w:rPr>
              <w:t>18</w:t>
            </w:r>
            <w:r>
              <w:rPr>
                <w:color w:val="000000"/>
                <w:sz w:val="24"/>
              </w:rPr>
              <w:t>国开</w:t>
            </w:r>
            <w:r>
              <w:rPr>
                <w:color w:val="000000"/>
                <w:sz w:val="24"/>
              </w:rPr>
              <w:t>09</w:t>
            </w:r>
          </w:p>
        </w:tc>
        <w:tc>
          <w:tcPr>
            <w:tcW w:w="1394" w:type="dxa"/>
            <w:vAlign w:val="center"/>
          </w:tcPr>
          <w:p w:rsidR="006F7B09" w:rsidRDefault="00596F20">
            <w:pPr>
              <w:jc w:val="right"/>
            </w:pPr>
            <w:r>
              <w:rPr>
                <w:color w:val="000000"/>
                <w:sz w:val="24"/>
              </w:rPr>
              <w:t>100,000</w:t>
            </w:r>
          </w:p>
        </w:tc>
        <w:tc>
          <w:tcPr>
            <w:tcW w:w="1944" w:type="dxa"/>
            <w:vAlign w:val="center"/>
          </w:tcPr>
          <w:p w:rsidR="006F7B09" w:rsidRDefault="00596F20">
            <w:pPr>
              <w:jc w:val="right"/>
            </w:pPr>
            <w:r>
              <w:rPr>
                <w:color w:val="000000"/>
                <w:sz w:val="24"/>
              </w:rPr>
              <w:t>10,003,000.00</w:t>
            </w:r>
          </w:p>
        </w:tc>
        <w:tc>
          <w:tcPr>
            <w:tcW w:w="1389" w:type="dxa"/>
            <w:vAlign w:val="center"/>
          </w:tcPr>
          <w:p w:rsidR="006F7B09" w:rsidRDefault="00596F20">
            <w:pPr>
              <w:jc w:val="right"/>
            </w:pPr>
            <w:r>
              <w:rPr>
                <w:color w:val="000000"/>
                <w:sz w:val="24"/>
              </w:rPr>
              <w:t>43.50</w:t>
            </w:r>
          </w:p>
        </w:tc>
      </w:tr>
      <w:tr w:rsidR="006F7B09">
        <w:trPr>
          <w:jc w:val="center"/>
        </w:trPr>
        <w:tc>
          <w:tcPr>
            <w:tcW w:w="1075" w:type="dxa"/>
            <w:vAlign w:val="center"/>
          </w:tcPr>
          <w:p w:rsidR="006F7B09" w:rsidRDefault="00596F20">
            <w:pPr>
              <w:jc w:val="center"/>
            </w:pPr>
            <w:r>
              <w:rPr>
                <w:color w:val="000000"/>
                <w:sz w:val="24"/>
              </w:rPr>
              <w:t>2</w:t>
            </w:r>
          </w:p>
        </w:tc>
        <w:tc>
          <w:tcPr>
            <w:tcW w:w="1533" w:type="dxa"/>
            <w:vAlign w:val="center"/>
          </w:tcPr>
          <w:p w:rsidR="006F7B09" w:rsidRDefault="00596F20">
            <w:pPr>
              <w:jc w:val="center"/>
            </w:pPr>
            <w:r>
              <w:rPr>
                <w:color w:val="000000"/>
                <w:sz w:val="24"/>
              </w:rPr>
              <w:t>018007</w:t>
            </w:r>
          </w:p>
        </w:tc>
        <w:tc>
          <w:tcPr>
            <w:tcW w:w="1533" w:type="dxa"/>
            <w:vAlign w:val="center"/>
          </w:tcPr>
          <w:p w:rsidR="006F7B09" w:rsidRDefault="00596F20">
            <w:pPr>
              <w:jc w:val="center"/>
            </w:pPr>
            <w:r>
              <w:rPr>
                <w:color w:val="000000"/>
                <w:sz w:val="24"/>
              </w:rPr>
              <w:t>国开</w:t>
            </w:r>
            <w:r>
              <w:rPr>
                <w:color w:val="000000"/>
                <w:sz w:val="24"/>
              </w:rPr>
              <w:t>1801</w:t>
            </w:r>
          </w:p>
        </w:tc>
        <w:tc>
          <w:tcPr>
            <w:tcW w:w="1394" w:type="dxa"/>
            <w:vAlign w:val="center"/>
          </w:tcPr>
          <w:p w:rsidR="006F7B09" w:rsidRDefault="00596F20">
            <w:pPr>
              <w:jc w:val="right"/>
            </w:pPr>
            <w:r>
              <w:rPr>
                <w:color w:val="000000"/>
                <w:sz w:val="24"/>
              </w:rPr>
              <w:t>65,800</w:t>
            </w:r>
          </w:p>
        </w:tc>
        <w:tc>
          <w:tcPr>
            <w:tcW w:w="1944" w:type="dxa"/>
            <w:vAlign w:val="center"/>
          </w:tcPr>
          <w:p w:rsidR="006F7B09" w:rsidRDefault="00596F20">
            <w:pPr>
              <w:jc w:val="right"/>
            </w:pPr>
            <w:r>
              <w:rPr>
                <w:color w:val="000000"/>
                <w:sz w:val="24"/>
              </w:rPr>
              <w:t>6,637,246.00</w:t>
            </w:r>
          </w:p>
        </w:tc>
        <w:tc>
          <w:tcPr>
            <w:tcW w:w="1389" w:type="dxa"/>
            <w:vAlign w:val="center"/>
          </w:tcPr>
          <w:p w:rsidR="006F7B09" w:rsidRDefault="00596F20">
            <w:pPr>
              <w:jc w:val="right"/>
            </w:pPr>
            <w:r>
              <w:rPr>
                <w:color w:val="000000"/>
                <w:sz w:val="24"/>
              </w:rPr>
              <w:t>28.86</w:t>
            </w:r>
          </w:p>
        </w:tc>
      </w:tr>
      <w:tr w:rsidR="006F7B09">
        <w:trPr>
          <w:jc w:val="center"/>
        </w:trPr>
        <w:tc>
          <w:tcPr>
            <w:tcW w:w="1075" w:type="dxa"/>
            <w:vAlign w:val="center"/>
          </w:tcPr>
          <w:p w:rsidR="006F7B09" w:rsidRDefault="00596F20">
            <w:pPr>
              <w:jc w:val="center"/>
            </w:pPr>
            <w:r>
              <w:rPr>
                <w:color w:val="000000"/>
                <w:sz w:val="24"/>
              </w:rPr>
              <w:t>3</w:t>
            </w:r>
          </w:p>
        </w:tc>
        <w:tc>
          <w:tcPr>
            <w:tcW w:w="1533" w:type="dxa"/>
            <w:vAlign w:val="center"/>
          </w:tcPr>
          <w:p w:rsidR="006F7B09" w:rsidRDefault="00596F20">
            <w:pPr>
              <w:jc w:val="center"/>
            </w:pPr>
            <w:r>
              <w:rPr>
                <w:color w:val="000000"/>
                <w:sz w:val="24"/>
              </w:rPr>
              <w:t>010107</w:t>
            </w:r>
          </w:p>
        </w:tc>
        <w:tc>
          <w:tcPr>
            <w:tcW w:w="1533" w:type="dxa"/>
            <w:vAlign w:val="center"/>
          </w:tcPr>
          <w:p w:rsidR="006F7B09" w:rsidRDefault="00596F20">
            <w:pPr>
              <w:jc w:val="center"/>
            </w:pPr>
            <w:r>
              <w:rPr>
                <w:color w:val="000000"/>
                <w:sz w:val="24"/>
              </w:rPr>
              <w:t>21</w:t>
            </w:r>
            <w:r>
              <w:rPr>
                <w:color w:val="000000"/>
                <w:sz w:val="24"/>
              </w:rPr>
              <w:t>国债</w:t>
            </w:r>
            <w:r>
              <w:rPr>
                <w:color w:val="000000"/>
                <w:sz w:val="24"/>
              </w:rPr>
              <w:t>⑺</w:t>
            </w:r>
          </w:p>
        </w:tc>
        <w:tc>
          <w:tcPr>
            <w:tcW w:w="1394" w:type="dxa"/>
            <w:vAlign w:val="center"/>
          </w:tcPr>
          <w:p w:rsidR="006F7B09" w:rsidRDefault="00596F20">
            <w:pPr>
              <w:jc w:val="right"/>
            </w:pPr>
            <w:r>
              <w:rPr>
                <w:color w:val="000000"/>
                <w:sz w:val="24"/>
              </w:rPr>
              <w:t>43,000</w:t>
            </w:r>
          </w:p>
        </w:tc>
        <w:tc>
          <w:tcPr>
            <w:tcW w:w="1944" w:type="dxa"/>
            <w:vAlign w:val="center"/>
          </w:tcPr>
          <w:p w:rsidR="006F7B09" w:rsidRDefault="00596F20">
            <w:pPr>
              <w:jc w:val="right"/>
            </w:pPr>
            <w:r>
              <w:rPr>
                <w:color w:val="000000"/>
                <w:sz w:val="24"/>
              </w:rPr>
              <w:t>4,423,840.00</w:t>
            </w:r>
          </w:p>
        </w:tc>
        <w:tc>
          <w:tcPr>
            <w:tcW w:w="1389" w:type="dxa"/>
            <w:vAlign w:val="center"/>
          </w:tcPr>
          <w:p w:rsidR="006F7B09" w:rsidRDefault="00596F20">
            <w:pPr>
              <w:jc w:val="right"/>
            </w:pPr>
            <w:r>
              <w:rPr>
                <w:color w:val="000000"/>
                <w:sz w:val="24"/>
              </w:rPr>
              <w:t>19.24</w:t>
            </w:r>
          </w:p>
        </w:tc>
      </w:tr>
      <w:tr w:rsidR="006F7B09">
        <w:trPr>
          <w:jc w:val="center"/>
        </w:trPr>
        <w:tc>
          <w:tcPr>
            <w:tcW w:w="1075" w:type="dxa"/>
            <w:vAlign w:val="center"/>
          </w:tcPr>
          <w:p w:rsidR="006F7B09" w:rsidRDefault="00596F20">
            <w:pPr>
              <w:jc w:val="center"/>
            </w:pPr>
            <w:r>
              <w:rPr>
                <w:color w:val="000000"/>
                <w:sz w:val="24"/>
              </w:rPr>
              <w:t>4</w:t>
            </w:r>
          </w:p>
        </w:tc>
        <w:tc>
          <w:tcPr>
            <w:tcW w:w="1533" w:type="dxa"/>
            <w:vAlign w:val="center"/>
          </w:tcPr>
          <w:p w:rsidR="006F7B09" w:rsidRDefault="00596F20">
            <w:pPr>
              <w:jc w:val="center"/>
            </w:pPr>
            <w:r>
              <w:rPr>
                <w:color w:val="000000"/>
                <w:sz w:val="24"/>
              </w:rPr>
              <w:t>018006</w:t>
            </w:r>
          </w:p>
        </w:tc>
        <w:tc>
          <w:tcPr>
            <w:tcW w:w="1533" w:type="dxa"/>
            <w:vAlign w:val="center"/>
          </w:tcPr>
          <w:p w:rsidR="006F7B09" w:rsidRDefault="00596F20">
            <w:pPr>
              <w:jc w:val="center"/>
            </w:pPr>
            <w:r>
              <w:rPr>
                <w:color w:val="000000"/>
                <w:sz w:val="24"/>
              </w:rPr>
              <w:t>国开</w:t>
            </w:r>
            <w:r>
              <w:rPr>
                <w:color w:val="000000"/>
                <w:sz w:val="24"/>
              </w:rPr>
              <w:t>1702</w:t>
            </w:r>
          </w:p>
        </w:tc>
        <w:tc>
          <w:tcPr>
            <w:tcW w:w="1394" w:type="dxa"/>
            <w:vAlign w:val="center"/>
          </w:tcPr>
          <w:p w:rsidR="006F7B09" w:rsidRDefault="00596F20">
            <w:pPr>
              <w:jc w:val="right"/>
            </w:pPr>
            <w:r>
              <w:rPr>
                <w:color w:val="000000"/>
                <w:sz w:val="24"/>
              </w:rPr>
              <w:t>15,000</w:t>
            </w:r>
          </w:p>
        </w:tc>
        <w:tc>
          <w:tcPr>
            <w:tcW w:w="1944" w:type="dxa"/>
            <w:vAlign w:val="center"/>
          </w:tcPr>
          <w:p w:rsidR="006F7B09" w:rsidRDefault="00596F20">
            <w:pPr>
              <w:jc w:val="right"/>
            </w:pPr>
            <w:r>
              <w:rPr>
                <w:color w:val="000000"/>
                <w:sz w:val="24"/>
              </w:rPr>
              <w:t>1,531,500.00</w:t>
            </w:r>
          </w:p>
        </w:tc>
        <w:tc>
          <w:tcPr>
            <w:tcW w:w="1389" w:type="dxa"/>
            <w:vAlign w:val="center"/>
          </w:tcPr>
          <w:p w:rsidR="006F7B09" w:rsidRDefault="00596F20">
            <w:pPr>
              <w:jc w:val="right"/>
            </w:pPr>
            <w:r>
              <w:rPr>
                <w:color w:val="000000"/>
                <w:sz w:val="24"/>
              </w:rPr>
              <w:t>6.66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7,030.64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623,707.40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630,738.04</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22,374,372.79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2,100,390.01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3,539.74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24,777,775.57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2,293,476.33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25,619,383.15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20,084,436.20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1,258,782.43</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6F7B09" w:rsidRDefault="00596F20">
      <w:pPr>
        <w:autoSpaceDE w:val="0"/>
        <w:autoSpaceDN w:val="0"/>
        <w:adjustRightInd w:val="0"/>
        <w:spacing w:before="29" w:line="288" w:lineRule="auto"/>
        <w:jc w:val="left"/>
        <w:rPr>
          <w:color w:val="000000"/>
          <w:sz w:val="24"/>
        </w:rPr>
      </w:pPr>
      <w:r>
        <w:rPr>
          <w:color w:val="000000"/>
          <w:sz w:val="24"/>
        </w:rPr>
        <w:t>本报告期内未发生基金管理人运用固有资金投资本基金的情况。</w:t>
      </w:r>
    </w:p>
    <w:p w:rsidR="008A3BCC" w:rsidRPr="00AE55CC" w:rsidRDefault="008A3BCC" w:rsidP="007C14DF">
      <w:pPr>
        <w:autoSpaceDE w:val="0"/>
        <w:autoSpaceDN w:val="0"/>
        <w:adjustRightInd w:val="0"/>
        <w:spacing w:before="29" w:line="288" w:lineRule="auto"/>
        <w:jc w:val="left"/>
        <w:rPr>
          <w:color w:val="000000"/>
          <w:sz w:val="24"/>
        </w:rPr>
      </w:pP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6F7B09">
        <w:tc>
          <w:tcPr>
            <w:tcW w:w="992" w:type="dxa"/>
            <w:vMerge w:val="restart"/>
          </w:tcPr>
          <w:p w:rsidR="006F7B09" w:rsidRDefault="006F7B09"/>
          <w:p w:rsidR="006F7B09" w:rsidRDefault="00596F20">
            <w:r>
              <w:rPr>
                <w:rFonts w:ascii="宋体" w:hAnsi="宋体" w:hint="eastAsia"/>
                <w:bCs/>
                <w:color w:val="000000"/>
                <w:kern w:val="0"/>
                <w:szCs w:val="21"/>
              </w:rPr>
              <w:t>机构</w:t>
            </w:r>
          </w:p>
        </w:tc>
        <w:tc>
          <w:tcPr>
            <w:tcW w:w="991" w:type="dxa"/>
            <w:vAlign w:val="center"/>
          </w:tcPr>
          <w:p w:rsidR="006F7B09" w:rsidRDefault="00596F20">
            <w:pPr>
              <w:jc w:val="center"/>
            </w:pPr>
            <w:r>
              <w:rPr>
                <w:rFonts w:ascii="宋体" w:hAnsi="宋体" w:hint="eastAsia"/>
                <w:color w:val="000000"/>
                <w:kern w:val="0"/>
                <w:szCs w:val="21"/>
              </w:rPr>
              <w:t>1</w:t>
            </w:r>
          </w:p>
        </w:tc>
        <w:tc>
          <w:tcPr>
            <w:tcW w:w="1843" w:type="dxa"/>
            <w:vAlign w:val="center"/>
          </w:tcPr>
          <w:p w:rsidR="006F7B09" w:rsidRDefault="00596F20">
            <w:pPr>
              <w:jc w:val="center"/>
            </w:pPr>
            <w:r>
              <w:rPr>
                <w:rFonts w:ascii="宋体" w:hAnsi="宋体" w:hint="eastAsia"/>
                <w:color w:val="000000"/>
                <w:kern w:val="0"/>
                <w:szCs w:val="21"/>
              </w:rPr>
              <w:t>2019/4/1-2019/6/30</w:t>
            </w:r>
          </w:p>
        </w:tc>
        <w:tc>
          <w:tcPr>
            <w:tcW w:w="851" w:type="dxa"/>
            <w:vAlign w:val="center"/>
          </w:tcPr>
          <w:p w:rsidR="006F7B09" w:rsidRDefault="00596F20">
            <w:pPr>
              <w:jc w:val="center"/>
            </w:pPr>
            <w:r>
              <w:rPr>
                <w:rFonts w:ascii="宋体" w:hAnsi="宋体" w:hint="eastAsia"/>
                <w:color w:val="000000"/>
                <w:kern w:val="0"/>
                <w:szCs w:val="21"/>
              </w:rPr>
              <w:t>-</w:t>
            </w:r>
          </w:p>
        </w:tc>
        <w:tc>
          <w:tcPr>
            <w:tcW w:w="850" w:type="dxa"/>
            <w:vAlign w:val="center"/>
          </w:tcPr>
          <w:p w:rsidR="006F7B09" w:rsidRDefault="00596F20">
            <w:pPr>
              <w:jc w:val="center"/>
            </w:pPr>
            <w:r>
              <w:rPr>
                <w:rFonts w:ascii="宋体" w:hAnsi="宋体" w:hint="eastAsia"/>
                <w:color w:val="000000"/>
                <w:kern w:val="0"/>
                <w:szCs w:val="21"/>
              </w:rPr>
              <w:t>21,543,985.64</w:t>
            </w:r>
          </w:p>
        </w:tc>
        <w:tc>
          <w:tcPr>
            <w:tcW w:w="1134" w:type="dxa"/>
            <w:vAlign w:val="center"/>
          </w:tcPr>
          <w:p w:rsidR="006F7B09" w:rsidRDefault="00596F20">
            <w:pPr>
              <w:jc w:val="center"/>
            </w:pPr>
            <w:r>
              <w:rPr>
                <w:rFonts w:ascii="宋体" w:hAnsi="宋体" w:hint="eastAsia"/>
                <w:color w:val="000000"/>
                <w:kern w:val="0"/>
                <w:szCs w:val="21"/>
              </w:rPr>
              <w:t>21,543,985.64</w:t>
            </w:r>
          </w:p>
        </w:tc>
        <w:tc>
          <w:tcPr>
            <w:tcW w:w="1419" w:type="dxa"/>
            <w:vAlign w:val="center"/>
          </w:tcPr>
          <w:p w:rsidR="006F7B09" w:rsidRDefault="00596F20">
            <w:pPr>
              <w:jc w:val="center"/>
            </w:pPr>
            <w:r>
              <w:rPr>
                <w:rFonts w:ascii="宋体" w:hAnsi="宋体" w:hint="eastAsia"/>
                <w:color w:val="000000"/>
                <w:kern w:val="0"/>
                <w:szCs w:val="21"/>
              </w:rPr>
              <w:t>-</w:t>
            </w:r>
          </w:p>
        </w:tc>
        <w:tc>
          <w:tcPr>
            <w:tcW w:w="1130" w:type="dxa"/>
            <w:vAlign w:val="center"/>
          </w:tcPr>
          <w:p w:rsidR="006F7B09" w:rsidRDefault="00596F20">
            <w:pPr>
              <w:jc w:val="center"/>
            </w:pPr>
            <w:r>
              <w:rPr>
                <w:rFonts w:ascii="宋体" w:hAnsi="宋体" w:hint="eastAsia"/>
                <w:color w:val="000000"/>
                <w:kern w:val="0"/>
                <w:szCs w:val="21"/>
              </w:rPr>
              <w:t>-</w:t>
            </w:r>
          </w:p>
        </w:tc>
      </w:tr>
      <w:tr w:rsidR="006F7B09">
        <w:tc>
          <w:tcPr>
            <w:tcW w:w="992" w:type="dxa"/>
            <w:vMerge w:val="restart"/>
          </w:tcPr>
          <w:p w:rsidR="006F7B09" w:rsidRDefault="006F7B09"/>
          <w:p w:rsidR="006F7B09" w:rsidRDefault="00596F20">
            <w:r>
              <w:rPr>
                <w:rFonts w:ascii="宋体" w:hAnsi="宋体" w:hint="eastAsia"/>
                <w:bCs/>
                <w:color w:val="000000"/>
                <w:kern w:val="0"/>
                <w:szCs w:val="21"/>
              </w:rPr>
              <w:t>个人</w:t>
            </w:r>
          </w:p>
        </w:tc>
        <w:tc>
          <w:tcPr>
            <w:tcW w:w="991" w:type="dxa"/>
            <w:vAlign w:val="center"/>
          </w:tcPr>
          <w:p w:rsidR="006F7B09" w:rsidRDefault="00596F20">
            <w:pPr>
              <w:jc w:val="center"/>
            </w:pPr>
            <w:r>
              <w:rPr>
                <w:rFonts w:ascii="宋体" w:hAnsi="宋体" w:hint="eastAsia"/>
                <w:kern w:val="0"/>
                <w:szCs w:val="21"/>
              </w:rPr>
              <w:t>1</w:t>
            </w:r>
          </w:p>
        </w:tc>
        <w:tc>
          <w:tcPr>
            <w:tcW w:w="1843" w:type="dxa"/>
            <w:vAlign w:val="center"/>
          </w:tcPr>
          <w:p w:rsidR="006F7B09" w:rsidRDefault="00596F20">
            <w:pPr>
              <w:jc w:val="center"/>
            </w:pPr>
            <w:r>
              <w:rPr>
                <w:rFonts w:ascii="宋体" w:hAnsi="宋体" w:hint="eastAsia"/>
                <w:kern w:val="0"/>
                <w:szCs w:val="21"/>
              </w:rPr>
              <w:t>2019/4/1-2019/6/30</w:t>
            </w:r>
          </w:p>
        </w:tc>
        <w:tc>
          <w:tcPr>
            <w:tcW w:w="851" w:type="dxa"/>
            <w:vAlign w:val="center"/>
          </w:tcPr>
          <w:p w:rsidR="006F7B09" w:rsidRDefault="00596F20">
            <w:pPr>
              <w:jc w:val="center"/>
            </w:pPr>
            <w:r>
              <w:rPr>
                <w:rFonts w:ascii="宋体" w:hAnsi="宋体" w:hint="eastAsia"/>
                <w:kern w:val="0"/>
                <w:szCs w:val="21"/>
              </w:rPr>
              <w:t>4,941,611.46</w:t>
            </w:r>
          </w:p>
        </w:tc>
        <w:tc>
          <w:tcPr>
            <w:tcW w:w="850" w:type="dxa"/>
            <w:vAlign w:val="center"/>
          </w:tcPr>
          <w:p w:rsidR="006F7B09" w:rsidRDefault="00596F20">
            <w:pPr>
              <w:jc w:val="center"/>
            </w:pPr>
            <w:r>
              <w:rPr>
                <w:rFonts w:ascii="宋体" w:hAnsi="宋体" w:hint="eastAsia"/>
                <w:kern w:val="0"/>
                <w:szCs w:val="21"/>
              </w:rPr>
              <w:t>-</w:t>
            </w:r>
          </w:p>
        </w:tc>
        <w:tc>
          <w:tcPr>
            <w:tcW w:w="1134" w:type="dxa"/>
            <w:vAlign w:val="center"/>
          </w:tcPr>
          <w:p w:rsidR="006F7B09" w:rsidRDefault="00596F20">
            <w:pPr>
              <w:jc w:val="center"/>
            </w:pPr>
            <w:r>
              <w:rPr>
                <w:rFonts w:ascii="宋体" w:hAnsi="宋体" w:hint="eastAsia"/>
                <w:kern w:val="0"/>
                <w:szCs w:val="21"/>
              </w:rPr>
              <w:t>-</w:t>
            </w:r>
          </w:p>
        </w:tc>
        <w:tc>
          <w:tcPr>
            <w:tcW w:w="1419" w:type="dxa"/>
            <w:vAlign w:val="center"/>
          </w:tcPr>
          <w:p w:rsidR="006F7B09" w:rsidRDefault="00596F20">
            <w:pPr>
              <w:jc w:val="center"/>
            </w:pPr>
            <w:r>
              <w:rPr>
                <w:rFonts w:ascii="宋体" w:hAnsi="宋体" w:hint="eastAsia"/>
                <w:kern w:val="0"/>
                <w:szCs w:val="21"/>
              </w:rPr>
              <w:t>4,941,611.46</w:t>
            </w:r>
          </w:p>
        </w:tc>
        <w:tc>
          <w:tcPr>
            <w:tcW w:w="1130" w:type="dxa"/>
            <w:vAlign w:val="center"/>
          </w:tcPr>
          <w:p w:rsidR="006F7B09" w:rsidRDefault="00596F20">
            <w:pPr>
              <w:jc w:val="center"/>
            </w:pPr>
            <w:r>
              <w:rPr>
                <w:rFonts w:ascii="宋体" w:hAnsi="宋体" w:hint="eastAsia"/>
                <w:kern w:val="0"/>
                <w:szCs w:val="21"/>
              </w:rPr>
              <w:t>23.15%</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w:t>
            </w:r>
            <w:r>
              <w:rPr>
                <w:rFonts w:ascii="宋体" w:hAnsi="宋体" w:hint="eastAsia"/>
                <w:kern w:val="0"/>
                <w:szCs w:val="21"/>
              </w:rPr>
              <w:lastRenderedPageBreak/>
              <w:t>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F7B09" w:rsidRDefault="00596F2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6F7B09" w:rsidRDefault="00596F2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r>
        <w:rPr>
          <w:rFonts w:eastAsiaTheme="minorEastAsia"/>
          <w:color w:val="000000"/>
          <w:sz w:val="24"/>
        </w:rPr>
        <w:t xml:space="preserve"> </w:t>
      </w:r>
    </w:p>
    <w:p w:rsidR="006F7B09" w:rsidRDefault="00596F2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r>
        <w:rPr>
          <w:rFonts w:eastAsiaTheme="minorEastAsia"/>
          <w:color w:val="000000"/>
          <w:sz w:val="24"/>
        </w:rPr>
        <w:t xml:space="preserve"> </w:t>
      </w:r>
    </w:p>
    <w:p w:rsidR="006F7B09" w:rsidRDefault="00596F2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6F7B09" w:rsidRDefault="00596F2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、关于申请募集注册交银施罗德丰盈收益债券型证券投资基金的法律意见书；</w:t>
      </w:r>
      <w:r>
        <w:rPr>
          <w:rFonts w:eastAsiaTheme="minorEastAsia"/>
          <w:color w:val="000000"/>
          <w:sz w:val="24"/>
        </w:rPr>
        <w:t xml:space="preserve"> </w:t>
      </w:r>
    </w:p>
    <w:p w:rsidR="006F7B09" w:rsidRDefault="00596F2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F7B09" w:rsidRDefault="00596F2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、报告期内交银施罗德丰盈收益债券型证券投资基金在指定报刊上各项公告的原稿。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6F7B09" w:rsidRDefault="00596F2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4B9" w:rsidRDefault="009414B9">
      <w:r>
        <w:separator/>
      </w:r>
    </w:p>
  </w:endnote>
  <w:endnote w:type="continuationSeparator" w:id="0">
    <w:p w:rsidR="009414B9" w:rsidRDefault="0094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A762A">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A762A">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4B9" w:rsidRDefault="009414B9">
      <w:r>
        <w:separator/>
      </w:r>
    </w:p>
  </w:footnote>
  <w:footnote w:type="continuationSeparator" w:id="0">
    <w:p w:rsidR="009414B9" w:rsidRDefault="00941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17542"/>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3B"/>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0942"/>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6F20"/>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D5935"/>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6F7B09"/>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C79E7"/>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4B9"/>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A762A"/>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56979-3D91-46AF-AA1C-1CF69A2D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229</TotalTime>
  <Pages>1</Pages>
  <Words>1304</Words>
  <Characters>7433</Characters>
  <Application>Microsoft Office Word</Application>
  <DocSecurity>0</DocSecurity>
  <Lines>61</Lines>
  <Paragraphs>17</Paragraphs>
  <ScaleCrop>false</ScaleCrop>
  <Company>TRT. Ltd. Co.</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395</cp:revision>
  <cp:lastPrinted>2007-07-19T00:46:00Z</cp:lastPrinted>
  <dcterms:created xsi:type="dcterms:W3CDTF">2014-01-17T06:19:00Z</dcterms:created>
  <dcterms:modified xsi:type="dcterms:W3CDTF">2019-07-15T01:19:00Z</dcterms:modified>
</cp:coreProperties>
</file>