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交银施罗德活期通货币市场基金</w:t>
      </w:r>
    </w:p>
    <w:p w:rsidR="00B60E27" w:rsidRPr="001E1B20" w:rsidRDefault="00B60E27" w:rsidP="00281564">
      <w:pPr>
        <w:spacing w:before="29" w:line="288" w:lineRule="auto"/>
        <w:jc w:val="center"/>
        <w:rPr>
          <w:b/>
          <w:sz w:val="36"/>
          <w:szCs w:val="36"/>
        </w:rPr>
      </w:pPr>
      <w:r w:rsidRPr="001E1B20">
        <w:rPr>
          <w:b/>
          <w:sz w:val="36"/>
          <w:szCs w:val="36"/>
        </w:rPr>
        <w:t>2019</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2019</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w:t>
      </w:r>
      <w:proofErr w:type="gramStart"/>
      <w:r w:rsidRPr="001E1B20">
        <w:rPr>
          <w:b/>
          <w:color w:val="000000"/>
          <w:sz w:val="24"/>
        </w:rPr>
        <w:t>信建投证券</w:t>
      </w:r>
      <w:proofErr w:type="gramEnd"/>
      <w:r w:rsidRPr="001E1B20">
        <w:rPr>
          <w:b/>
          <w:color w:val="000000"/>
          <w:sz w:val="24"/>
        </w:rPr>
        <w:t>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二〇一九年七月十七日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A81BCB" w:rsidRDefault="00F023C7">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A81BCB" w:rsidRDefault="00F023C7">
      <w:pPr>
        <w:adjustRightInd w:val="0"/>
        <w:spacing w:before="29" w:line="288" w:lineRule="auto"/>
        <w:ind w:firstLineChars="200" w:firstLine="480"/>
        <w:rPr>
          <w:color w:val="000000"/>
          <w:sz w:val="24"/>
        </w:rPr>
      </w:pPr>
      <w:r>
        <w:rPr>
          <w:color w:val="000000"/>
          <w:sz w:val="24"/>
        </w:rPr>
        <w:t>基金托管人中</w:t>
      </w:r>
      <w:proofErr w:type="gramStart"/>
      <w:r>
        <w:rPr>
          <w:color w:val="000000"/>
          <w:sz w:val="24"/>
        </w:rPr>
        <w:t>信建投证券</w:t>
      </w:r>
      <w:proofErr w:type="gramEnd"/>
      <w:r>
        <w:rPr>
          <w:color w:val="000000"/>
          <w:sz w:val="24"/>
        </w:rPr>
        <w:t>股份有限公司根据本基金合同规定，于</w:t>
      </w:r>
      <w:r>
        <w:rPr>
          <w:color w:val="000000"/>
          <w:sz w:val="24"/>
        </w:rPr>
        <w:t>2019</w:t>
      </w:r>
      <w:r>
        <w:rPr>
          <w:color w:val="000000"/>
          <w:sz w:val="24"/>
        </w:rPr>
        <w:t>年</w:t>
      </w:r>
      <w:r>
        <w:rPr>
          <w:color w:val="000000"/>
          <w:sz w:val="24"/>
        </w:rPr>
        <w:t>7</w:t>
      </w:r>
      <w:r>
        <w:rPr>
          <w:color w:val="000000"/>
          <w:sz w:val="24"/>
        </w:rPr>
        <w:t>月</w:t>
      </w:r>
      <w:r>
        <w:rPr>
          <w:color w:val="000000"/>
          <w:sz w:val="24"/>
        </w:rPr>
        <w:t>16</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A81BCB" w:rsidRDefault="00F023C7">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81BCB" w:rsidRDefault="00F023C7">
      <w:pPr>
        <w:adjustRightInd w:val="0"/>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w:t>
      </w:r>
      <w:r>
        <w:rPr>
          <w:color w:val="000000"/>
          <w:sz w:val="24"/>
        </w:rPr>
        <w:t xml:space="preserve"> </w:t>
      </w:r>
    </w:p>
    <w:p w:rsidR="00A81BCB" w:rsidRDefault="00F023C7">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2019</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交银活期</w:t>
            </w:r>
            <w:proofErr w:type="gramStart"/>
            <w:r w:rsidRPr="000E4C40">
              <w:rPr>
                <w:color w:val="000000"/>
                <w:kern w:val="0"/>
                <w:sz w:val="24"/>
              </w:rPr>
              <w:t>通货币</w:t>
            </w:r>
            <w:proofErr w:type="gramEnd"/>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003042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7</w:t>
            </w:r>
            <w:r w:rsidRPr="000E4C40">
              <w:rPr>
                <w:color w:val="000000"/>
                <w:kern w:val="0"/>
                <w:sz w:val="24"/>
              </w:rPr>
              <w:t>月</w:t>
            </w:r>
            <w:r w:rsidRPr="000E4C40">
              <w:rPr>
                <w:color w:val="000000"/>
                <w:kern w:val="0"/>
                <w:sz w:val="24"/>
              </w:rPr>
              <w:t>27</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33,361,825,936.23</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w:t>
            </w:r>
            <w:proofErr w:type="gramStart"/>
            <w:r w:rsidRPr="000E4C40">
              <w:rPr>
                <w:color w:val="000000"/>
                <w:kern w:val="0"/>
                <w:sz w:val="24"/>
              </w:rPr>
              <w:t>信建投证券</w:t>
            </w:r>
            <w:proofErr w:type="gramEnd"/>
            <w:r w:rsidRPr="000E4C40">
              <w:rPr>
                <w:color w:val="000000"/>
                <w:kern w:val="0"/>
                <w:sz w:val="24"/>
              </w:rPr>
              <w:t>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交银活期</w:t>
            </w:r>
            <w:proofErr w:type="gramStart"/>
            <w:r w:rsidRPr="000E4C40">
              <w:rPr>
                <w:sz w:val="24"/>
              </w:rPr>
              <w:t>通货币</w:t>
            </w:r>
            <w:proofErr w:type="gramEnd"/>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交银活期</w:t>
            </w:r>
            <w:proofErr w:type="gramStart"/>
            <w:r w:rsidRPr="000E4C40">
              <w:rPr>
                <w:sz w:val="24"/>
              </w:rPr>
              <w:t>通货币</w:t>
            </w:r>
            <w:proofErr w:type="gramEnd"/>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003042</w:t>
            </w:r>
          </w:p>
        </w:tc>
        <w:tc>
          <w:tcPr>
            <w:tcW w:w="2923" w:type="dxa"/>
            <w:vAlign w:val="center"/>
          </w:tcPr>
          <w:p w:rsidR="00A805BC" w:rsidRPr="000E4C40" w:rsidRDefault="00A805BC" w:rsidP="00281564">
            <w:pPr>
              <w:spacing w:before="29" w:line="288" w:lineRule="auto"/>
              <w:jc w:val="left"/>
              <w:rPr>
                <w:sz w:val="24"/>
              </w:rPr>
            </w:pPr>
            <w:r w:rsidRPr="000E4C40">
              <w:rPr>
                <w:sz w:val="24"/>
              </w:rPr>
              <w:t>003043</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17,651,547,192.33</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15,710,278,743.90</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(2019</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-2019</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交银活期</w:t>
            </w:r>
            <w:proofErr w:type="gramStart"/>
            <w:r w:rsidRPr="000E4C40">
              <w:rPr>
                <w:sz w:val="24"/>
              </w:rPr>
              <w:t>通货币</w:t>
            </w:r>
            <w:proofErr w:type="gramEnd"/>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交银活期</w:t>
            </w:r>
            <w:proofErr w:type="gramStart"/>
            <w:r w:rsidRPr="000E4C40">
              <w:rPr>
                <w:sz w:val="24"/>
              </w:rPr>
              <w:t>通货币</w:t>
            </w:r>
            <w:proofErr w:type="gramEnd"/>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106,770,772.99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114,768,080.46</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106,770,772.99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114,768,080.46</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17,651,547,192.33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15,710,278,743.90</w:t>
            </w:r>
          </w:p>
        </w:tc>
      </w:tr>
    </w:tbl>
    <w:p w:rsidR="00A81BCB" w:rsidRDefault="00F023C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w:t>
      </w:r>
      <w:proofErr w:type="gramStart"/>
      <w:r w:rsidRPr="000E4C40">
        <w:rPr>
          <w:color w:val="000000"/>
          <w:sz w:val="24"/>
        </w:rPr>
        <w:t>余成本</w:t>
      </w:r>
      <w:proofErr w:type="gramEnd"/>
      <w:r w:rsidRPr="000E4C40">
        <w:rPr>
          <w:color w:val="000000"/>
          <w:sz w:val="24"/>
        </w:rPr>
        <w:t>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w:t>
      </w:r>
      <w:proofErr w:type="gramStart"/>
      <w:r w:rsidRPr="000E4C40">
        <w:rPr>
          <w:rFonts w:hAnsi="宋体"/>
          <w:b/>
          <w:color w:val="000000"/>
          <w:kern w:val="0"/>
          <w:sz w:val="24"/>
        </w:rPr>
        <w:t>期基金</w:t>
      </w:r>
      <w:proofErr w:type="gramEnd"/>
      <w:r w:rsidRPr="000E4C40">
        <w:rPr>
          <w:rFonts w:hAnsi="宋体"/>
          <w:b/>
          <w:color w:val="000000"/>
          <w:kern w:val="0"/>
          <w:sz w:val="24"/>
        </w:rPr>
        <w:t>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交银活期</w:t>
      </w:r>
      <w:proofErr w:type="gramStart"/>
      <w:r w:rsidR="00834F7F" w:rsidRPr="000E4C40">
        <w:rPr>
          <w:rFonts w:ascii="Times New Roman" w:hAnsi="Times New Roman"/>
          <w:b/>
          <w:color w:val="auto"/>
        </w:rPr>
        <w:t>通货币</w:t>
      </w:r>
      <w:proofErr w:type="gramEnd"/>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A81BCB">
        <w:trPr>
          <w:jc w:val="center"/>
        </w:trPr>
        <w:tc>
          <w:tcPr>
            <w:tcW w:w="1266" w:type="dxa"/>
            <w:vAlign w:val="center"/>
          </w:tcPr>
          <w:p w:rsidR="00A81BCB" w:rsidRDefault="00F023C7">
            <w:pPr>
              <w:jc w:val="left"/>
            </w:pPr>
            <w:r>
              <w:rPr>
                <w:color w:val="000000"/>
              </w:rPr>
              <w:lastRenderedPageBreak/>
              <w:t>过去三个月</w:t>
            </w:r>
          </w:p>
        </w:tc>
        <w:tc>
          <w:tcPr>
            <w:tcW w:w="1267" w:type="dxa"/>
            <w:vAlign w:val="center"/>
          </w:tcPr>
          <w:p w:rsidR="00A81BCB" w:rsidRDefault="00F023C7">
            <w:pPr>
              <w:jc w:val="center"/>
            </w:pPr>
            <w:r>
              <w:rPr>
                <w:color w:val="000000"/>
              </w:rPr>
              <w:t>0.5940%</w:t>
            </w:r>
          </w:p>
        </w:tc>
        <w:tc>
          <w:tcPr>
            <w:tcW w:w="1267" w:type="dxa"/>
            <w:vAlign w:val="center"/>
          </w:tcPr>
          <w:p w:rsidR="00A81BCB" w:rsidRDefault="00F023C7">
            <w:pPr>
              <w:jc w:val="center"/>
            </w:pPr>
            <w:r>
              <w:rPr>
                <w:color w:val="000000"/>
              </w:rPr>
              <w:t>0.0010%</w:t>
            </w:r>
          </w:p>
        </w:tc>
        <w:tc>
          <w:tcPr>
            <w:tcW w:w="1267" w:type="dxa"/>
            <w:vAlign w:val="center"/>
          </w:tcPr>
          <w:p w:rsidR="00A81BCB" w:rsidRDefault="00F023C7">
            <w:pPr>
              <w:jc w:val="center"/>
            </w:pPr>
            <w:r>
              <w:rPr>
                <w:color w:val="000000"/>
              </w:rPr>
              <w:t>0.0873%</w:t>
            </w:r>
          </w:p>
        </w:tc>
        <w:tc>
          <w:tcPr>
            <w:tcW w:w="1267" w:type="dxa"/>
            <w:vAlign w:val="center"/>
          </w:tcPr>
          <w:p w:rsidR="00A81BCB" w:rsidRDefault="00F023C7">
            <w:pPr>
              <w:jc w:val="center"/>
            </w:pPr>
            <w:r>
              <w:rPr>
                <w:color w:val="000000"/>
              </w:rPr>
              <w:t>0.0000%</w:t>
            </w:r>
          </w:p>
        </w:tc>
        <w:tc>
          <w:tcPr>
            <w:tcW w:w="1267" w:type="dxa"/>
            <w:vAlign w:val="center"/>
          </w:tcPr>
          <w:p w:rsidR="00A81BCB" w:rsidRDefault="00F023C7">
            <w:pPr>
              <w:jc w:val="center"/>
            </w:pPr>
            <w:r>
              <w:rPr>
                <w:color w:val="000000"/>
              </w:rPr>
              <w:t>0.5067%</w:t>
            </w:r>
          </w:p>
        </w:tc>
        <w:tc>
          <w:tcPr>
            <w:tcW w:w="1267" w:type="dxa"/>
            <w:vAlign w:val="center"/>
          </w:tcPr>
          <w:p w:rsidR="00A81BCB" w:rsidRDefault="00F023C7">
            <w:pPr>
              <w:jc w:val="center"/>
            </w:pPr>
            <w:r>
              <w:rPr>
                <w:color w:val="000000"/>
              </w:rPr>
              <w:t>0.0010%</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交银活期</w:t>
      </w:r>
      <w:proofErr w:type="gramStart"/>
      <w:r w:rsidR="000B2044" w:rsidRPr="000E4C40">
        <w:rPr>
          <w:rFonts w:ascii="Times New Roman" w:hAnsi="Times New Roman"/>
          <w:b/>
          <w:color w:val="000000"/>
        </w:rPr>
        <w:t>通货币</w:t>
      </w:r>
      <w:proofErr w:type="gramEnd"/>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A81BCB">
        <w:trPr>
          <w:jc w:val="center"/>
        </w:trPr>
        <w:tc>
          <w:tcPr>
            <w:tcW w:w="1266" w:type="dxa"/>
            <w:vAlign w:val="center"/>
          </w:tcPr>
          <w:p w:rsidR="00A81BCB" w:rsidRDefault="00F023C7">
            <w:pPr>
              <w:jc w:val="left"/>
            </w:pPr>
            <w:r>
              <w:rPr>
                <w:color w:val="000000"/>
              </w:rPr>
              <w:t>过去三个月</w:t>
            </w:r>
          </w:p>
        </w:tc>
        <w:tc>
          <w:tcPr>
            <w:tcW w:w="1267" w:type="dxa"/>
            <w:vAlign w:val="center"/>
          </w:tcPr>
          <w:p w:rsidR="00A81BCB" w:rsidRDefault="00F023C7">
            <w:pPr>
              <w:jc w:val="center"/>
            </w:pPr>
            <w:r>
              <w:rPr>
                <w:color w:val="000000"/>
              </w:rPr>
              <w:t>0.6542%</w:t>
            </w:r>
          </w:p>
        </w:tc>
        <w:tc>
          <w:tcPr>
            <w:tcW w:w="1267" w:type="dxa"/>
            <w:vAlign w:val="center"/>
          </w:tcPr>
          <w:p w:rsidR="00A81BCB" w:rsidRDefault="00F023C7">
            <w:pPr>
              <w:jc w:val="center"/>
            </w:pPr>
            <w:r>
              <w:rPr>
                <w:color w:val="000000"/>
              </w:rPr>
              <w:t>0.0010%</w:t>
            </w:r>
          </w:p>
        </w:tc>
        <w:tc>
          <w:tcPr>
            <w:tcW w:w="1267" w:type="dxa"/>
            <w:vAlign w:val="center"/>
          </w:tcPr>
          <w:p w:rsidR="00A81BCB" w:rsidRDefault="00F023C7">
            <w:pPr>
              <w:jc w:val="center"/>
            </w:pPr>
            <w:r>
              <w:rPr>
                <w:color w:val="000000"/>
              </w:rPr>
              <w:t>0.0873%</w:t>
            </w:r>
          </w:p>
        </w:tc>
        <w:tc>
          <w:tcPr>
            <w:tcW w:w="1267" w:type="dxa"/>
            <w:vAlign w:val="center"/>
          </w:tcPr>
          <w:p w:rsidR="00A81BCB" w:rsidRDefault="00F023C7">
            <w:pPr>
              <w:jc w:val="center"/>
            </w:pPr>
            <w:r>
              <w:rPr>
                <w:color w:val="000000"/>
              </w:rPr>
              <w:t>0.0000%</w:t>
            </w:r>
          </w:p>
        </w:tc>
        <w:tc>
          <w:tcPr>
            <w:tcW w:w="1267" w:type="dxa"/>
            <w:vAlign w:val="center"/>
          </w:tcPr>
          <w:p w:rsidR="00A81BCB" w:rsidRDefault="00F023C7">
            <w:pPr>
              <w:jc w:val="center"/>
            </w:pPr>
            <w:r>
              <w:rPr>
                <w:color w:val="000000"/>
              </w:rPr>
              <w:t>0.5669%</w:t>
            </w:r>
          </w:p>
        </w:tc>
        <w:tc>
          <w:tcPr>
            <w:tcW w:w="1267" w:type="dxa"/>
            <w:vAlign w:val="center"/>
          </w:tcPr>
          <w:p w:rsidR="00A81BCB" w:rsidRDefault="00F023C7">
            <w:pPr>
              <w:jc w:val="center"/>
            </w:pPr>
            <w:r>
              <w:rPr>
                <w:color w:val="000000"/>
              </w:rPr>
              <w:t>0.0010%</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交银施罗德活期通货币市场基金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7</w:t>
      </w:r>
      <w:r w:rsidR="00D87D00" w:rsidRPr="000E4C40">
        <w:rPr>
          <w:color w:val="000000"/>
          <w:kern w:val="0"/>
          <w:sz w:val="24"/>
        </w:rPr>
        <w:t>月</w:t>
      </w:r>
      <w:r w:rsidR="00D87D00" w:rsidRPr="000E4C40">
        <w:rPr>
          <w:color w:val="000000"/>
          <w:kern w:val="0"/>
          <w:sz w:val="24"/>
        </w:rPr>
        <w:t>27</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2019</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交银活期</w:t>
      </w:r>
      <w:proofErr w:type="gramStart"/>
      <w:r w:rsidRPr="000E4C40">
        <w:rPr>
          <w:color w:val="000000"/>
          <w:kern w:val="0"/>
          <w:sz w:val="24"/>
        </w:rPr>
        <w:t>通货币</w:t>
      </w:r>
      <w:proofErr w:type="gramEnd"/>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w:t>
      </w:r>
      <w:r w:rsidRPr="000E4C40">
        <w:rPr>
          <w:color w:val="000000"/>
          <w:sz w:val="24"/>
        </w:rPr>
        <w:lastRenderedPageBreak/>
        <w:t>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交银活期</w:t>
      </w:r>
      <w:proofErr w:type="gramStart"/>
      <w:r w:rsidR="005F668B" w:rsidRPr="000E4C40">
        <w:rPr>
          <w:color w:val="000000"/>
          <w:kern w:val="0"/>
          <w:sz w:val="24"/>
        </w:rPr>
        <w:t>通货币</w:t>
      </w:r>
      <w:proofErr w:type="gramEnd"/>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roofErr w:type="gramStart"/>
            <w:r w:rsidRPr="000E4C40">
              <w:rPr>
                <w:rFonts w:hAnsi="宋体"/>
                <w:color w:val="000000"/>
                <w:kern w:val="0"/>
                <w:sz w:val="24"/>
              </w:rPr>
              <w:t>任本基金</w:t>
            </w:r>
            <w:proofErr w:type="gramEnd"/>
            <w:r w:rsidRPr="000E4C40">
              <w:rPr>
                <w:rFonts w:hAnsi="宋体"/>
                <w:color w:val="000000"/>
                <w:kern w:val="0"/>
                <w:sz w:val="24"/>
              </w:rPr>
              <w:t>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A81BCB">
        <w:trPr>
          <w:jc w:val="center"/>
        </w:trPr>
        <w:tc>
          <w:tcPr>
            <w:tcW w:w="945" w:type="dxa"/>
            <w:vAlign w:val="center"/>
          </w:tcPr>
          <w:p w:rsidR="00A81BCB" w:rsidRDefault="00F023C7">
            <w:pPr>
              <w:jc w:val="center"/>
            </w:pPr>
            <w:r>
              <w:rPr>
                <w:color w:val="000000"/>
                <w:sz w:val="24"/>
              </w:rPr>
              <w:t>黄莹洁</w:t>
            </w:r>
          </w:p>
        </w:tc>
        <w:tc>
          <w:tcPr>
            <w:tcW w:w="1589" w:type="dxa"/>
            <w:vAlign w:val="center"/>
          </w:tcPr>
          <w:p w:rsidR="00A81BCB" w:rsidRDefault="00F023C7">
            <w:pPr>
              <w:jc w:val="center"/>
            </w:pPr>
            <w:r>
              <w:rPr>
                <w:color w:val="000000"/>
                <w:sz w:val="24"/>
              </w:rPr>
              <w:t>交银货币、交银理财</w:t>
            </w:r>
            <w:r>
              <w:rPr>
                <w:color w:val="000000"/>
                <w:sz w:val="24"/>
              </w:rPr>
              <w:t>21</w:t>
            </w:r>
            <w:r>
              <w:rPr>
                <w:color w:val="000000"/>
                <w:sz w:val="24"/>
              </w:rPr>
              <w:t>天债券、交银现金宝货币、交</w:t>
            </w:r>
            <w:proofErr w:type="gramStart"/>
            <w:r>
              <w:rPr>
                <w:color w:val="000000"/>
                <w:sz w:val="24"/>
              </w:rPr>
              <w:t>银丰享收益债券</w:t>
            </w:r>
            <w:proofErr w:type="gramEnd"/>
            <w:r>
              <w:rPr>
                <w:color w:val="000000"/>
                <w:sz w:val="24"/>
              </w:rPr>
              <w:t>、交</w:t>
            </w:r>
            <w:proofErr w:type="gramStart"/>
            <w:r>
              <w:rPr>
                <w:color w:val="000000"/>
                <w:sz w:val="24"/>
              </w:rPr>
              <w:t>银裕通纯债</w:t>
            </w:r>
            <w:proofErr w:type="gramEnd"/>
            <w:r>
              <w:rPr>
                <w:color w:val="000000"/>
                <w:sz w:val="24"/>
              </w:rPr>
              <w:t>债券、交银活期通货币、交银天</w:t>
            </w:r>
            <w:r>
              <w:rPr>
                <w:color w:val="000000"/>
                <w:sz w:val="24"/>
              </w:rPr>
              <w:lastRenderedPageBreak/>
              <w:t>利宝货币、交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收益债券、交银稳</w:t>
            </w:r>
            <w:proofErr w:type="gramStart"/>
            <w:r>
              <w:rPr>
                <w:color w:val="000000"/>
                <w:sz w:val="24"/>
              </w:rPr>
              <w:t>鑫</w:t>
            </w:r>
            <w:proofErr w:type="gramEnd"/>
            <w:r>
              <w:rPr>
                <w:color w:val="000000"/>
                <w:sz w:val="24"/>
              </w:rPr>
              <w:t>短债债券的基金经理</w:t>
            </w:r>
          </w:p>
        </w:tc>
        <w:tc>
          <w:tcPr>
            <w:tcW w:w="1478" w:type="dxa"/>
            <w:vAlign w:val="center"/>
          </w:tcPr>
          <w:p w:rsidR="00A81BCB" w:rsidRDefault="00F023C7">
            <w:pPr>
              <w:jc w:val="center"/>
            </w:pPr>
            <w:r>
              <w:rPr>
                <w:color w:val="000000"/>
                <w:sz w:val="24"/>
              </w:rPr>
              <w:lastRenderedPageBreak/>
              <w:t>2016-07-27</w:t>
            </w:r>
          </w:p>
        </w:tc>
        <w:tc>
          <w:tcPr>
            <w:tcW w:w="1478" w:type="dxa"/>
            <w:vAlign w:val="center"/>
          </w:tcPr>
          <w:p w:rsidR="00A81BCB" w:rsidRDefault="00F023C7">
            <w:pPr>
              <w:jc w:val="center"/>
            </w:pPr>
            <w:r>
              <w:rPr>
                <w:color w:val="000000"/>
                <w:sz w:val="24"/>
              </w:rPr>
              <w:t>-</w:t>
            </w:r>
          </w:p>
        </w:tc>
        <w:tc>
          <w:tcPr>
            <w:tcW w:w="986" w:type="dxa"/>
            <w:vAlign w:val="center"/>
          </w:tcPr>
          <w:p w:rsidR="00A81BCB" w:rsidRDefault="00F023C7">
            <w:pPr>
              <w:jc w:val="center"/>
            </w:pPr>
            <w:r>
              <w:rPr>
                <w:color w:val="000000"/>
                <w:sz w:val="24"/>
              </w:rPr>
              <w:t>11</w:t>
            </w:r>
            <w:r>
              <w:rPr>
                <w:color w:val="000000"/>
                <w:sz w:val="24"/>
              </w:rPr>
              <w:t>年</w:t>
            </w:r>
          </w:p>
        </w:tc>
        <w:tc>
          <w:tcPr>
            <w:tcW w:w="2392" w:type="dxa"/>
            <w:vAlign w:val="center"/>
          </w:tcPr>
          <w:p w:rsidR="00A81BCB" w:rsidRDefault="00F023C7">
            <w:r>
              <w:rPr>
                <w:color w:val="000000"/>
                <w:sz w:val="24"/>
              </w:rPr>
              <w:t>黄莹洁女士，香港大学工商管理硕士、北京大学经济学、管理学双学士。历任中</w:t>
            </w:r>
            <w:proofErr w:type="gramStart"/>
            <w:r>
              <w:rPr>
                <w:color w:val="000000"/>
                <w:sz w:val="24"/>
              </w:rPr>
              <w:t>海基金</w:t>
            </w:r>
            <w:proofErr w:type="gramEnd"/>
            <w:r>
              <w:rPr>
                <w:color w:val="000000"/>
                <w:sz w:val="24"/>
              </w:rPr>
              <w:t>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lastRenderedPageBreak/>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A81BCB">
        <w:trPr>
          <w:jc w:val="center"/>
        </w:trPr>
        <w:tc>
          <w:tcPr>
            <w:tcW w:w="945" w:type="dxa"/>
            <w:vAlign w:val="center"/>
          </w:tcPr>
          <w:p w:rsidR="00A81BCB" w:rsidRDefault="00F023C7">
            <w:pPr>
              <w:jc w:val="center"/>
            </w:pPr>
            <w:proofErr w:type="gramStart"/>
            <w:r>
              <w:rPr>
                <w:color w:val="000000"/>
                <w:sz w:val="24"/>
              </w:rPr>
              <w:lastRenderedPageBreak/>
              <w:t>连端清</w:t>
            </w:r>
            <w:proofErr w:type="gramEnd"/>
          </w:p>
        </w:tc>
        <w:tc>
          <w:tcPr>
            <w:tcW w:w="1589" w:type="dxa"/>
            <w:vAlign w:val="center"/>
          </w:tcPr>
          <w:p w:rsidR="00A81BCB" w:rsidRDefault="00F023C7">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w:t>
            </w:r>
            <w:proofErr w:type="gramStart"/>
            <w:r>
              <w:rPr>
                <w:color w:val="000000"/>
                <w:sz w:val="24"/>
              </w:rPr>
              <w:t>银裕盈纯债</w:t>
            </w:r>
            <w:proofErr w:type="gramEnd"/>
            <w:r>
              <w:rPr>
                <w:color w:val="000000"/>
                <w:sz w:val="24"/>
              </w:rPr>
              <w:t>债券、交</w:t>
            </w:r>
            <w:proofErr w:type="gramStart"/>
            <w:r>
              <w:rPr>
                <w:color w:val="000000"/>
                <w:sz w:val="24"/>
              </w:rPr>
              <w:t>银裕利纯债</w:t>
            </w:r>
            <w:proofErr w:type="gramEnd"/>
            <w:r>
              <w:rPr>
                <w:color w:val="000000"/>
                <w:sz w:val="24"/>
              </w:rPr>
              <w:t>债券、交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收益债券、交银天运</w:t>
            </w:r>
            <w:proofErr w:type="gramStart"/>
            <w:r>
              <w:rPr>
                <w:color w:val="000000"/>
                <w:sz w:val="24"/>
              </w:rPr>
              <w:t>宝货币</w:t>
            </w:r>
            <w:proofErr w:type="gramEnd"/>
            <w:r>
              <w:rPr>
                <w:color w:val="000000"/>
                <w:sz w:val="24"/>
              </w:rPr>
              <w:t>的基金经理</w:t>
            </w:r>
          </w:p>
        </w:tc>
        <w:tc>
          <w:tcPr>
            <w:tcW w:w="1478" w:type="dxa"/>
            <w:vAlign w:val="center"/>
          </w:tcPr>
          <w:p w:rsidR="00A81BCB" w:rsidRDefault="00F023C7">
            <w:pPr>
              <w:jc w:val="center"/>
            </w:pPr>
            <w:r>
              <w:rPr>
                <w:color w:val="000000"/>
                <w:sz w:val="24"/>
              </w:rPr>
              <w:t>2016-07-27</w:t>
            </w:r>
          </w:p>
        </w:tc>
        <w:tc>
          <w:tcPr>
            <w:tcW w:w="1478" w:type="dxa"/>
            <w:vAlign w:val="center"/>
          </w:tcPr>
          <w:p w:rsidR="00A81BCB" w:rsidRDefault="00F023C7">
            <w:pPr>
              <w:jc w:val="center"/>
            </w:pPr>
            <w:r>
              <w:rPr>
                <w:color w:val="000000"/>
                <w:sz w:val="24"/>
              </w:rPr>
              <w:t>-</w:t>
            </w:r>
          </w:p>
        </w:tc>
        <w:tc>
          <w:tcPr>
            <w:tcW w:w="986" w:type="dxa"/>
            <w:vAlign w:val="center"/>
          </w:tcPr>
          <w:p w:rsidR="00A81BCB" w:rsidRDefault="00F023C7">
            <w:pPr>
              <w:jc w:val="center"/>
            </w:pPr>
            <w:r>
              <w:rPr>
                <w:color w:val="000000"/>
                <w:sz w:val="24"/>
              </w:rPr>
              <w:t>6</w:t>
            </w:r>
            <w:r>
              <w:rPr>
                <w:color w:val="000000"/>
                <w:sz w:val="24"/>
              </w:rPr>
              <w:t>年</w:t>
            </w:r>
          </w:p>
        </w:tc>
        <w:tc>
          <w:tcPr>
            <w:tcW w:w="2392" w:type="dxa"/>
            <w:vAlign w:val="center"/>
          </w:tcPr>
          <w:p w:rsidR="00A81BCB" w:rsidRDefault="00F023C7">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w:t>
            </w:r>
            <w:proofErr w:type="gramStart"/>
            <w:r>
              <w:rPr>
                <w:color w:val="000000"/>
                <w:sz w:val="24"/>
              </w:rPr>
              <w:t>兴纯债</w:t>
            </w:r>
            <w:proofErr w:type="gramEnd"/>
            <w:r>
              <w:rPr>
                <w:color w:val="000000"/>
                <w:sz w:val="24"/>
              </w:rPr>
              <w:t>债券型证券投资基金的基金经理。</w:t>
            </w:r>
          </w:p>
        </w:tc>
      </w:tr>
    </w:tbl>
    <w:p w:rsidR="00A81BCB" w:rsidRDefault="00F023C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w:t>
      </w:r>
      <w:proofErr w:type="gramStart"/>
      <w:r>
        <w:rPr>
          <w:color w:val="000000"/>
          <w:sz w:val="24"/>
        </w:rPr>
        <w:t>作出</w:t>
      </w:r>
      <w:proofErr w:type="gramEnd"/>
      <w:r>
        <w:rPr>
          <w:color w:val="000000"/>
          <w:sz w:val="24"/>
        </w:rPr>
        <w:t>决定并公告</w:t>
      </w:r>
      <w:r>
        <w:rPr>
          <w:color w:val="000000"/>
          <w:sz w:val="24"/>
        </w:rPr>
        <w:t>(</w:t>
      </w:r>
      <w:r>
        <w:rPr>
          <w:color w:val="000000"/>
          <w:sz w:val="24"/>
        </w:rPr>
        <w:t>如适用</w:t>
      </w:r>
      <w:r>
        <w:rPr>
          <w:color w:val="000000"/>
          <w:sz w:val="24"/>
        </w:rPr>
        <w:t>)</w:t>
      </w:r>
      <w:r>
        <w:rPr>
          <w:color w:val="000000"/>
          <w:sz w:val="24"/>
        </w:rPr>
        <w:t>之日为准；</w:t>
      </w:r>
    </w:p>
    <w:p w:rsidR="00A81BCB" w:rsidRDefault="00F023C7">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lastRenderedPageBreak/>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A81BCB" w:rsidRDefault="00F023C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81BCB" w:rsidRDefault="00F023C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81BCB" w:rsidRDefault="00F023C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本基金于本报告期内未发现异常交易行为。本报告期内，本公司管理的所有投资组合参与的交易所公开竞价同日反向交易成交较少的单边交易量超过该证券当日总成交量</w:t>
      </w:r>
      <w:r w:rsidRPr="000E4C40">
        <w:rPr>
          <w:color w:val="000000"/>
          <w:sz w:val="24"/>
        </w:rPr>
        <w:t>5%</w:t>
      </w:r>
      <w:r w:rsidRPr="000E4C40">
        <w:rPr>
          <w:color w:val="000000"/>
          <w:sz w:val="24"/>
        </w:rPr>
        <w:t>的情况有</w:t>
      </w:r>
      <w:r w:rsidRPr="000E4C40">
        <w:rPr>
          <w:color w:val="000000"/>
          <w:sz w:val="24"/>
        </w:rPr>
        <w:t>1</w:t>
      </w:r>
      <w:r w:rsidRPr="000E4C40">
        <w:rPr>
          <w:color w:val="000000"/>
          <w:sz w:val="24"/>
        </w:rPr>
        <w:t>次，是投资</w:t>
      </w:r>
      <w:proofErr w:type="gramStart"/>
      <w:r w:rsidRPr="000E4C40">
        <w:rPr>
          <w:color w:val="000000"/>
          <w:sz w:val="24"/>
        </w:rPr>
        <w:t>组合因</w:t>
      </w:r>
      <w:proofErr w:type="gramEnd"/>
      <w:r w:rsidRPr="000E4C40">
        <w:rPr>
          <w:color w:val="000000"/>
          <w:sz w:val="24"/>
        </w:rPr>
        <w:t>投资策略需要而发生同日反向交易，未发现不公平交易和利益输送的情况。本基金与本公司管理的其他投资组合在不同时间窗下（如日内、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日内）同向交易的交易价差未发现异常。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A81BCB" w:rsidRDefault="00F023C7">
      <w:pPr>
        <w:spacing w:before="29" w:line="288" w:lineRule="auto"/>
        <w:ind w:firstLineChars="200" w:firstLine="480"/>
        <w:rPr>
          <w:color w:val="000000"/>
          <w:sz w:val="24"/>
        </w:rPr>
      </w:pPr>
      <w:r>
        <w:rPr>
          <w:color w:val="000000"/>
          <w:sz w:val="24"/>
        </w:rPr>
        <w:t>2019</w:t>
      </w:r>
      <w:r>
        <w:rPr>
          <w:color w:val="000000"/>
          <w:sz w:val="24"/>
        </w:rPr>
        <w:t>年二季度，国内固定资产投资增速放缓，中美贸易谈判再遇波折，叠加海外发达经济体增速显著放缓等影响，国内宏观经济再次走弱。房地产投资增速从高位开始下降，基建投资</w:t>
      </w:r>
      <w:proofErr w:type="gramStart"/>
      <w:r>
        <w:rPr>
          <w:color w:val="000000"/>
          <w:sz w:val="24"/>
        </w:rPr>
        <w:t>稳增长</w:t>
      </w:r>
      <w:proofErr w:type="gramEnd"/>
      <w:r>
        <w:rPr>
          <w:color w:val="000000"/>
          <w:sz w:val="24"/>
        </w:rPr>
        <w:t>比较乏力，二季度固定资产投资增速下行承压。受中美贸易谈判波折等因素影响，二季度制造业景气度下降，中采制造业</w:t>
      </w:r>
      <w:r>
        <w:rPr>
          <w:color w:val="000000"/>
          <w:sz w:val="24"/>
        </w:rPr>
        <w:t>PMI</w:t>
      </w:r>
      <w:r>
        <w:rPr>
          <w:color w:val="000000"/>
          <w:sz w:val="24"/>
        </w:rPr>
        <w:t>再次降至荣枯线以下。中美</w:t>
      </w:r>
      <w:r>
        <w:rPr>
          <w:color w:val="000000"/>
          <w:sz w:val="24"/>
        </w:rPr>
        <w:lastRenderedPageBreak/>
        <w:t>贸易谈判在五月再次遇阻，美方在贸易领域、科技等领域对我国进一步施压，再次影响到企业与市场投资者的信心。受猪肉与果蔬等价格大幅上涨的结构性因素影响，二季度国内</w:t>
      </w:r>
      <w:r>
        <w:rPr>
          <w:color w:val="000000"/>
          <w:sz w:val="24"/>
        </w:rPr>
        <w:t>CPI</w:t>
      </w:r>
      <w:r>
        <w:rPr>
          <w:color w:val="000000"/>
          <w:sz w:val="24"/>
        </w:rPr>
        <w:t>上行承压。在海外，美日欧等发达经济体存在下行压力。货币政策上，由于一季度国内经济有回暖迹象，四月央行货币政策边际上向中性回归，但是五月中美贸易战硝烟再起，加上个别银行信用风险暴露影响货币市场流动性，央行于五月下旬再次加大了公开市场投放力度，二季度央行在公开市场净投放</w:t>
      </w:r>
      <w:r>
        <w:rPr>
          <w:color w:val="000000"/>
          <w:sz w:val="24"/>
        </w:rPr>
        <w:t>7784</w:t>
      </w:r>
      <w:r>
        <w:rPr>
          <w:color w:val="000000"/>
          <w:sz w:val="24"/>
        </w:rPr>
        <w:t>亿。</w:t>
      </w:r>
    </w:p>
    <w:p w:rsidR="00A81BCB" w:rsidRDefault="00F023C7">
      <w:pPr>
        <w:spacing w:before="29" w:line="288" w:lineRule="auto"/>
        <w:ind w:firstLineChars="200" w:firstLine="480"/>
        <w:rPr>
          <w:color w:val="000000"/>
          <w:sz w:val="24"/>
        </w:rPr>
      </w:pPr>
      <w:r>
        <w:rPr>
          <w:color w:val="000000"/>
          <w:sz w:val="24"/>
        </w:rPr>
        <w:t>资金面上，受缴税、央行公开市场操作等因素影响，二季度货币市场资金面比较波折。四月中下旬市场资金面曾一度趋紧，五月下旬个别银行信用风险暴露后，资金供给方大幅提高融资质押门槛，市场资金面大幅趋紧。但随后在央行释放流动性及其他监管机构</w:t>
      </w:r>
      <w:proofErr w:type="gramStart"/>
      <w:r>
        <w:rPr>
          <w:color w:val="000000"/>
          <w:sz w:val="24"/>
        </w:rPr>
        <w:t>协调维稳下</w:t>
      </w:r>
      <w:proofErr w:type="gramEnd"/>
      <w:r>
        <w:rPr>
          <w:color w:val="000000"/>
          <w:sz w:val="24"/>
        </w:rPr>
        <w:t>，资金</w:t>
      </w:r>
      <w:proofErr w:type="gramStart"/>
      <w:r>
        <w:rPr>
          <w:color w:val="000000"/>
          <w:sz w:val="24"/>
        </w:rPr>
        <w:t>面整体</w:t>
      </w:r>
      <w:proofErr w:type="gramEnd"/>
      <w:r>
        <w:rPr>
          <w:color w:val="000000"/>
          <w:sz w:val="24"/>
        </w:rPr>
        <w:t>上趋于宽松，六月下旬市场流动性非常宽松，持有高等级</w:t>
      </w:r>
      <w:proofErr w:type="gramStart"/>
      <w:r>
        <w:rPr>
          <w:color w:val="000000"/>
          <w:sz w:val="24"/>
        </w:rPr>
        <w:t>券</w:t>
      </w:r>
      <w:proofErr w:type="gramEnd"/>
      <w:r>
        <w:rPr>
          <w:color w:val="000000"/>
          <w:sz w:val="24"/>
        </w:rPr>
        <w:t>的融资方轻松跨季，高等级存单收益率降至历史较低位置。受中美贸易谈判扰动，经济数据波动，以及央行货币政策操作边际变化等影响，二季度债市较为波折，整体上呈震荡整理格局。</w:t>
      </w:r>
    </w:p>
    <w:p w:rsidR="00A81BCB" w:rsidRDefault="00F023C7">
      <w:pPr>
        <w:spacing w:before="29" w:line="288" w:lineRule="auto"/>
        <w:ind w:firstLineChars="200" w:firstLine="480"/>
        <w:rPr>
          <w:color w:val="000000"/>
          <w:sz w:val="24"/>
        </w:rPr>
      </w:pPr>
      <w:r>
        <w:rPr>
          <w:color w:val="000000"/>
          <w:sz w:val="24"/>
        </w:rPr>
        <w:t>基金操作方面，报告期内本基金保持适度流动性满足客户赎回需求，管控信用风险，择机调整组合杠杆与久期。根据市场情况灵活调整存款存单与</w:t>
      </w:r>
      <w:proofErr w:type="gramStart"/>
      <w:r>
        <w:rPr>
          <w:color w:val="000000"/>
          <w:sz w:val="24"/>
        </w:rPr>
        <w:t>短融等</w:t>
      </w:r>
      <w:proofErr w:type="gramEnd"/>
      <w:r>
        <w:rPr>
          <w:color w:val="000000"/>
          <w:sz w:val="24"/>
        </w:rPr>
        <w:t>投资品种的配置比例，择</w:t>
      </w:r>
      <w:proofErr w:type="gramStart"/>
      <w:r>
        <w:rPr>
          <w:color w:val="000000"/>
          <w:sz w:val="24"/>
        </w:rPr>
        <w:t>机加大</w:t>
      </w:r>
      <w:proofErr w:type="gramEnd"/>
      <w:r>
        <w:rPr>
          <w:color w:val="000000"/>
          <w:sz w:val="24"/>
        </w:rPr>
        <w:t>存款存单以及</w:t>
      </w:r>
      <w:proofErr w:type="gramStart"/>
      <w:r>
        <w:rPr>
          <w:color w:val="000000"/>
          <w:sz w:val="24"/>
        </w:rPr>
        <w:t>短融等</w:t>
      </w:r>
      <w:proofErr w:type="gramEnd"/>
      <w:r>
        <w:rPr>
          <w:color w:val="000000"/>
          <w:sz w:val="24"/>
        </w:rPr>
        <w:t>的配置力度，为持有人创造了稳健的回报。</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2019</w:t>
      </w:r>
      <w:r w:rsidRPr="000E4C40">
        <w:rPr>
          <w:color w:val="000000"/>
          <w:sz w:val="24"/>
        </w:rPr>
        <w:t>年三季度，考虑中美贸易战的扰动以及固定资产投资增长乏力等因素，国内经济继续放缓的概率较高。但是，大阪</w:t>
      </w:r>
      <w:r w:rsidRPr="000E4C40">
        <w:rPr>
          <w:color w:val="000000"/>
          <w:sz w:val="24"/>
        </w:rPr>
        <w:t>G20</w:t>
      </w:r>
      <w:r w:rsidRPr="000E4C40">
        <w:rPr>
          <w:color w:val="000000"/>
          <w:sz w:val="24"/>
        </w:rPr>
        <w:t>中美元首会晤后中美贸易谈判再现曙光以及国内减税降</w:t>
      </w:r>
      <w:proofErr w:type="gramStart"/>
      <w:r w:rsidRPr="000E4C40">
        <w:rPr>
          <w:color w:val="000000"/>
          <w:sz w:val="24"/>
        </w:rPr>
        <w:t>费财政</w:t>
      </w:r>
      <w:proofErr w:type="gramEnd"/>
      <w:r w:rsidRPr="000E4C40">
        <w:rPr>
          <w:color w:val="000000"/>
          <w:sz w:val="24"/>
        </w:rPr>
        <w:t>政策推进与改革开放力度加大，可能增强国内经济运行的韧劲。预计短期内人</w:t>
      </w:r>
      <w:proofErr w:type="gramStart"/>
      <w:r w:rsidRPr="000E4C40">
        <w:rPr>
          <w:color w:val="000000"/>
          <w:sz w:val="24"/>
        </w:rPr>
        <w:t>行货币</w:t>
      </w:r>
      <w:proofErr w:type="gramEnd"/>
      <w:r w:rsidRPr="000E4C40">
        <w:rPr>
          <w:color w:val="000000"/>
          <w:sz w:val="24"/>
        </w:rPr>
        <w:t>政策将维持中性偏松，保持逆周期调节作用，但公开市场操作边际上可能会再次收紧一些。我们将密切关注中美贸易谈判的进展以及中央经济政策动态。组合管理方面，本基金将跟踪</w:t>
      </w:r>
      <w:proofErr w:type="gramStart"/>
      <w:r w:rsidRPr="000E4C40">
        <w:rPr>
          <w:color w:val="000000"/>
          <w:sz w:val="24"/>
        </w:rPr>
        <w:t>研</w:t>
      </w:r>
      <w:proofErr w:type="gramEnd"/>
      <w:r w:rsidRPr="000E4C40">
        <w:rPr>
          <w:color w:val="000000"/>
          <w:sz w:val="24"/>
        </w:rPr>
        <w:t>判宏观经济走势与央行货币政策操作，保持较好的流动性，力求把握市场机会，尽力控制风险，努力为投资者创造稳健的回报。</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本基金（各类）份额净值及业绩表现请见</w:t>
      </w:r>
      <w:r w:rsidRPr="000E4C40">
        <w:rPr>
          <w:color w:val="000000"/>
          <w:sz w:val="24"/>
        </w:rPr>
        <w:t xml:space="preserve">“3.1 </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“3.2.1</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 xml:space="preserve">§5  </w:t>
      </w:r>
      <w:r w:rsidRPr="000E4C40">
        <w:rPr>
          <w:rFonts w:hAnsi="宋体"/>
          <w:color w:val="000000"/>
          <w:kern w:val="0"/>
          <w:sz w:val="24"/>
          <w:szCs w:val="24"/>
        </w:rPr>
        <w:t>投资组合报告</w:t>
      </w:r>
    </w:p>
    <w:p w:rsidR="00902E3F" w:rsidRDefault="00902E3F" w:rsidP="00281564">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R="000F4B69" w:rsidRPr="000F4B69" w:rsidRDefault="000F4B69" w:rsidP="000F4B69">
      <w:pPr>
        <w:spacing w:before="29" w:line="288" w:lineRule="auto"/>
        <w:jc w:val="right"/>
        <w:rPr>
          <w:color w:val="000000"/>
          <w:kern w:val="0"/>
          <w:sz w:val="24"/>
        </w:rPr>
      </w:pPr>
      <w:r w:rsidRPr="000F4B69">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20,152,752,822.90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57.79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19,981,975,636.61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57.30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170,777,186.29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0.49</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3,057,682,573.02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8.77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11,557,982,411.79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33.14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104,286,640.11</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0.30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34,872,704,447.82</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4.73</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8E3415">
            <w:pPr>
              <w:spacing w:before="29" w:line="288" w:lineRule="auto"/>
              <w:jc w:val="center"/>
              <w:rPr>
                <w:sz w:val="24"/>
              </w:rPr>
            </w:pPr>
            <w:r w:rsidRPr="000E4C40">
              <w:rPr>
                <w:rFonts w:hAnsi="宋体"/>
                <w:sz w:val="24"/>
              </w:rPr>
              <w:t>金额</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1,493,578,453.20</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4.48</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lastRenderedPageBreak/>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87</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100</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55</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1174AF">
            <w:pPr>
              <w:autoSpaceDE w:val="0"/>
              <w:autoSpaceDN w:val="0"/>
              <w:adjustRightInd w:val="0"/>
              <w:spacing w:before="29" w:line="288" w:lineRule="auto"/>
              <w:ind w:left="15"/>
              <w:jc w:val="right"/>
              <w:rPr>
                <w:color w:val="000000"/>
                <w:kern w:val="0"/>
                <w:sz w:val="24"/>
              </w:rPr>
            </w:pPr>
            <w:r w:rsidRPr="000E4C40">
              <w:rPr>
                <w:color w:val="000000"/>
                <w:sz w:val="24"/>
              </w:rPr>
              <w:t>12.</w:t>
            </w:r>
            <w:r w:rsidR="001174AF" w:rsidRPr="000E4C40">
              <w:rPr>
                <w:color w:val="000000"/>
                <w:sz w:val="24"/>
              </w:rPr>
              <w:t>8</w:t>
            </w:r>
            <w:r w:rsidR="001174AF">
              <w:rPr>
                <w:color w:val="000000"/>
                <w:sz w:val="24"/>
              </w:rPr>
              <w:t>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4.48</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15.63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50.67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2.46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22.58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1174AF">
            <w:pPr>
              <w:autoSpaceDE w:val="0"/>
              <w:autoSpaceDN w:val="0"/>
              <w:adjustRightInd w:val="0"/>
              <w:spacing w:before="29" w:line="288" w:lineRule="auto"/>
              <w:ind w:left="15"/>
              <w:jc w:val="right"/>
              <w:rPr>
                <w:color w:val="000000"/>
                <w:kern w:val="0"/>
                <w:sz w:val="24"/>
              </w:rPr>
            </w:pPr>
            <w:r w:rsidRPr="000E4C40">
              <w:rPr>
                <w:color w:val="000000"/>
                <w:sz w:val="24"/>
              </w:rPr>
              <w:t>104.</w:t>
            </w:r>
            <w:bookmarkStart w:id="2" w:name="_GoBack"/>
            <w:bookmarkEnd w:id="2"/>
            <w:r w:rsidR="001174AF">
              <w:rPr>
                <w:color w:val="000000"/>
                <w:sz w:val="24"/>
              </w:rPr>
              <w:t>22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4.48</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lastRenderedPageBreak/>
        <w:t>5.5</w:t>
      </w:r>
      <w:r w:rsidR="00902E3F" w:rsidRPr="000E4C40">
        <w:rPr>
          <w:rFonts w:hAnsi="宋体"/>
          <w:b/>
          <w:color w:val="000000"/>
          <w:kern w:val="0"/>
          <w:sz w:val="24"/>
        </w:rPr>
        <w:t>报告期末按债券品种分类的债券投资组合</w:t>
      </w:r>
    </w:p>
    <w:p w:rsidR="00FE3EEE" w:rsidRPr="00FE3EEE" w:rsidRDefault="00FE3EEE" w:rsidP="00FE3EEE">
      <w:pPr>
        <w:spacing w:before="29" w:line="288" w:lineRule="auto"/>
        <w:jc w:val="right"/>
        <w:rPr>
          <w:color w:val="000000"/>
          <w:kern w:val="0"/>
          <w:sz w:val="24"/>
        </w:rPr>
      </w:pPr>
      <w:r w:rsidRPr="00FE3EEE">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FE3EEE" w:rsidP="00281564">
            <w:pPr>
              <w:spacing w:before="29" w:line="288" w:lineRule="auto"/>
              <w:ind w:left="17"/>
              <w:jc w:val="center"/>
              <w:rPr>
                <w:color w:val="000000"/>
                <w:sz w:val="24"/>
              </w:rPr>
            </w:pPr>
            <w:r>
              <w:rPr>
                <w:rFonts w:hAnsi="宋体"/>
                <w:sz w:val="24"/>
              </w:rPr>
              <w:t>摊</w:t>
            </w:r>
            <w:proofErr w:type="gramStart"/>
            <w:r>
              <w:rPr>
                <w:rFonts w:hAnsi="宋体"/>
                <w:sz w:val="24"/>
              </w:rPr>
              <w:t>余成本</w:t>
            </w:r>
            <w:proofErr w:type="gramEnd"/>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1,224,747,755.28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3.67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540,813,828.17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1.62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540,813,828.17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1.62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50,582,505.12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0.15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proofErr w:type="gramStart"/>
            <w:r w:rsidR="00BC0205" w:rsidRPr="000E4C40">
              <w:rPr>
                <w:rFonts w:hAnsi="宋体"/>
                <w:color w:val="000000"/>
                <w:sz w:val="24"/>
              </w:rPr>
              <w:t>券</w:t>
            </w:r>
            <w:proofErr w:type="gramEnd"/>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5,099,415,525.87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15.29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240,937,935.47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0.72</w:t>
            </w:r>
          </w:p>
        </w:tc>
      </w:tr>
      <w:tr w:rsidR="00F41AA6" w:rsidRPr="000E4C40" w:rsidTr="00FE3EEE">
        <w:trPr>
          <w:jc w:val="center"/>
        </w:trPr>
        <w:tc>
          <w:tcPr>
            <w:tcW w:w="786" w:type="dxa"/>
            <w:vAlign w:val="center"/>
          </w:tcPr>
          <w:p w:rsidR="00F41AA6" w:rsidRPr="00432A2C" w:rsidRDefault="00F41AA6" w:rsidP="00FE3EEE">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FE3EEE">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12,825,478,086.70</w:t>
            </w:r>
          </w:p>
        </w:tc>
        <w:tc>
          <w:tcPr>
            <w:tcW w:w="1889"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38.44</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19,981,975,636.61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59.89</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w:t>
      </w:r>
      <w:proofErr w:type="gramStart"/>
      <w:r w:rsidR="00902E3F" w:rsidRPr="000E4C40">
        <w:rPr>
          <w:rFonts w:hAnsi="宋体"/>
          <w:b/>
          <w:color w:val="000000"/>
          <w:kern w:val="0"/>
          <w:sz w:val="24"/>
        </w:rPr>
        <w:t>按摊余成本</w:t>
      </w:r>
      <w:proofErr w:type="gramEnd"/>
      <w:r w:rsidR="00902E3F" w:rsidRPr="000E4C40">
        <w:rPr>
          <w:rFonts w:hAnsi="宋体"/>
          <w:b/>
          <w:color w:val="000000"/>
          <w:kern w:val="0"/>
          <w:sz w:val="24"/>
        </w:rPr>
        <w:t>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R="00E5775C" w:rsidRPr="00E5775C" w:rsidRDefault="00E5775C" w:rsidP="00E5775C">
      <w:pPr>
        <w:spacing w:before="29" w:line="288" w:lineRule="auto"/>
        <w:jc w:val="right"/>
        <w:rPr>
          <w:color w:val="000000"/>
          <w:kern w:val="0"/>
          <w:sz w:val="24"/>
        </w:rPr>
      </w:pPr>
      <w:r w:rsidRPr="00E5775C">
        <w:rPr>
          <w:rFonts w:hint="eastAsia"/>
          <w:color w:val="000000"/>
          <w:kern w:val="0"/>
          <w:sz w:val="24"/>
        </w:rPr>
        <w:t>金额单位：人民币元</w:t>
      </w:r>
    </w:p>
    <w:tbl>
      <w:tblPr>
        <w:tblStyle w:val="aa"/>
        <w:tblW w:w="8868" w:type="dxa"/>
        <w:jc w:val="center"/>
        <w:tblCellMar>
          <w:top w:w="57" w:type="dxa"/>
          <w:bottom w:w="57" w:type="dxa"/>
        </w:tblCellMar>
        <w:tblLook w:val="04A0" w:firstRow="1" w:lastRow="0" w:firstColumn="1" w:lastColumn="0" w:noHBand="0" w:noVBand="1"/>
      </w:tblPr>
      <w:tblGrid>
        <w:gridCol w:w="853"/>
        <w:gridCol w:w="1279"/>
        <w:gridCol w:w="2130"/>
        <w:gridCol w:w="1208"/>
        <w:gridCol w:w="2061"/>
        <w:gridCol w:w="1337"/>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B11578" w:rsidP="00281564">
            <w:pPr>
              <w:autoSpaceDE w:val="0"/>
              <w:autoSpaceDN w:val="0"/>
              <w:adjustRightInd w:val="0"/>
              <w:spacing w:before="29" w:line="288" w:lineRule="auto"/>
              <w:ind w:left="15"/>
              <w:jc w:val="center"/>
              <w:rPr>
                <w:color w:val="000000"/>
                <w:kern w:val="0"/>
                <w:sz w:val="24"/>
              </w:rPr>
            </w:pPr>
            <w:r>
              <w:rPr>
                <w:rFonts w:hint="eastAsia"/>
                <w:color w:val="000000"/>
                <w:kern w:val="0"/>
                <w:sz w:val="24"/>
              </w:rPr>
              <w:t>（张）</w:t>
            </w:r>
          </w:p>
        </w:tc>
        <w:tc>
          <w:tcPr>
            <w:tcW w:w="2360" w:type="dxa"/>
            <w:vAlign w:val="center"/>
          </w:tcPr>
          <w:p w:rsidR="00343648" w:rsidRPr="000E4C40" w:rsidRDefault="00501830"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摊</w:t>
            </w:r>
            <w:proofErr w:type="gramStart"/>
            <w:r>
              <w:rPr>
                <w:rFonts w:hAnsi="宋体"/>
                <w:color w:val="000000"/>
                <w:kern w:val="0"/>
                <w:sz w:val="24"/>
              </w:rPr>
              <w:t>余成本</w:t>
            </w:r>
            <w:proofErr w:type="gramEnd"/>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A81BCB">
        <w:trPr>
          <w:jc w:val="center"/>
        </w:trPr>
        <w:tc>
          <w:tcPr>
            <w:tcW w:w="0" w:type="auto"/>
            <w:vAlign w:val="center"/>
          </w:tcPr>
          <w:p w:rsidR="00A81BCB" w:rsidRDefault="00F023C7">
            <w:pPr>
              <w:jc w:val="center"/>
            </w:pPr>
            <w:r>
              <w:rPr>
                <w:color w:val="000000"/>
                <w:sz w:val="24"/>
              </w:rPr>
              <w:t>1</w:t>
            </w:r>
          </w:p>
        </w:tc>
        <w:tc>
          <w:tcPr>
            <w:tcW w:w="0" w:type="auto"/>
            <w:vAlign w:val="center"/>
          </w:tcPr>
          <w:p w:rsidR="00A81BCB" w:rsidRDefault="00F023C7">
            <w:pPr>
              <w:jc w:val="center"/>
            </w:pPr>
            <w:r>
              <w:rPr>
                <w:color w:val="000000"/>
                <w:sz w:val="24"/>
              </w:rPr>
              <w:t>199922</w:t>
            </w:r>
          </w:p>
        </w:tc>
        <w:tc>
          <w:tcPr>
            <w:tcW w:w="0" w:type="auto"/>
            <w:vAlign w:val="center"/>
          </w:tcPr>
          <w:p w:rsidR="00A81BCB" w:rsidRDefault="00F023C7">
            <w:pPr>
              <w:jc w:val="center"/>
            </w:pPr>
            <w:r>
              <w:rPr>
                <w:color w:val="000000"/>
                <w:sz w:val="24"/>
              </w:rPr>
              <w:t>19</w:t>
            </w:r>
            <w:r>
              <w:rPr>
                <w:color w:val="000000"/>
                <w:sz w:val="24"/>
              </w:rPr>
              <w:t>贴现国债</w:t>
            </w:r>
            <w:r>
              <w:rPr>
                <w:color w:val="000000"/>
                <w:sz w:val="24"/>
              </w:rPr>
              <w:t>22</w:t>
            </w:r>
          </w:p>
        </w:tc>
        <w:tc>
          <w:tcPr>
            <w:tcW w:w="0" w:type="auto"/>
            <w:vAlign w:val="center"/>
          </w:tcPr>
          <w:p w:rsidR="00A81BCB" w:rsidRDefault="00F023C7">
            <w:pPr>
              <w:jc w:val="right"/>
            </w:pPr>
            <w:r>
              <w:rPr>
                <w:color w:val="000000"/>
                <w:sz w:val="24"/>
              </w:rPr>
              <w:t>5,100,000</w:t>
            </w:r>
          </w:p>
        </w:tc>
        <w:tc>
          <w:tcPr>
            <w:tcW w:w="0" w:type="auto"/>
            <w:vAlign w:val="center"/>
          </w:tcPr>
          <w:p w:rsidR="00A81BCB" w:rsidRDefault="00F023C7">
            <w:pPr>
              <w:jc w:val="right"/>
            </w:pPr>
            <w:r>
              <w:rPr>
                <w:color w:val="000000"/>
                <w:sz w:val="24"/>
              </w:rPr>
              <w:t>507,961,535.92</w:t>
            </w:r>
          </w:p>
        </w:tc>
        <w:tc>
          <w:tcPr>
            <w:tcW w:w="0" w:type="auto"/>
            <w:vAlign w:val="center"/>
          </w:tcPr>
          <w:p w:rsidR="00A81BCB" w:rsidRDefault="00F023C7">
            <w:pPr>
              <w:jc w:val="right"/>
            </w:pPr>
            <w:r>
              <w:rPr>
                <w:color w:val="000000"/>
                <w:sz w:val="24"/>
              </w:rPr>
              <w:t>1.52</w:t>
            </w:r>
          </w:p>
        </w:tc>
      </w:tr>
      <w:tr w:rsidR="00A81BCB">
        <w:trPr>
          <w:jc w:val="center"/>
        </w:trPr>
        <w:tc>
          <w:tcPr>
            <w:tcW w:w="0" w:type="auto"/>
            <w:vAlign w:val="center"/>
          </w:tcPr>
          <w:p w:rsidR="00A81BCB" w:rsidRDefault="00F023C7">
            <w:pPr>
              <w:jc w:val="center"/>
            </w:pPr>
            <w:r>
              <w:rPr>
                <w:color w:val="000000"/>
                <w:sz w:val="24"/>
              </w:rPr>
              <w:t>2</w:t>
            </w:r>
          </w:p>
        </w:tc>
        <w:tc>
          <w:tcPr>
            <w:tcW w:w="0" w:type="auto"/>
            <w:vAlign w:val="center"/>
          </w:tcPr>
          <w:p w:rsidR="00A81BCB" w:rsidRDefault="00F023C7">
            <w:pPr>
              <w:jc w:val="center"/>
            </w:pPr>
            <w:r>
              <w:rPr>
                <w:color w:val="000000"/>
                <w:sz w:val="24"/>
              </w:rPr>
              <w:t>199923</w:t>
            </w:r>
          </w:p>
        </w:tc>
        <w:tc>
          <w:tcPr>
            <w:tcW w:w="0" w:type="auto"/>
            <w:vAlign w:val="center"/>
          </w:tcPr>
          <w:p w:rsidR="00A81BCB" w:rsidRDefault="00F023C7">
            <w:pPr>
              <w:jc w:val="center"/>
            </w:pPr>
            <w:r>
              <w:rPr>
                <w:color w:val="000000"/>
                <w:sz w:val="24"/>
              </w:rPr>
              <w:t>19</w:t>
            </w:r>
            <w:r>
              <w:rPr>
                <w:color w:val="000000"/>
                <w:sz w:val="24"/>
              </w:rPr>
              <w:t>贴现国债</w:t>
            </w:r>
            <w:r>
              <w:rPr>
                <w:color w:val="000000"/>
                <w:sz w:val="24"/>
              </w:rPr>
              <w:t>23</w:t>
            </w:r>
          </w:p>
        </w:tc>
        <w:tc>
          <w:tcPr>
            <w:tcW w:w="0" w:type="auto"/>
            <w:vAlign w:val="center"/>
          </w:tcPr>
          <w:p w:rsidR="00A81BCB" w:rsidRDefault="00F023C7">
            <w:pPr>
              <w:jc w:val="right"/>
            </w:pPr>
            <w:r>
              <w:rPr>
                <w:color w:val="000000"/>
                <w:sz w:val="24"/>
              </w:rPr>
              <w:t>5,000,000</w:t>
            </w:r>
          </w:p>
        </w:tc>
        <w:tc>
          <w:tcPr>
            <w:tcW w:w="0" w:type="auto"/>
            <w:vAlign w:val="center"/>
          </w:tcPr>
          <w:p w:rsidR="00A81BCB" w:rsidRDefault="00F023C7">
            <w:pPr>
              <w:jc w:val="right"/>
            </w:pPr>
            <w:r>
              <w:rPr>
                <w:color w:val="000000"/>
                <w:sz w:val="24"/>
              </w:rPr>
              <w:t>497,569,332.29</w:t>
            </w:r>
          </w:p>
        </w:tc>
        <w:tc>
          <w:tcPr>
            <w:tcW w:w="0" w:type="auto"/>
            <w:vAlign w:val="center"/>
          </w:tcPr>
          <w:p w:rsidR="00A81BCB" w:rsidRDefault="00F023C7">
            <w:pPr>
              <w:jc w:val="right"/>
            </w:pPr>
            <w:r>
              <w:rPr>
                <w:color w:val="000000"/>
                <w:sz w:val="24"/>
              </w:rPr>
              <w:t>1.49</w:t>
            </w:r>
          </w:p>
        </w:tc>
      </w:tr>
      <w:tr w:rsidR="00A81BCB">
        <w:trPr>
          <w:jc w:val="center"/>
        </w:trPr>
        <w:tc>
          <w:tcPr>
            <w:tcW w:w="0" w:type="auto"/>
            <w:vAlign w:val="center"/>
          </w:tcPr>
          <w:p w:rsidR="00A81BCB" w:rsidRDefault="00F023C7">
            <w:pPr>
              <w:jc w:val="center"/>
            </w:pPr>
            <w:r>
              <w:rPr>
                <w:color w:val="000000"/>
                <w:sz w:val="24"/>
              </w:rPr>
              <w:t>3</w:t>
            </w:r>
          </w:p>
        </w:tc>
        <w:tc>
          <w:tcPr>
            <w:tcW w:w="0" w:type="auto"/>
            <w:vAlign w:val="center"/>
          </w:tcPr>
          <w:p w:rsidR="00A81BCB" w:rsidRDefault="00F023C7">
            <w:pPr>
              <w:jc w:val="center"/>
            </w:pPr>
            <w:r>
              <w:rPr>
                <w:color w:val="000000"/>
                <w:sz w:val="24"/>
              </w:rPr>
              <w:t>111870084</w:t>
            </w:r>
          </w:p>
        </w:tc>
        <w:tc>
          <w:tcPr>
            <w:tcW w:w="0" w:type="auto"/>
            <w:vAlign w:val="center"/>
          </w:tcPr>
          <w:p w:rsidR="00A81BCB" w:rsidRDefault="00F023C7">
            <w:pPr>
              <w:jc w:val="center"/>
            </w:pPr>
            <w:r>
              <w:rPr>
                <w:color w:val="000000"/>
                <w:sz w:val="24"/>
              </w:rPr>
              <w:t>18</w:t>
            </w:r>
            <w:r>
              <w:rPr>
                <w:color w:val="000000"/>
                <w:sz w:val="24"/>
              </w:rPr>
              <w:t>晋商银行</w:t>
            </w:r>
            <w:r>
              <w:rPr>
                <w:color w:val="000000"/>
                <w:sz w:val="24"/>
              </w:rPr>
              <w:t>CD215</w:t>
            </w:r>
          </w:p>
        </w:tc>
        <w:tc>
          <w:tcPr>
            <w:tcW w:w="0" w:type="auto"/>
            <w:vAlign w:val="center"/>
          </w:tcPr>
          <w:p w:rsidR="00A81BCB" w:rsidRDefault="00F023C7">
            <w:pPr>
              <w:jc w:val="right"/>
            </w:pPr>
            <w:r>
              <w:rPr>
                <w:color w:val="000000"/>
                <w:sz w:val="24"/>
              </w:rPr>
              <w:t>5,000,000</w:t>
            </w:r>
          </w:p>
        </w:tc>
        <w:tc>
          <w:tcPr>
            <w:tcW w:w="0" w:type="auto"/>
            <w:vAlign w:val="center"/>
          </w:tcPr>
          <w:p w:rsidR="00A81BCB" w:rsidRDefault="00F023C7">
            <w:pPr>
              <w:jc w:val="right"/>
            </w:pPr>
            <w:r>
              <w:rPr>
                <w:color w:val="000000"/>
                <w:sz w:val="24"/>
              </w:rPr>
              <w:t>497,158,290.86</w:t>
            </w:r>
          </w:p>
        </w:tc>
        <w:tc>
          <w:tcPr>
            <w:tcW w:w="0" w:type="auto"/>
            <w:vAlign w:val="center"/>
          </w:tcPr>
          <w:p w:rsidR="00A81BCB" w:rsidRDefault="00F023C7">
            <w:pPr>
              <w:jc w:val="right"/>
            </w:pPr>
            <w:r>
              <w:rPr>
                <w:color w:val="000000"/>
                <w:sz w:val="24"/>
              </w:rPr>
              <w:t>1.49</w:t>
            </w:r>
          </w:p>
        </w:tc>
      </w:tr>
      <w:tr w:rsidR="00A81BCB">
        <w:trPr>
          <w:jc w:val="center"/>
        </w:trPr>
        <w:tc>
          <w:tcPr>
            <w:tcW w:w="0" w:type="auto"/>
            <w:vAlign w:val="center"/>
          </w:tcPr>
          <w:p w:rsidR="00A81BCB" w:rsidRDefault="00F023C7">
            <w:pPr>
              <w:jc w:val="center"/>
            </w:pPr>
            <w:r>
              <w:rPr>
                <w:color w:val="000000"/>
                <w:sz w:val="24"/>
              </w:rPr>
              <w:t>4</w:t>
            </w:r>
          </w:p>
        </w:tc>
        <w:tc>
          <w:tcPr>
            <w:tcW w:w="0" w:type="auto"/>
            <w:vAlign w:val="center"/>
          </w:tcPr>
          <w:p w:rsidR="00A81BCB" w:rsidRDefault="00F023C7">
            <w:pPr>
              <w:jc w:val="center"/>
            </w:pPr>
            <w:r>
              <w:rPr>
                <w:color w:val="000000"/>
                <w:sz w:val="24"/>
              </w:rPr>
              <w:t>111993651</w:t>
            </w:r>
          </w:p>
        </w:tc>
        <w:tc>
          <w:tcPr>
            <w:tcW w:w="0" w:type="auto"/>
            <w:vAlign w:val="center"/>
          </w:tcPr>
          <w:p w:rsidR="00A81BCB" w:rsidRDefault="00F023C7">
            <w:pPr>
              <w:jc w:val="center"/>
            </w:pPr>
            <w:r>
              <w:rPr>
                <w:color w:val="000000"/>
                <w:sz w:val="24"/>
              </w:rPr>
              <w:t>19</w:t>
            </w:r>
            <w:r>
              <w:rPr>
                <w:color w:val="000000"/>
                <w:sz w:val="24"/>
              </w:rPr>
              <w:t>成都银行</w:t>
            </w:r>
            <w:r>
              <w:rPr>
                <w:color w:val="000000"/>
                <w:sz w:val="24"/>
              </w:rPr>
              <w:t>CD064</w:t>
            </w:r>
          </w:p>
        </w:tc>
        <w:tc>
          <w:tcPr>
            <w:tcW w:w="0" w:type="auto"/>
            <w:vAlign w:val="center"/>
          </w:tcPr>
          <w:p w:rsidR="00A81BCB" w:rsidRDefault="00F023C7">
            <w:pPr>
              <w:jc w:val="right"/>
            </w:pPr>
            <w:r>
              <w:rPr>
                <w:color w:val="000000"/>
                <w:sz w:val="24"/>
              </w:rPr>
              <w:t>5,000,000</w:t>
            </w:r>
          </w:p>
        </w:tc>
        <w:tc>
          <w:tcPr>
            <w:tcW w:w="0" w:type="auto"/>
            <w:vAlign w:val="center"/>
          </w:tcPr>
          <w:p w:rsidR="00A81BCB" w:rsidRDefault="00F023C7">
            <w:pPr>
              <w:jc w:val="right"/>
            </w:pPr>
            <w:r>
              <w:rPr>
                <w:color w:val="000000"/>
                <w:sz w:val="24"/>
              </w:rPr>
              <w:t>496,765,134.20</w:t>
            </w:r>
          </w:p>
        </w:tc>
        <w:tc>
          <w:tcPr>
            <w:tcW w:w="0" w:type="auto"/>
            <w:vAlign w:val="center"/>
          </w:tcPr>
          <w:p w:rsidR="00A81BCB" w:rsidRDefault="00F023C7">
            <w:pPr>
              <w:jc w:val="right"/>
            </w:pPr>
            <w:r>
              <w:rPr>
                <w:color w:val="000000"/>
                <w:sz w:val="24"/>
              </w:rPr>
              <w:t>1.49</w:t>
            </w:r>
          </w:p>
        </w:tc>
      </w:tr>
      <w:tr w:rsidR="00A81BCB">
        <w:trPr>
          <w:jc w:val="center"/>
        </w:trPr>
        <w:tc>
          <w:tcPr>
            <w:tcW w:w="0" w:type="auto"/>
            <w:vAlign w:val="center"/>
          </w:tcPr>
          <w:p w:rsidR="00A81BCB" w:rsidRDefault="00F023C7">
            <w:pPr>
              <w:jc w:val="center"/>
            </w:pPr>
            <w:r>
              <w:rPr>
                <w:color w:val="000000"/>
                <w:sz w:val="24"/>
              </w:rPr>
              <w:t>5</w:t>
            </w:r>
          </w:p>
        </w:tc>
        <w:tc>
          <w:tcPr>
            <w:tcW w:w="0" w:type="auto"/>
            <w:vAlign w:val="center"/>
          </w:tcPr>
          <w:p w:rsidR="00A81BCB" w:rsidRDefault="00F023C7">
            <w:pPr>
              <w:jc w:val="center"/>
            </w:pPr>
            <w:r>
              <w:rPr>
                <w:color w:val="000000"/>
                <w:sz w:val="24"/>
              </w:rPr>
              <w:t>111993698</w:t>
            </w:r>
          </w:p>
        </w:tc>
        <w:tc>
          <w:tcPr>
            <w:tcW w:w="0" w:type="auto"/>
            <w:vAlign w:val="center"/>
          </w:tcPr>
          <w:p w:rsidR="00A81BCB" w:rsidRDefault="00F023C7">
            <w:pPr>
              <w:jc w:val="center"/>
            </w:pPr>
            <w:r>
              <w:rPr>
                <w:color w:val="000000"/>
                <w:sz w:val="24"/>
              </w:rPr>
              <w:t>19</w:t>
            </w:r>
            <w:r>
              <w:rPr>
                <w:color w:val="000000"/>
                <w:sz w:val="24"/>
              </w:rPr>
              <w:t>重庆农村商行</w:t>
            </w:r>
            <w:r>
              <w:rPr>
                <w:color w:val="000000"/>
                <w:sz w:val="24"/>
              </w:rPr>
              <w:t>CD031</w:t>
            </w:r>
          </w:p>
        </w:tc>
        <w:tc>
          <w:tcPr>
            <w:tcW w:w="0" w:type="auto"/>
            <w:vAlign w:val="center"/>
          </w:tcPr>
          <w:p w:rsidR="00A81BCB" w:rsidRDefault="00F023C7">
            <w:pPr>
              <w:jc w:val="right"/>
            </w:pPr>
            <w:r>
              <w:rPr>
                <w:color w:val="000000"/>
                <w:sz w:val="24"/>
              </w:rPr>
              <w:t>5,000,000</w:t>
            </w:r>
          </w:p>
        </w:tc>
        <w:tc>
          <w:tcPr>
            <w:tcW w:w="0" w:type="auto"/>
            <w:vAlign w:val="center"/>
          </w:tcPr>
          <w:p w:rsidR="00A81BCB" w:rsidRDefault="00F023C7">
            <w:pPr>
              <w:jc w:val="right"/>
            </w:pPr>
            <w:r>
              <w:rPr>
                <w:color w:val="000000"/>
                <w:sz w:val="24"/>
              </w:rPr>
              <w:t>496,765,134.20</w:t>
            </w:r>
          </w:p>
        </w:tc>
        <w:tc>
          <w:tcPr>
            <w:tcW w:w="0" w:type="auto"/>
            <w:vAlign w:val="center"/>
          </w:tcPr>
          <w:p w:rsidR="00A81BCB" w:rsidRDefault="00F023C7">
            <w:pPr>
              <w:jc w:val="right"/>
            </w:pPr>
            <w:r>
              <w:rPr>
                <w:color w:val="000000"/>
                <w:sz w:val="24"/>
              </w:rPr>
              <w:t>1.49</w:t>
            </w:r>
          </w:p>
        </w:tc>
      </w:tr>
      <w:tr w:rsidR="00A81BCB">
        <w:trPr>
          <w:jc w:val="center"/>
        </w:trPr>
        <w:tc>
          <w:tcPr>
            <w:tcW w:w="0" w:type="auto"/>
            <w:vAlign w:val="center"/>
          </w:tcPr>
          <w:p w:rsidR="00A81BCB" w:rsidRDefault="00F023C7">
            <w:pPr>
              <w:jc w:val="center"/>
            </w:pPr>
            <w:r>
              <w:rPr>
                <w:color w:val="000000"/>
                <w:sz w:val="24"/>
              </w:rPr>
              <w:t>6</w:t>
            </w:r>
          </w:p>
        </w:tc>
        <w:tc>
          <w:tcPr>
            <w:tcW w:w="0" w:type="auto"/>
            <w:vAlign w:val="center"/>
          </w:tcPr>
          <w:p w:rsidR="00A81BCB" w:rsidRDefault="00F023C7">
            <w:pPr>
              <w:jc w:val="center"/>
            </w:pPr>
            <w:r>
              <w:rPr>
                <w:color w:val="000000"/>
                <w:sz w:val="24"/>
              </w:rPr>
              <w:t>111993897</w:t>
            </w:r>
          </w:p>
        </w:tc>
        <w:tc>
          <w:tcPr>
            <w:tcW w:w="0" w:type="auto"/>
            <w:vAlign w:val="center"/>
          </w:tcPr>
          <w:p w:rsidR="00A81BCB" w:rsidRDefault="00F023C7">
            <w:pPr>
              <w:jc w:val="center"/>
            </w:pPr>
            <w:r>
              <w:rPr>
                <w:color w:val="000000"/>
                <w:sz w:val="24"/>
              </w:rPr>
              <w:t>19</w:t>
            </w:r>
            <w:r>
              <w:rPr>
                <w:color w:val="000000"/>
                <w:sz w:val="24"/>
              </w:rPr>
              <w:t>河北银行</w:t>
            </w:r>
            <w:r>
              <w:rPr>
                <w:color w:val="000000"/>
                <w:sz w:val="24"/>
              </w:rPr>
              <w:t>CD023</w:t>
            </w:r>
          </w:p>
        </w:tc>
        <w:tc>
          <w:tcPr>
            <w:tcW w:w="0" w:type="auto"/>
            <w:vAlign w:val="center"/>
          </w:tcPr>
          <w:p w:rsidR="00A81BCB" w:rsidRDefault="00F023C7">
            <w:pPr>
              <w:jc w:val="right"/>
            </w:pPr>
            <w:r>
              <w:rPr>
                <w:color w:val="000000"/>
                <w:sz w:val="24"/>
              </w:rPr>
              <w:t>5,000,000</w:t>
            </w:r>
          </w:p>
        </w:tc>
        <w:tc>
          <w:tcPr>
            <w:tcW w:w="0" w:type="auto"/>
            <w:vAlign w:val="center"/>
          </w:tcPr>
          <w:p w:rsidR="00A81BCB" w:rsidRDefault="00F023C7">
            <w:pPr>
              <w:jc w:val="right"/>
            </w:pPr>
            <w:r>
              <w:rPr>
                <w:color w:val="000000"/>
                <w:sz w:val="24"/>
              </w:rPr>
              <w:t>496,650,878.70</w:t>
            </w:r>
          </w:p>
        </w:tc>
        <w:tc>
          <w:tcPr>
            <w:tcW w:w="0" w:type="auto"/>
            <w:vAlign w:val="center"/>
          </w:tcPr>
          <w:p w:rsidR="00A81BCB" w:rsidRDefault="00F023C7">
            <w:pPr>
              <w:jc w:val="right"/>
            </w:pPr>
            <w:r>
              <w:rPr>
                <w:color w:val="000000"/>
                <w:sz w:val="24"/>
              </w:rPr>
              <w:t>1.49</w:t>
            </w:r>
          </w:p>
        </w:tc>
      </w:tr>
      <w:tr w:rsidR="00A81BCB">
        <w:trPr>
          <w:jc w:val="center"/>
        </w:trPr>
        <w:tc>
          <w:tcPr>
            <w:tcW w:w="0" w:type="auto"/>
            <w:vAlign w:val="center"/>
          </w:tcPr>
          <w:p w:rsidR="00A81BCB" w:rsidRDefault="00F023C7">
            <w:pPr>
              <w:jc w:val="center"/>
            </w:pPr>
            <w:r>
              <w:rPr>
                <w:color w:val="000000"/>
                <w:sz w:val="24"/>
              </w:rPr>
              <w:lastRenderedPageBreak/>
              <w:t>7</w:t>
            </w:r>
          </w:p>
        </w:tc>
        <w:tc>
          <w:tcPr>
            <w:tcW w:w="0" w:type="auto"/>
            <w:vAlign w:val="center"/>
          </w:tcPr>
          <w:p w:rsidR="00A81BCB" w:rsidRDefault="00F023C7">
            <w:pPr>
              <w:jc w:val="center"/>
            </w:pPr>
            <w:r>
              <w:rPr>
                <w:color w:val="000000"/>
                <w:sz w:val="24"/>
              </w:rPr>
              <w:t>111992952</w:t>
            </w:r>
          </w:p>
        </w:tc>
        <w:tc>
          <w:tcPr>
            <w:tcW w:w="0" w:type="auto"/>
            <w:vAlign w:val="center"/>
          </w:tcPr>
          <w:p w:rsidR="00A81BCB" w:rsidRDefault="00F023C7">
            <w:pPr>
              <w:jc w:val="center"/>
            </w:pPr>
            <w:r>
              <w:rPr>
                <w:color w:val="000000"/>
                <w:sz w:val="24"/>
              </w:rPr>
              <w:t>19</w:t>
            </w:r>
            <w:r>
              <w:rPr>
                <w:color w:val="000000"/>
                <w:sz w:val="24"/>
              </w:rPr>
              <w:t>广州农村商业银行</w:t>
            </w:r>
            <w:r>
              <w:rPr>
                <w:color w:val="000000"/>
                <w:sz w:val="24"/>
              </w:rPr>
              <w:t>CD023</w:t>
            </w:r>
          </w:p>
        </w:tc>
        <w:tc>
          <w:tcPr>
            <w:tcW w:w="0" w:type="auto"/>
            <w:vAlign w:val="center"/>
          </w:tcPr>
          <w:p w:rsidR="00A81BCB" w:rsidRDefault="00F023C7">
            <w:pPr>
              <w:jc w:val="right"/>
            </w:pPr>
            <w:r>
              <w:rPr>
                <w:color w:val="000000"/>
                <w:sz w:val="24"/>
              </w:rPr>
              <w:t>4,000,000</w:t>
            </w:r>
          </w:p>
        </w:tc>
        <w:tc>
          <w:tcPr>
            <w:tcW w:w="0" w:type="auto"/>
            <w:vAlign w:val="center"/>
          </w:tcPr>
          <w:p w:rsidR="00A81BCB" w:rsidRDefault="00F023C7">
            <w:pPr>
              <w:jc w:val="right"/>
            </w:pPr>
            <w:r>
              <w:rPr>
                <w:color w:val="000000"/>
                <w:sz w:val="24"/>
              </w:rPr>
              <w:t>397,800,836.66</w:t>
            </w:r>
          </w:p>
        </w:tc>
        <w:tc>
          <w:tcPr>
            <w:tcW w:w="0" w:type="auto"/>
            <w:vAlign w:val="center"/>
          </w:tcPr>
          <w:p w:rsidR="00A81BCB" w:rsidRDefault="00F023C7">
            <w:pPr>
              <w:jc w:val="right"/>
            </w:pPr>
            <w:r>
              <w:rPr>
                <w:color w:val="000000"/>
                <w:sz w:val="24"/>
              </w:rPr>
              <w:t>1.19</w:t>
            </w:r>
          </w:p>
        </w:tc>
      </w:tr>
      <w:tr w:rsidR="00A81BCB">
        <w:trPr>
          <w:jc w:val="center"/>
        </w:trPr>
        <w:tc>
          <w:tcPr>
            <w:tcW w:w="0" w:type="auto"/>
            <w:vAlign w:val="center"/>
          </w:tcPr>
          <w:p w:rsidR="00A81BCB" w:rsidRDefault="00F023C7">
            <w:pPr>
              <w:jc w:val="center"/>
            </w:pPr>
            <w:r>
              <w:rPr>
                <w:color w:val="000000"/>
                <w:sz w:val="24"/>
              </w:rPr>
              <w:t>8</w:t>
            </w:r>
          </w:p>
        </w:tc>
        <w:tc>
          <w:tcPr>
            <w:tcW w:w="0" w:type="auto"/>
            <w:vAlign w:val="center"/>
          </w:tcPr>
          <w:p w:rsidR="00A81BCB" w:rsidRDefault="00F023C7">
            <w:pPr>
              <w:jc w:val="center"/>
            </w:pPr>
            <w:r>
              <w:rPr>
                <w:color w:val="000000"/>
                <w:sz w:val="24"/>
              </w:rPr>
              <w:t>111992953</w:t>
            </w:r>
          </w:p>
        </w:tc>
        <w:tc>
          <w:tcPr>
            <w:tcW w:w="0" w:type="auto"/>
            <w:vAlign w:val="center"/>
          </w:tcPr>
          <w:p w:rsidR="00A81BCB" w:rsidRDefault="00F023C7">
            <w:pPr>
              <w:jc w:val="center"/>
            </w:pPr>
            <w:r>
              <w:rPr>
                <w:color w:val="000000"/>
                <w:sz w:val="24"/>
              </w:rPr>
              <w:t>19</w:t>
            </w:r>
            <w:r>
              <w:rPr>
                <w:color w:val="000000"/>
                <w:sz w:val="24"/>
              </w:rPr>
              <w:t>兰州银行</w:t>
            </w:r>
            <w:r>
              <w:rPr>
                <w:color w:val="000000"/>
                <w:sz w:val="24"/>
              </w:rPr>
              <w:t>CD004</w:t>
            </w:r>
          </w:p>
        </w:tc>
        <w:tc>
          <w:tcPr>
            <w:tcW w:w="0" w:type="auto"/>
            <w:vAlign w:val="center"/>
          </w:tcPr>
          <w:p w:rsidR="00A81BCB" w:rsidRDefault="00F023C7">
            <w:pPr>
              <w:jc w:val="right"/>
            </w:pPr>
            <w:r>
              <w:rPr>
                <w:color w:val="000000"/>
                <w:sz w:val="24"/>
              </w:rPr>
              <w:t>4,000,000</w:t>
            </w:r>
          </w:p>
        </w:tc>
        <w:tc>
          <w:tcPr>
            <w:tcW w:w="0" w:type="auto"/>
            <w:vAlign w:val="center"/>
          </w:tcPr>
          <w:p w:rsidR="00A81BCB" w:rsidRDefault="00F023C7">
            <w:pPr>
              <w:jc w:val="right"/>
            </w:pPr>
            <w:r>
              <w:rPr>
                <w:color w:val="000000"/>
                <w:sz w:val="24"/>
              </w:rPr>
              <w:t>397,793,418.68</w:t>
            </w:r>
          </w:p>
        </w:tc>
        <w:tc>
          <w:tcPr>
            <w:tcW w:w="0" w:type="auto"/>
            <w:vAlign w:val="center"/>
          </w:tcPr>
          <w:p w:rsidR="00A81BCB" w:rsidRDefault="00F023C7">
            <w:pPr>
              <w:jc w:val="right"/>
            </w:pPr>
            <w:r>
              <w:rPr>
                <w:color w:val="000000"/>
                <w:sz w:val="24"/>
              </w:rPr>
              <w:t>1.19</w:t>
            </w:r>
          </w:p>
        </w:tc>
      </w:tr>
      <w:tr w:rsidR="00A81BCB">
        <w:trPr>
          <w:jc w:val="center"/>
        </w:trPr>
        <w:tc>
          <w:tcPr>
            <w:tcW w:w="0" w:type="auto"/>
            <w:vAlign w:val="center"/>
          </w:tcPr>
          <w:p w:rsidR="00A81BCB" w:rsidRDefault="00F023C7">
            <w:pPr>
              <w:jc w:val="center"/>
            </w:pPr>
            <w:r>
              <w:rPr>
                <w:color w:val="000000"/>
                <w:sz w:val="24"/>
              </w:rPr>
              <w:t>9</w:t>
            </w:r>
          </w:p>
        </w:tc>
        <w:tc>
          <w:tcPr>
            <w:tcW w:w="0" w:type="auto"/>
            <w:vAlign w:val="center"/>
          </w:tcPr>
          <w:p w:rsidR="00A81BCB" w:rsidRDefault="00F023C7">
            <w:pPr>
              <w:jc w:val="center"/>
            </w:pPr>
            <w:r>
              <w:rPr>
                <w:color w:val="000000"/>
                <w:sz w:val="24"/>
              </w:rPr>
              <w:t>111981072</w:t>
            </w:r>
          </w:p>
        </w:tc>
        <w:tc>
          <w:tcPr>
            <w:tcW w:w="0" w:type="auto"/>
            <w:vAlign w:val="center"/>
          </w:tcPr>
          <w:p w:rsidR="00A81BCB" w:rsidRDefault="00F023C7">
            <w:pPr>
              <w:jc w:val="center"/>
            </w:pPr>
            <w:r>
              <w:rPr>
                <w:color w:val="000000"/>
                <w:sz w:val="24"/>
              </w:rPr>
              <w:t>19</w:t>
            </w:r>
            <w:r>
              <w:rPr>
                <w:color w:val="000000"/>
                <w:sz w:val="24"/>
              </w:rPr>
              <w:t>广州农村商业银行</w:t>
            </w:r>
            <w:r>
              <w:rPr>
                <w:color w:val="000000"/>
                <w:sz w:val="24"/>
              </w:rPr>
              <w:t>CD077</w:t>
            </w:r>
          </w:p>
        </w:tc>
        <w:tc>
          <w:tcPr>
            <w:tcW w:w="0" w:type="auto"/>
            <w:vAlign w:val="center"/>
          </w:tcPr>
          <w:p w:rsidR="00A81BCB" w:rsidRDefault="00F023C7">
            <w:pPr>
              <w:jc w:val="right"/>
            </w:pPr>
            <w:r>
              <w:rPr>
                <w:color w:val="000000"/>
                <w:sz w:val="24"/>
              </w:rPr>
              <w:t>3,500,000</w:t>
            </w:r>
          </w:p>
        </w:tc>
        <w:tc>
          <w:tcPr>
            <w:tcW w:w="0" w:type="auto"/>
            <w:vAlign w:val="center"/>
          </w:tcPr>
          <w:p w:rsidR="00A81BCB" w:rsidRDefault="00F023C7">
            <w:pPr>
              <w:jc w:val="right"/>
            </w:pPr>
            <w:r>
              <w:rPr>
                <w:color w:val="000000"/>
                <w:sz w:val="24"/>
              </w:rPr>
              <w:t>345,324,927.98</w:t>
            </w:r>
          </w:p>
        </w:tc>
        <w:tc>
          <w:tcPr>
            <w:tcW w:w="0" w:type="auto"/>
            <w:vAlign w:val="center"/>
          </w:tcPr>
          <w:p w:rsidR="00A81BCB" w:rsidRDefault="00F023C7">
            <w:pPr>
              <w:jc w:val="right"/>
            </w:pPr>
            <w:r>
              <w:rPr>
                <w:color w:val="000000"/>
                <w:sz w:val="24"/>
              </w:rPr>
              <w:t>1.04</w:t>
            </w:r>
          </w:p>
        </w:tc>
      </w:tr>
      <w:tr w:rsidR="00A81BCB">
        <w:trPr>
          <w:jc w:val="center"/>
        </w:trPr>
        <w:tc>
          <w:tcPr>
            <w:tcW w:w="0" w:type="auto"/>
            <w:vAlign w:val="center"/>
          </w:tcPr>
          <w:p w:rsidR="00A81BCB" w:rsidRDefault="00F023C7">
            <w:pPr>
              <w:jc w:val="center"/>
            </w:pPr>
            <w:r>
              <w:rPr>
                <w:color w:val="000000"/>
                <w:sz w:val="24"/>
              </w:rPr>
              <w:t>10</w:t>
            </w:r>
          </w:p>
        </w:tc>
        <w:tc>
          <w:tcPr>
            <w:tcW w:w="0" w:type="auto"/>
            <w:vAlign w:val="center"/>
          </w:tcPr>
          <w:p w:rsidR="00A81BCB" w:rsidRDefault="00F023C7">
            <w:pPr>
              <w:jc w:val="center"/>
            </w:pPr>
            <w:r>
              <w:rPr>
                <w:color w:val="000000"/>
                <w:sz w:val="24"/>
              </w:rPr>
              <w:t>111980241</w:t>
            </w:r>
          </w:p>
        </w:tc>
        <w:tc>
          <w:tcPr>
            <w:tcW w:w="0" w:type="auto"/>
            <w:vAlign w:val="center"/>
          </w:tcPr>
          <w:p w:rsidR="00A81BCB" w:rsidRDefault="00F023C7">
            <w:pPr>
              <w:jc w:val="center"/>
            </w:pPr>
            <w:r>
              <w:rPr>
                <w:color w:val="000000"/>
                <w:sz w:val="24"/>
              </w:rPr>
              <w:t>19</w:t>
            </w:r>
            <w:r>
              <w:rPr>
                <w:color w:val="000000"/>
                <w:sz w:val="24"/>
              </w:rPr>
              <w:t>贵阳银行</w:t>
            </w:r>
            <w:r>
              <w:rPr>
                <w:color w:val="000000"/>
                <w:sz w:val="24"/>
              </w:rPr>
              <w:t>CD079</w:t>
            </w:r>
          </w:p>
        </w:tc>
        <w:tc>
          <w:tcPr>
            <w:tcW w:w="0" w:type="auto"/>
            <w:vAlign w:val="center"/>
          </w:tcPr>
          <w:p w:rsidR="00A81BCB" w:rsidRDefault="00F023C7">
            <w:pPr>
              <w:jc w:val="right"/>
            </w:pPr>
            <w:r>
              <w:rPr>
                <w:color w:val="000000"/>
                <w:sz w:val="24"/>
              </w:rPr>
              <w:t>3,500,000</w:t>
            </w:r>
          </w:p>
        </w:tc>
        <w:tc>
          <w:tcPr>
            <w:tcW w:w="0" w:type="auto"/>
            <w:vAlign w:val="center"/>
          </w:tcPr>
          <w:p w:rsidR="00A81BCB" w:rsidRDefault="00F023C7">
            <w:pPr>
              <w:jc w:val="right"/>
            </w:pPr>
            <w:r>
              <w:rPr>
                <w:color w:val="000000"/>
                <w:sz w:val="24"/>
              </w:rPr>
              <w:t>344,876,868.36</w:t>
            </w:r>
          </w:p>
        </w:tc>
        <w:tc>
          <w:tcPr>
            <w:tcW w:w="0" w:type="auto"/>
            <w:vAlign w:val="center"/>
          </w:tcPr>
          <w:p w:rsidR="00A81BCB" w:rsidRDefault="00F023C7">
            <w:pPr>
              <w:jc w:val="right"/>
            </w:pPr>
            <w:r>
              <w:rPr>
                <w:color w:val="000000"/>
                <w:sz w:val="24"/>
              </w:rPr>
              <w:t>1.03</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0.0736%</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0.0066%</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0.0353%</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0.50%</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E97D49" w:rsidRPr="00E97D49" w:rsidRDefault="00E97D49" w:rsidP="00E97D49">
      <w:pPr>
        <w:spacing w:before="29" w:line="288" w:lineRule="auto"/>
        <w:jc w:val="right"/>
        <w:rPr>
          <w:color w:val="000000"/>
          <w:kern w:val="0"/>
          <w:sz w:val="24"/>
        </w:rPr>
      </w:pPr>
      <w:r w:rsidRPr="00E97D49">
        <w:rPr>
          <w:rFonts w:hint="eastAsia"/>
          <w:color w:val="000000"/>
          <w:kern w:val="0"/>
          <w:sz w:val="24"/>
        </w:rPr>
        <w:t>金额单位：人民币元</w:t>
      </w:r>
    </w:p>
    <w:tbl>
      <w:tblPr>
        <w:tblStyle w:val="aa"/>
        <w:tblW w:w="8868" w:type="dxa"/>
        <w:jc w:val="center"/>
        <w:tblCellMar>
          <w:top w:w="57" w:type="dxa"/>
          <w:bottom w:w="57" w:type="dxa"/>
        </w:tblCellMar>
        <w:tblLook w:val="04A0" w:firstRow="1" w:lastRow="0" w:firstColumn="1" w:lastColumn="0" w:noHBand="0" w:noVBand="1"/>
      </w:tblPr>
      <w:tblGrid>
        <w:gridCol w:w="1410"/>
        <w:gridCol w:w="1485"/>
        <w:gridCol w:w="1446"/>
        <w:gridCol w:w="1500"/>
        <w:gridCol w:w="1596"/>
        <w:gridCol w:w="1431"/>
      </w:tblGrid>
      <w:tr w:rsidR="00BF1111" w:rsidRPr="000E4C40" w:rsidTr="00B13F60">
        <w:trPr>
          <w:jc w:val="center"/>
        </w:trPr>
        <w:tc>
          <w:tcPr>
            <w:tcW w:w="1547"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548" w:type="dxa"/>
            <w:vAlign w:val="center"/>
          </w:tcPr>
          <w:p w:rsidR="00E97D49" w:rsidRDefault="00BF1111" w:rsidP="00281564">
            <w:pPr>
              <w:autoSpaceDE w:val="0"/>
              <w:autoSpaceDN w:val="0"/>
              <w:adjustRightInd w:val="0"/>
              <w:spacing w:before="29" w:line="288" w:lineRule="auto"/>
              <w:ind w:left="15"/>
              <w:jc w:val="center"/>
              <w:rPr>
                <w:rFonts w:hAnsi="宋体"/>
                <w:color w:val="000000"/>
                <w:kern w:val="0"/>
                <w:sz w:val="24"/>
              </w:rPr>
            </w:pPr>
            <w:r w:rsidRPr="000E4C40">
              <w:rPr>
                <w:rFonts w:hAnsi="宋体"/>
                <w:color w:val="000000"/>
                <w:kern w:val="0"/>
                <w:sz w:val="24"/>
              </w:rPr>
              <w:t>数量</w:t>
            </w:r>
          </w:p>
          <w:p w:rsidR="00BF1111" w:rsidRPr="000E4C40" w:rsidRDefault="00F6042F" w:rsidP="00281564">
            <w:pPr>
              <w:autoSpaceDE w:val="0"/>
              <w:autoSpaceDN w:val="0"/>
              <w:adjustRightInd w:val="0"/>
              <w:spacing w:before="29" w:line="288" w:lineRule="auto"/>
              <w:ind w:left="15"/>
              <w:jc w:val="center"/>
              <w:rPr>
                <w:color w:val="000000"/>
                <w:kern w:val="0"/>
                <w:sz w:val="24"/>
              </w:rPr>
            </w:pPr>
            <w:r>
              <w:rPr>
                <w:rFonts w:hint="eastAsia"/>
                <w:color w:val="000000"/>
                <w:kern w:val="0"/>
                <w:sz w:val="24"/>
              </w:rPr>
              <w:t>（份）</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p>
        </w:tc>
        <w:tc>
          <w:tcPr>
            <w:tcW w:w="1548" w:type="dxa"/>
            <w:vAlign w:val="center"/>
          </w:tcPr>
          <w:p w:rsidR="00BF1111" w:rsidRPr="000E4C40" w:rsidRDefault="00F6042F"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rsidR="00A81BCB">
        <w:trPr>
          <w:jc w:val="center"/>
        </w:trPr>
        <w:tc>
          <w:tcPr>
            <w:tcW w:w="0" w:type="auto"/>
            <w:vAlign w:val="center"/>
          </w:tcPr>
          <w:p w:rsidR="00A81BCB" w:rsidRDefault="00F023C7">
            <w:pPr>
              <w:jc w:val="center"/>
            </w:pPr>
            <w:r>
              <w:rPr>
                <w:color w:val="000000"/>
                <w:sz w:val="24"/>
              </w:rPr>
              <w:t>1</w:t>
            </w:r>
          </w:p>
        </w:tc>
        <w:tc>
          <w:tcPr>
            <w:tcW w:w="0" w:type="auto"/>
            <w:vAlign w:val="center"/>
          </w:tcPr>
          <w:p w:rsidR="00A81BCB" w:rsidRDefault="00F023C7">
            <w:pPr>
              <w:jc w:val="center"/>
            </w:pPr>
            <w:r>
              <w:rPr>
                <w:color w:val="000000"/>
                <w:sz w:val="24"/>
              </w:rPr>
              <w:t>156794</w:t>
            </w:r>
          </w:p>
        </w:tc>
        <w:tc>
          <w:tcPr>
            <w:tcW w:w="0" w:type="auto"/>
            <w:vAlign w:val="center"/>
          </w:tcPr>
          <w:p w:rsidR="00A81BCB" w:rsidRDefault="00F023C7">
            <w:pPr>
              <w:jc w:val="center"/>
            </w:pPr>
            <w:proofErr w:type="gramStart"/>
            <w:r>
              <w:rPr>
                <w:color w:val="000000"/>
                <w:sz w:val="24"/>
              </w:rPr>
              <w:t>信泽</w:t>
            </w:r>
            <w:proofErr w:type="gramEnd"/>
            <w:r>
              <w:rPr>
                <w:color w:val="000000"/>
                <w:sz w:val="24"/>
              </w:rPr>
              <w:t>01A2</w:t>
            </w:r>
          </w:p>
        </w:tc>
        <w:tc>
          <w:tcPr>
            <w:tcW w:w="0" w:type="auto"/>
            <w:vAlign w:val="center"/>
          </w:tcPr>
          <w:p w:rsidR="00A81BCB" w:rsidRDefault="00F023C7">
            <w:pPr>
              <w:jc w:val="right"/>
            </w:pPr>
            <w:r>
              <w:rPr>
                <w:color w:val="000000"/>
                <w:sz w:val="24"/>
              </w:rPr>
              <w:t>700,000</w:t>
            </w:r>
          </w:p>
        </w:tc>
        <w:tc>
          <w:tcPr>
            <w:tcW w:w="0" w:type="auto"/>
            <w:vAlign w:val="center"/>
          </w:tcPr>
          <w:p w:rsidR="00A81BCB" w:rsidRDefault="00F023C7">
            <w:pPr>
              <w:jc w:val="right"/>
            </w:pPr>
            <w:r>
              <w:rPr>
                <w:color w:val="000000"/>
                <w:sz w:val="24"/>
              </w:rPr>
              <w:t>70,000,000.00</w:t>
            </w:r>
          </w:p>
        </w:tc>
        <w:tc>
          <w:tcPr>
            <w:tcW w:w="0" w:type="auto"/>
            <w:vAlign w:val="center"/>
          </w:tcPr>
          <w:p w:rsidR="00A81BCB" w:rsidRDefault="00F023C7">
            <w:pPr>
              <w:jc w:val="right"/>
            </w:pPr>
            <w:r>
              <w:rPr>
                <w:color w:val="000000"/>
                <w:sz w:val="24"/>
              </w:rPr>
              <w:t>0.21</w:t>
            </w:r>
          </w:p>
        </w:tc>
      </w:tr>
      <w:tr w:rsidR="00A81BCB">
        <w:trPr>
          <w:jc w:val="center"/>
        </w:trPr>
        <w:tc>
          <w:tcPr>
            <w:tcW w:w="0" w:type="auto"/>
            <w:vAlign w:val="center"/>
          </w:tcPr>
          <w:p w:rsidR="00A81BCB" w:rsidRDefault="00F023C7">
            <w:pPr>
              <w:jc w:val="center"/>
            </w:pPr>
            <w:r>
              <w:rPr>
                <w:color w:val="000000"/>
                <w:sz w:val="24"/>
              </w:rPr>
              <w:t>2</w:t>
            </w:r>
          </w:p>
        </w:tc>
        <w:tc>
          <w:tcPr>
            <w:tcW w:w="0" w:type="auto"/>
            <w:vAlign w:val="center"/>
          </w:tcPr>
          <w:p w:rsidR="00A81BCB" w:rsidRDefault="00F023C7">
            <w:pPr>
              <w:jc w:val="center"/>
            </w:pPr>
            <w:r>
              <w:rPr>
                <w:color w:val="000000"/>
                <w:sz w:val="24"/>
              </w:rPr>
              <w:t>159180</w:t>
            </w:r>
          </w:p>
        </w:tc>
        <w:tc>
          <w:tcPr>
            <w:tcW w:w="0" w:type="auto"/>
            <w:vAlign w:val="center"/>
          </w:tcPr>
          <w:p w:rsidR="00A81BCB" w:rsidRDefault="00F023C7">
            <w:pPr>
              <w:jc w:val="center"/>
            </w:pPr>
            <w:proofErr w:type="gramStart"/>
            <w:r>
              <w:rPr>
                <w:color w:val="000000"/>
                <w:sz w:val="24"/>
              </w:rPr>
              <w:t>信泽</w:t>
            </w:r>
            <w:proofErr w:type="gramEnd"/>
            <w:r>
              <w:rPr>
                <w:color w:val="000000"/>
                <w:sz w:val="24"/>
              </w:rPr>
              <w:t>02A1</w:t>
            </w:r>
          </w:p>
        </w:tc>
        <w:tc>
          <w:tcPr>
            <w:tcW w:w="0" w:type="auto"/>
            <w:vAlign w:val="center"/>
          </w:tcPr>
          <w:p w:rsidR="00A81BCB" w:rsidRDefault="00F023C7">
            <w:pPr>
              <w:jc w:val="right"/>
            </w:pPr>
            <w:r>
              <w:rPr>
                <w:color w:val="000000"/>
                <w:sz w:val="24"/>
              </w:rPr>
              <w:t>500,000</w:t>
            </w:r>
          </w:p>
        </w:tc>
        <w:tc>
          <w:tcPr>
            <w:tcW w:w="0" w:type="auto"/>
            <w:vAlign w:val="center"/>
          </w:tcPr>
          <w:p w:rsidR="00A81BCB" w:rsidRDefault="00F023C7">
            <w:pPr>
              <w:jc w:val="right"/>
            </w:pPr>
            <w:r>
              <w:rPr>
                <w:color w:val="000000"/>
                <w:sz w:val="24"/>
              </w:rPr>
              <w:t>50,000,000.00</w:t>
            </w:r>
          </w:p>
        </w:tc>
        <w:tc>
          <w:tcPr>
            <w:tcW w:w="0" w:type="auto"/>
            <w:vAlign w:val="center"/>
          </w:tcPr>
          <w:p w:rsidR="00A81BCB" w:rsidRDefault="00F023C7">
            <w:pPr>
              <w:jc w:val="right"/>
            </w:pPr>
            <w:r>
              <w:rPr>
                <w:color w:val="000000"/>
                <w:sz w:val="24"/>
              </w:rPr>
              <w:t>0.15</w:t>
            </w:r>
          </w:p>
        </w:tc>
      </w:tr>
      <w:tr w:rsidR="00A81BCB">
        <w:trPr>
          <w:jc w:val="center"/>
        </w:trPr>
        <w:tc>
          <w:tcPr>
            <w:tcW w:w="0" w:type="auto"/>
            <w:vAlign w:val="center"/>
          </w:tcPr>
          <w:p w:rsidR="00A81BCB" w:rsidRDefault="00F023C7">
            <w:pPr>
              <w:jc w:val="center"/>
            </w:pPr>
            <w:r>
              <w:rPr>
                <w:color w:val="000000"/>
                <w:sz w:val="24"/>
              </w:rPr>
              <w:t>3</w:t>
            </w:r>
          </w:p>
        </w:tc>
        <w:tc>
          <w:tcPr>
            <w:tcW w:w="0" w:type="auto"/>
            <w:vAlign w:val="center"/>
          </w:tcPr>
          <w:p w:rsidR="00A81BCB" w:rsidRDefault="00F023C7">
            <w:pPr>
              <w:jc w:val="center"/>
            </w:pPr>
            <w:r>
              <w:rPr>
                <w:color w:val="000000"/>
                <w:sz w:val="24"/>
              </w:rPr>
              <w:t>159312</w:t>
            </w:r>
          </w:p>
        </w:tc>
        <w:tc>
          <w:tcPr>
            <w:tcW w:w="0" w:type="auto"/>
            <w:vAlign w:val="center"/>
          </w:tcPr>
          <w:p w:rsidR="00A81BCB" w:rsidRDefault="00F023C7">
            <w:pPr>
              <w:jc w:val="center"/>
            </w:pPr>
            <w:proofErr w:type="gramStart"/>
            <w:r>
              <w:rPr>
                <w:color w:val="000000"/>
                <w:sz w:val="24"/>
              </w:rPr>
              <w:t>信泽</w:t>
            </w:r>
            <w:proofErr w:type="gramEnd"/>
            <w:r>
              <w:rPr>
                <w:color w:val="000000"/>
                <w:sz w:val="24"/>
              </w:rPr>
              <w:t>03A1</w:t>
            </w:r>
          </w:p>
        </w:tc>
        <w:tc>
          <w:tcPr>
            <w:tcW w:w="0" w:type="auto"/>
            <w:vAlign w:val="center"/>
          </w:tcPr>
          <w:p w:rsidR="00A81BCB" w:rsidRDefault="00F023C7">
            <w:pPr>
              <w:jc w:val="right"/>
            </w:pPr>
            <w:r>
              <w:rPr>
                <w:color w:val="000000"/>
                <w:sz w:val="24"/>
              </w:rPr>
              <w:t>500,000</w:t>
            </w:r>
          </w:p>
        </w:tc>
        <w:tc>
          <w:tcPr>
            <w:tcW w:w="0" w:type="auto"/>
            <w:vAlign w:val="center"/>
          </w:tcPr>
          <w:p w:rsidR="00A81BCB" w:rsidRDefault="00F023C7">
            <w:pPr>
              <w:jc w:val="right"/>
            </w:pPr>
            <w:r>
              <w:rPr>
                <w:color w:val="000000"/>
                <w:sz w:val="24"/>
              </w:rPr>
              <w:t>50,000,000.00</w:t>
            </w:r>
          </w:p>
        </w:tc>
        <w:tc>
          <w:tcPr>
            <w:tcW w:w="0" w:type="auto"/>
            <w:vAlign w:val="center"/>
          </w:tcPr>
          <w:p w:rsidR="00A81BCB" w:rsidRDefault="00F023C7">
            <w:pPr>
              <w:jc w:val="right"/>
            </w:pPr>
            <w:r>
              <w:rPr>
                <w:color w:val="000000"/>
                <w:sz w:val="24"/>
              </w:rPr>
              <w:t>0.15</w:t>
            </w:r>
          </w:p>
        </w:tc>
      </w:tr>
      <w:tr w:rsidR="00A81BCB">
        <w:trPr>
          <w:jc w:val="center"/>
        </w:trPr>
        <w:tc>
          <w:tcPr>
            <w:tcW w:w="0" w:type="auto"/>
            <w:vAlign w:val="center"/>
          </w:tcPr>
          <w:p w:rsidR="00A81BCB" w:rsidRDefault="00F023C7">
            <w:pPr>
              <w:jc w:val="center"/>
            </w:pPr>
            <w:r>
              <w:rPr>
                <w:color w:val="000000"/>
                <w:sz w:val="24"/>
              </w:rPr>
              <w:t>4</w:t>
            </w:r>
          </w:p>
        </w:tc>
        <w:tc>
          <w:tcPr>
            <w:tcW w:w="0" w:type="auto"/>
            <w:vAlign w:val="center"/>
          </w:tcPr>
          <w:p w:rsidR="00A81BCB" w:rsidRDefault="00F023C7">
            <w:pPr>
              <w:jc w:val="center"/>
            </w:pPr>
            <w:r>
              <w:rPr>
                <w:color w:val="000000"/>
                <w:sz w:val="24"/>
              </w:rPr>
              <w:t>1989013</w:t>
            </w:r>
          </w:p>
        </w:tc>
        <w:tc>
          <w:tcPr>
            <w:tcW w:w="0" w:type="auto"/>
            <w:vAlign w:val="center"/>
          </w:tcPr>
          <w:p w:rsidR="00A81BCB" w:rsidRDefault="00F023C7">
            <w:pPr>
              <w:jc w:val="center"/>
            </w:pPr>
            <w:r>
              <w:rPr>
                <w:color w:val="000000"/>
                <w:sz w:val="24"/>
              </w:rPr>
              <w:t>19</w:t>
            </w:r>
            <w:r>
              <w:rPr>
                <w:color w:val="000000"/>
                <w:sz w:val="24"/>
              </w:rPr>
              <w:t>上和</w:t>
            </w:r>
            <w:r>
              <w:rPr>
                <w:color w:val="000000"/>
                <w:sz w:val="24"/>
              </w:rPr>
              <w:t>1A1</w:t>
            </w:r>
          </w:p>
        </w:tc>
        <w:tc>
          <w:tcPr>
            <w:tcW w:w="0" w:type="auto"/>
            <w:vAlign w:val="center"/>
          </w:tcPr>
          <w:p w:rsidR="00A81BCB" w:rsidRDefault="00F023C7">
            <w:pPr>
              <w:jc w:val="right"/>
            </w:pPr>
            <w:r>
              <w:rPr>
                <w:color w:val="000000"/>
                <w:sz w:val="24"/>
              </w:rPr>
              <w:t>1,250,000</w:t>
            </w:r>
          </w:p>
        </w:tc>
        <w:tc>
          <w:tcPr>
            <w:tcW w:w="0" w:type="auto"/>
            <w:vAlign w:val="center"/>
          </w:tcPr>
          <w:p w:rsidR="00A81BCB" w:rsidRDefault="00F023C7">
            <w:pPr>
              <w:jc w:val="right"/>
            </w:pPr>
            <w:r>
              <w:rPr>
                <w:color w:val="000000"/>
                <w:sz w:val="24"/>
              </w:rPr>
              <w:t>775,000.00</w:t>
            </w:r>
          </w:p>
        </w:tc>
        <w:tc>
          <w:tcPr>
            <w:tcW w:w="0" w:type="auto"/>
            <w:vAlign w:val="center"/>
          </w:tcPr>
          <w:p w:rsidR="00A81BCB" w:rsidRDefault="00F023C7">
            <w:pPr>
              <w:jc w:val="right"/>
            </w:pPr>
            <w:r>
              <w:rPr>
                <w:color w:val="000000"/>
                <w:sz w:val="24"/>
              </w:rPr>
              <w:t>0.00</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w:t>
      </w:r>
      <w:proofErr w:type="gramStart"/>
      <w:r w:rsidRPr="000E4C40">
        <w:rPr>
          <w:color w:val="000000"/>
          <w:sz w:val="24"/>
        </w:rPr>
        <w:t>余成本</w:t>
      </w:r>
      <w:proofErr w:type="gramEnd"/>
      <w:r w:rsidRPr="000E4C40">
        <w:rPr>
          <w:color w:val="000000"/>
          <w:sz w:val="24"/>
        </w:rPr>
        <w:t>法计价，即计价对象以买入成本列示，按票面利率或商定利率并考虑其买入时的溢价与折价，在其剩余期限内按照实际利率</w:t>
      </w:r>
      <w:proofErr w:type="gramStart"/>
      <w:r w:rsidRPr="000E4C40">
        <w:rPr>
          <w:color w:val="000000"/>
          <w:sz w:val="24"/>
        </w:rPr>
        <w:t>和摊余成本</w:t>
      </w:r>
      <w:proofErr w:type="gramEnd"/>
      <w:r w:rsidRPr="000E4C40">
        <w:rPr>
          <w:color w:val="000000"/>
          <w:sz w:val="24"/>
        </w:rPr>
        <w:t>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Default="002304D5" w:rsidP="00281564">
      <w:pPr>
        <w:spacing w:before="29" w:line="288" w:lineRule="auto"/>
        <w:rPr>
          <w:rFonts w:hAnsi="宋体"/>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B6632C">
        <w:rPr>
          <w:rFonts w:hint="eastAsia"/>
          <w:color w:val="000000"/>
          <w:kern w:val="0"/>
          <w:sz w:val="24"/>
        </w:rPr>
        <w:t>期末</w:t>
      </w:r>
      <w:r w:rsidR="003B36B4" w:rsidRPr="000E4C40">
        <w:rPr>
          <w:rFonts w:hAnsi="宋体"/>
          <w:color w:val="000000"/>
          <w:kern w:val="0"/>
          <w:sz w:val="24"/>
        </w:rPr>
        <w:t>其他各项资产构成</w:t>
      </w:r>
    </w:p>
    <w:p w:rsidR="00B6632C" w:rsidRPr="00A53C6C" w:rsidRDefault="00A53C6C" w:rsidP="00A53C6C">
      <w:pPr>
        <w:spacing w:before="29" w:line="288" w:lineRule="auto"/>
        <w:jc w:val="right"/>
        <w:rPr>
          <w:color w:val="000000"/>
          <w:kern w:val="0"/>
          <w:sz w:val="24"/>
        </w:rPr>
      </w:pPr>
      <w:r w:rsidRPr="00A53C6C">
        <w:rPr>
          <w:rFonts w:hint="eastAsia"/>
          <w:color w:val="000000"/>
          <w:kern w:val="0"/>
          <w:sz w:val="24"/>
        </w:rPr>
        <w:t>金额单位：人民币元</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104,269,919.97</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15,233.47</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1,486.67</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104,286,640.11</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交银活期</w:t>
            </w:r>
            <w:proofErr w:type="gramStart"/>
            <w:r w:rsidRPr="000E4C40">
              <w:rPr>
                <w:sz w:val="24"/>
              </w:rPr>
              <w:t>通货币</w:t>
            </w:r>
            <w:proofErr w:type="gramEnd"/>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交银活期</w:t>
            </w:r>
            <w:proofErr w:type="gramStart"/>
            <w:r w:rsidRPr="000E4C40">
              <w:rPr>
                <w:sz w:val="24"/>
              </w:rPr>
              <w:t>通货币</w:t>
            </w:r>
            <w:proofErr w:type="gramEnd"/>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w:t>
            </w:r>
            <w:proofErr w:type="gramStart"/>
            <w:r w:rsidRPr="000E4C40">
              <w:rPr>
                <w:rFonts w:hAnsi="宋体"/>
                <w:color w:val="000000"/>
                <w:kern w:val="0"/>
                <w:sz w:val="24"/>
              </w:rPr>
              <w:t>初基金</w:t>
            </w:r>
            <w:proofErr w:type="gramEnd"/>
            <w:r w:rsidRPr="000E4C40">
              <w:rPr>
                <w:rFonts w:hAnsi="宋体"/>
                <w:color w:val="000000"/>
                <w:kern w:val="0"/>
                <w:sz w:val="24"/>
              </w:rPr>
              <w:t>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19,012,223,488.81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18,487,157,788.15</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16,887,851,711.68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14,930,638,993.06</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18,248,528,008.16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17,707,518,037.31</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17,651,547,192.33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15,710,278,743.90</w:t>
            </w:r>
          </w:p>
        </w:tc>
      </w:tr>
    </w:tbl>
    <w:p w:rsidR="00A81BCB" w:rsidRDefault="00F023C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w:t>
      </w:r>
      <w:r>
        <w:rPr>
          <w:color w:val="000000"/>
          <w:sz w:val="24"/>
        </w:rPr>
        <w:lastRenderedPageBreak/>
        <w:t>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w:t>
      </w:r>
      <w:proofErr w:type="gramStart"/>
      <w:r w:rsidRPr="000E4C40">
        <w:rPr>
          <w:rFonts w:hAnsi="宋体"/>
          <w:color w:val="000000"/>
          <w:kern w:val="0"/>
          <w:sz w:val="24"/>
          <w:szCs w:val="24"/>
        </w:rPr>
        <w:t>固有资金</w:t>
      </w:r>
      <w:proofErr w:type="gramEnd"/>
      <w:r w:rsidRPr="000E4C40">
        <w:rPr>
          <w:rFonts w:hAnsi="宋体"/>
          <w:color w:val="000000"/>
          <w:kern w:val="0"/>
          <w:sz w:val="24"/>
          <w:szCs w:val="24"/>
        </w:rPr>
        <w:t>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454"/>
        <w:gridCol w:w="1678"/>
        <w:gridCol w:w="1249"/>
        <w:gridCol w:w="1544"/>
        <w:gridCol w:w="1670"/>
        <w:gridCol w:w="1273"/>
      </w:tblGrid>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185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370" w:type="dxa"/>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70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842"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397"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A81BCB">
        <w:trPr>
          <w:jc w:val="center"/>
        </w:trPr>
        <w:tc>
          <w:tcPr>
            <w:tcW w:w="1454" w:type="dxa"/>
            <w:vAlign w:val="center"/>
          </w:tcPr>
          <w:p w:rsidR="00A81BCB" w:rsidRDefault="00F023C7">
            <w:pPr>
              <w:jc w:val="center"/>
            </w:pPr>
            <w:r>
              <w:rPr>
                <w:color w:val="000000"/>
                <w:sz w:val="24"/>
              </w:rPr>
              <w:t>1</w:t>
            </w:r>
          </w:p>
        </w:tc>
        <w:tc>
          <w:tcPr>
            <w:tcW w:w="1678" w:type="dxa"/>
            <w:vAlign w:val="center"/>
          </w:tcPr>
          <w:p w:rsidR="00A81BCB" w:rsidRDefault="00F023C7">
            <w:pPr>
              <w:jc w:val="center"/>
            </w:pPr>
            <w:r>
              <w:rPr>
                <w:color w:val="000000"/>
                <w:sz w:val="24"/>
              </w:rPr>
              <w:t>E</w:t>
            </w:r>
            <w:r>
              <w:rPr>
                <w:color w:val="000000"/>
                <w:sz w:val="24"/>
              </w:rPr>
              <w:t>类份额红利再投</w:t>
            </w:r>
          </w:p>
        </w:tc>
        <w:tc>
          <w:tcPr>
            <w:tcW w:w="1249" w:type="dxa"/>
            <w:vAlign w:val="center"/>
          </w:tcPr>
          <w:p w:rsidR="00A81BCB" w:rsidRDefault="00F023C7">
            <w:pPr>
              <w:jc w:val="center"/>
            </w:pPr>
            <w:r>
              <w:rPr>
                <w:color w:val="000000"/>
                <w:sz w:val="24"/>
              </w:rPr>
              <w:t>-</w:t>
            </w:r>
          </w:p>
        </w:tc>
        <w:tc>
          <w:tcPr>
            <w:tcW w:w="1544" w:type="dxa"/>
            <w:vAlign w:val="center"/>
          </w:tcPr>
          <w:p w:rsidR="00A81BCB" w:rsidRDefault="00F023C7">
            <w:pPr>
              <w:jc w:val="right"/>
            </w:pPr>
            <w:r>
              <w:rPr>
                <w:color w:val="000000"/>
                <w:sz w:val="24"/>
              </w:rPr>
              <w:t>1,311,679.52</w:t>
            </w:r>
          </w:p>
        </w:tc>
        <w:tc>
          <w:tcPr>
            <w:tcW w:w="1670" w:type="dxa"/>
            <w:vAlign w:val="center"/>
          </w:tcPr>
          <w:p w:rsidR="00A81BCB" w:rsidRDefault="00F023C7">
            <w:pPr>
              <w:jc w:val="right"/>
            </w:pPr>
            <w:r>
              <w:rPr>
                <w:color w:val="000000"/>
                <w:sz w:val="24"/>
              </w:rPr>
              <w:t>1,311,679.52</w:t>
            </w:r>
          </w:p>
        </w:tc>
        <w:tc>
          <w:tcPr>
            <w:tcW w:w="1273" w:type="dxa"/>
            <w:vAlign w:val="center"/>
          </w:tcPr>
          <w:p w:rsidR="00A81BCB" w:rsidRDefault="00F023C7">
            <w:pPr>
              <w:jc w:val="center"/>
            </w:pPr>
            <w:r>
              <w:rPr>
                <w:color w:val="000000"/>
                <w:sz w:val="24"/>
              </w:rPr>
              <w:t>0.00%</w:t>
            </w:r>
          </w:p>
        </w:tc>
      </w:tr>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1851"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370"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701"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1,311,679.52</w:t>
            </w:r>
          </w:p>
        </w:tc>
        <w:tc>
          <w:tcPr>
            <w:tcW w:w="1842"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1,311,679.52</w:t>
            </w:r>
          </w:p>
        </w:tc>
        <w:tc>
          <w:tcPr>
            <w:tcW w:w="1397" w:type="dxa"/>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A81BCB" w:rsidRDefault="00F023C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w:t>
      </w:r>
      <w:r>
        <w:rPr>
          <w:color w:val="000000"/>
          <w:sz w:val="24"/>
        </w:rPr>
        <w:t>E</w:t>
      </w:r>
      <w:r>
        <w:rPr>
          <w:color w:val="000000"/>
          <w:sz w:val="24"/>
        </w:rPr>
        <w:t>类份额</w:t>
      </w:r>
      <w:r>
        <w:rPr>
          <w:color w:val="000000"/>
          <w:sz w:val="24"/>
        </w:rPr>
        <w:t>202,107,389.54</w:t>
      </w:r>
      <w:r>
        <w:rPr>
          <w:color w:val="000000"/>
          <w:sz w:val="24"/>
        </w:rPr>
        <w:t>份，占本基金期末</w:t>
      </w:r>
      <w:r>
        <w:rPr>
          <w:color w:val="000000"/>
          <w:sz w:val="24"/>
        </w:rPr>
        <w:t>E</w:t>
      </w:r>
      <w:r>
        <w:rPr>
          <w:color w:val="000000"/>
          <w:sz w:val="24"/>
        </w:rPr>
        <w:t>类基金总份额的</w:t>
      </w:r>
      <w:r>
        <w:rPr>
          <w:color w:val="000000"/>
          <w:sz w:val="24"/>
        </w:rPr>
        <w:t>1.29%</w:t>
      </w:r>
      <w:r>
        <w:rPr>
          <w:color w:val="000000"/>
          <w:sz w:val="24"/>
        </w:rPr>
        <w:t>，本基金管理人本报告期末持有本基金</w:t>
      </w:r>
      <w:r>
        <w:rPr>
          <w:color w:val="000000"/>
          <w:sz w:val="24"/>
        </w:rPr>
        <w:t>A</w:t>
      </w:r>
      <w:r>
        <w:rPr>
          <w:color w:val="000000"/>
          <w:sz w:val="24"/>
        </w:rPr>
        <w:t>类份额</w:t>
      </w:r>
      <w:r>
        <w:rPr>
          <w:color w:val="000000"/>
          <w:sz w:val="24"/>
        </w:rPr>
        <w:t>0.00</w:t>
      </w:r>
      <w:r>
        <w:rPr>
          <w:color w:val="000000"/>
          <w:sz w:val="24"/>
        </w:rPr>
        <w:t>份，占本基金期末</w:t>
      </w:r>
      <w:r>
        <w:rPr>
          <w:color w:val="000000"/>
          <w:sz w:val="24"/>
        </w:rPr>
        <w:t>A</w:t>
      </w:r>
      <w:r>
        <w:rPr>
          <w:color w:val="000000"/>
          <w:sz w:val="24"/>
        </w:rPr>
        <w:t>类基金总份额的</w:t>
      </w:r>
      <w:r>
        <w:rPr>
          <w:color w:val="000000"/>
          <w:sz w:val="24"/>
        </w:rPr>
        <w:t>0.00%</w:t>
      </w:r>
      <w:r>
        <w:rPr>
          <w:color w:val="000000"/>
          <w:sz w:val="24"/>
        </w:rPr>
        <w:t>。</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2</w:t>
      </w:r>
      <w:r w:rsidRPr="000E4C40">
        <w:rPr>
          <w:color w:val="000000"/>
          <w:sz w:val="24"/>
        </w:rPr>
        <w:t>、本基金收益分配按日结转份额</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A81BCB">
        <w:tc>
          <w:tcPr>
            <w:tcW w:w="992" w:type="dxa"/>
          </w:tcPr>
          <w:p w:rsidR="00A81BCB" w:rsidRDefault="00A81BCB"/>
          <w:p w:rsidR="00A81BCB" w:rsidRDefault="00F023C7">
            <w:r>
              <w:rPr>
                <w:rFonts w:ascii="宋体" w:hAnsi="宋体" w:hint="eastAsia"/>
                <w:bCs/>
                <w:color w:val="000000"/>
                <w:kern w:val="0"/>
                <w:szCs w:val="21"/>
              </w:rPr>
              <w:t>机构</w:t>
            </w:r>
          </w:p>
        </w:tc>
        <w:tc>
          <w:tcPr>
            <w:tcW w:w="991" w:type="dxa"/>
            <w:vAlign w:val="center"/>
          </w:tcPr>
          <w:p w:rsidR="00A81BCB" w:rsidRDefault="00F023C7">
            <w:pPr>
              <w:jc w:val="center"/>
            </w:pPr>
            <w:r>
              <w:rPr>
                <w:rFonts w:ascii="宋体" w:hAnsi="宋体" w:hint="eastAsia"/>
                <w:color w:val="000000"/>
                <w:kern w:val="0"/>
                <w:szCs w:val="21"/>
              </w:rPr>
              <w:t>1</w:t>
            </w:r>
          </w:p>
        </w:tc>
        <w:tc>
          <w:tcPr>
            <w:tcW w:w="1843" w:type="dxa"/>
            <w:vAlign w:val="center"/>
          </w:tcPr>
          <w:p w:rsidR="00A81BCB" w:rsidRDefault="00F023C7">
            <w:pPr>
              <w:jc w:val="center"/>
            </w:pPr>
            <w:r>
              <w:rPr>
                <w:rFonts w:ascii="宋体" w:hAnsi="宋体" w:hint="eastAsia"/>
                <w:color w:val="000000"/>
                <w:kern w:val="0"/>
                <w:szCs w:val="21"/>
              </w:rPr>
              <w:t>2019/4/1-2019/6/30</w:t>
            </w:r>
          </w:p>
        </w:tc>
        <w:tc>
          <w:tcPr>
            <w:tcW w:w="851" w:type="dxa"/>
            <w:vAlign w:val="center"/>
          </w:tcPr>
          <w:p w:rsidR="00A81BCB" w:rsidRDefault="00F023C7">
            <w:pPr>
              <w:jc w:val="center"/>
            </w:pPr>
            <w:r>
              <w:rPr>
                <w:rFonts w:ascii="宋体" w:hAnsi="宋体" w:hint="eastAsia"/>
                <w:color w:val="000000"/>
                <w:kern w:val="0"/>
                <w:szCs w:val="21"/>
              </w:rPr>
              <w:t>9,448,161,146.31</w:t>
            </w:r>
          </w:p>
        </w:tc>
        <w:tc>
          <w:tcPr>
            <w:tcW w:w="850" w:type="dxa"/>
            <w:vAlign w:val="center"/>
          </w:tcPr>
          <w:p w:rsidR="00A81BCB" w:rsidRDefault="00F023C7">
            <w:pPr>
              <w:jc w:val="center"/>
            </w:pPr>
            <w:r>
              <w:rPr>
                <w:rFonts w:ascii="宋体" w:hAnsi="宋体" w:hint="eastAsia"/>
                <w:color w:val="000000"/>
                <w:kern w:val="0"/>
                <w:szCs w:val="21"/>
              </w:rPr>
              <w:t>2,907,607,918.33</w:t>
            </w:r>
          </w:p>
        </w:tc>
        <w:tc>
          <w:tcPr>
            <w:tcW w:w="1134" w:type="dxa"/>
            <w:vAlign w:val="center"/>
          </w:tcPr>
          <w:p w:rsidR="00A81BCB" w:rsidRDefault="00F023C7">
            <w:pPr>
              <w:jc w:val="center"/>
            </w:pPr>
            <w:r>
              <w:rPr>
                <w:rFonts w:ascii="宋体" w:hAnsi="宋体" w:hint="eastAsia"/>
                <w:color w:val="000000"/>
                <w:kern w:val="0"/>
                <w:szCs w:val="21"/>
              </w:rPr>
              <w:t>3,901,893,408.25</w:t>
            </w:r>
          </w:p>
        </w:tc>
        <w:tc>
          <w:tcPr>
            <w:tcW w:w="1419" w:type="dxa"/>
            <w:vAlign w:val="center"/>
          </w:tcPr>
          <w:p w:rsidR="00A81BCB" w:rsidRDefault="00F023C7">
            <w:pPr>
              <w:jc w:val="center"/>
            </w:pPr>
            <w:r>
              <w:rPr>
                <w:rFonts w:ascii="宋体" w:hAnsi="宋体" w:hint="eastAsia"/>
                <w:color w:val="000000"/>
                <w:kern w:val="0"/>
                <w:szCs w:val="21"/>
              </w:rPr>
              <w:t>8,453,875,656.39</w:t>
            </w:r>
          </w:p>
        </w:tc>
        <w:tc>
          <w:tcPr>
            <w:tcW w:w="1130" w:type="dxa"/>
            <w:vAlign w:val="center"/>
          </w:tcPr>
          <w:p w:rsidR="00A81BCB" w:rsidRDefault="00F023C7">
            <w:pPr>
              <w:jc w:val="center"/>
            </w:pPr>
            <w:r>
              <w:rPr>
                <w:rFonts w:ascii="宋体" w:hAnsi="宋体" w:hint="eastAsia"/>
                <w:color w:val="000000"/>
                <w:kern w:val="0"/>
                <w:szCs w:val="21"/>
              </w:rPr>
              <w:t>25.34%</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A81BCB" w:rsidRDefault="00F023C7">
      <w:pPr>
        <w:spacing w:before="29" w:line="288" w:lineRule="auto"/>
        <w:ind w:firstLineChars="200" w:firstLine="480"/>
        <w:rPr>
          <w:color w:val="000000"/>
          <w:sz w:val="24"/>
        </w:rPr>
      </w:pPr>
      <w:r>
        <w:rPr>
          <w:color w:val="000000"/>
          <w:sz w:val="24"/>
        </w:rPr>
        <w:lastRenderedPageBreak/>
        <w:t>1</w:t>
      </w:r>
      <w:r>
        <w:rPr>
          <w:color w:val="000000"/>
          <w:sz w:val="24"/>
        </w:rPr>
        <w:t>、中国证监会准予</w:t>
      </w:r>
      <w:proofErr w:type="gramStart"/>
      <w:r>
        <w:rPr>
          <w:color w:val="000000"/>
          <w:sz w:val="24"/>
        </w:rPr>
        <w:t>交银施罗</w:t>
      </w:r>
      <w:proofErr w:type="gramEnd"/>
      <w:r>
        <w:rPr>
          <w:color w:val="000000"/>
          <w:sz w:val="24"/>
        </w:rPr>
        <w:t>德活期通货币市场基金募集注册的文件；</w:t>
      </w:r>
      <w:r>
        <w:rPr>
          <w:color w:val="000000"/>
          <w:sz w:val="24"/>
        </w:rPr>
        <w:t xml:space="preserve"> </w:t>
      </w:r>
    </w:p>
    <w:p w:rsidR="00A81BCB" w:rsidRDefault="00F023C7">
      <w:pPr>
        <w:spacing w:before="29" w:line="288" w:lineRule="auto"/>
        <w:ind w:firstLineChars="200" w:firstLine="480"/>
        <w:rPr>
          <w:color w:val="000000"/>
          <w:sz w:val="24"/>
        </w:rPr>
      </w:pPr>
      <w:r>
        <w:rPr>
          <w:color w:val="000000"/>
          <w:sz w:val="24"/>
        </w:rPr>
        <w:t>2</w:t>
      </w:r>
      <w:r>
        <w:rPr>
          <w:color w:val="000000"/>
          <w:sz w:val="24"/>
        </w:rPr>
        <w:t>、《交银施罗德活期通货币市场基金基金合同》；</w:t>
      </w:r>
      <w:r>
        <w:rPr>
          <w:color w:val="000000"/>
          <w:sz w:val="24"/>
        </w:rPr>
        <w:t xml:space="preserve"> </w:t>
      </w:r>
    </w:p>
    <w:p w:rsidR="00A81BCB" w:rsidRDefault="00F023C7">
      <w:pPr>
        <w:spacing w:before="29" w:line="288" w:lineRule="auto"/>
        <w:ind w:firstLineChars="200" w:firstLine="480"/>
        <w:rPr>
          <w:color w:val="000000"/>
          <w:sz w:val="24"/>
        </w:rPr>
      </w:pPr>
      <w:r>
        <w:rPr>
          <w:color w:val="000000"/>
          <w:sz w:val="24"/>
        </w:rPr>
        <w:t>3</w:t>
      </w:r>
      <w:r>
        <w:rPr>
          <w:color w:val="000000"/>
          <w:sz w:val="24"/>
        </w:rPr>
        <w:t>、《交银施罗德活期通货币市场基金招募说明书》；</w:t>
      </w:r>
      <w:r>
        <w:rPr>
          <w:color w:val="000000"/>
          <w:sz w:val="24"/>
        </w:rPr>
        <w:t xml:space="preserve"> </w:t>
      </w:r>
    </w:p>
    <w:p w:rsidR="00A81BCB" w:rsidRDefault="00F023C7">
      <w:pPr>
        <w:spacing w:before="29" w:line="288" w:lineRule="auto"/>
        <w:ind w:firstLineChars="200" w:firstLine="480"/>
        <w:rPr>
          <w:color w:val="000000"/>
          <w:sz w:val="24"/>
        </w:rPr>
      </w:pPr>
      <w:r>
        <w:rPr>
          <w:color w:val="000000"/>
          <w:sz w:val="24"/>
        </w:rPr>
        <w:t>4</w:t>
      </w:r>
      <w:r>
        <w:rPr>
          <w:color w:val="000000"/>
          <w:sz w:val="24"/>
        </w:rPr>
        <w:t>、《交银施罗德活期通货币市场基金托管协议》；</w:t>
      </w:r>
      <w:r>
        <w:rPr>
          <w:color w:val="000000"/>
          <w:sz w:val="24"/>
        </w:rPr>
        <w:t xml:space="preserve"> </w:t>
      </w:r>
    </w:p>
    <w:p w:rsidR="00A81BCB" w:rsidRDefault="00F023C7">
      <w:pPr>
        <w:spacing w:before="29" w:line="288" w:lineRule="auto"/>
        <w:ind w:firstLineChars="200" w:firstLine="480"/>
        <w:rPr>
          <w:color w:val="000000"/>
          <w:sz w:val="24"/>
        </w:rPr>
      </w:pPr>
      <w:r>
        <w:rPr>
          <w:color w:val="000000"/>
          <w:sz w:val="24"/>
        </w:rPr>
        <w:t>5</w:t>
      </w:r>
      <w:r>
        <w:rPr>
          <w:color w:val="000000"/>
          <w:sz w:val="24"/>
        </w:rPr>
        <w:t>、关于申请募集注册</w:t>
      </w:r>
      <w:proofErr w:type="gramStart"/>
      <w:r>
        <w:rPr>
          <w:color w:val="000000"/>
          <w:sz w:val="24"/>
        </w:rPr>
        <w:t>交银施罗</w:t>
      </w:r>
      <w:proofErr w:type="gramEnd"/>
      <w:r>
        <w:rPr>
          <w:color w:val="000000"/>
          <w:sz w:val="24"/>
        </w:rPr>
        <w:t>德活期通货币市场基金的法律意见书；</w:t>
      </w:r>
      <w:r>
        <w:rPr>
          <w:color w:val="000000"/>
          <w:sz w:val="24"/>
        </w:rPr>
        <w:t xml:space="preserve"> </w:t>
      </w:r>
    </w:p>
    <w:p w:rsidR="00A81BCB" w:rsidRDefault="00F023C7">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A81BCB" w:rsidRDefault="00F023C7">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w:t>
      </w:r>
      <w:proofErr w:type="gramStart"/>
      <w:r w:rsidRPr="000E4C40">
        <w:rPr>
          <w:color w:val="000000"/>
          <w:sz w:val="24"/>
        </w:rPr>
        <w:t>交银施罗</w:t>
      </w:r>
      <w:proofErr w:type="gramEnd"/>
      <w:r w:rsidRPr="000E4C40">
        <w:rPr>
          <w:color w:val="000000"/>
          <w:sz w:val="24"/>
        </w:rPr>
        <w:t>德活期通货币市场基金在指定报刊上各项公告的原稿。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A81BCB" w:rsidRDefault="00F023C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C21" w:rsidRDefault="00424C21">
      <w:r>
        <w:separator/>
      </w:r>
    </w:p>
  </w:endnote>
  <w:endnote w:type="continuationSeparator" w:id="0">
    <w:p w:rsidR="00424C21" w:rsidRDefault="0042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1D0DB0" w:rsidRDefault="00FE3EEE" w:rsidP="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22E95">
      <w:rPr>
        <w:noProof/>
        <w:kern w:val="0"/>
        <w:szCs w:val="21"/>
      </w:rPr>
      <w:t>15</w:t>
    </w:r>
    <w:r>
      <w:rPr>
        <w:kern w:val="0"/>
        <w:szCs w:val="21"/>
      </w:rPr>
      <w:fldChar w:fldCharType="end"/>
    </w:r>
    <w:proofErr w:type="gramStart"/>
    <w:r>
      <w:rPr>
        <w:rFonts w:hint="eastAsia"/>
        <w:kern w:val="0"/>
        <w:szCs w:val="21"/>
      </w:rPr>
      <w:t>页共</w:t>
    </w:r>
    <w:proofErr w:type="gramEnd"/>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022E95">
      <w:rPr>
        <w:noProof/>
        <w:kern w:val="0"/>
        <w:szCs w:val="21"/>
      </w:rPr>
      <w:t>15</w:t>
    </w:r>
    <w:r>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C21" w:rsidRDefault="00424C21">
      <w:r>
        <w:separator/>
      </w:r>
    </w:p>
  </w:footnote>
  <w:footnote w:type="continuationSeparator" w:id="0">
    <w:p w:rsidR="00424C21" w:rsidRDefault="00424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841EB4" w:rsidRDefault="00FE3EEE" w:rsidP="008379E2">
    <w:pPr>
      <w:pStyle w:val="a4"/>
      <w:pBdr>
        <w:bottom w:val="single" w:sz="6" w:space="0" w:color="auto"/>
      </w:pBdr>
      <w:jc w:val="right"/>
      <w:rPr>
        <w:sz w:val="24"/>
        <w:szCs w:val="24"/>
      </w:rPr>
    </w:pPr>
    <w:r w:rsidRPr="003E676C">
      <w:rPr>
        <w:sz w:val="24"/>
        <w:szCs w:val="24"/>
      </w:rPr>
      <w:t>交银施罗德活期通货币市场基金</w:t>
    </w:r>
    <w:r w:rsidRPr="003E676C">
      <w:rPr>
        <w:sz w:val="24"/>
        <w:szCs w:val="24"/>
      </w:rPr>
      <w:t>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22E95"/>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174AF"/>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4C2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1BCB"/>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7A0B"/>
    <w:rsid w:val="00EF3B7C"/>
    <w:rsid w:val="00EF4DD2"/>
    <w:rsid w:val="00EF568A"/>
    <w:rsid w:val="00EF56FA"/>
    <w:rsid w:val="00EF6216"/>
    <w:rsid w:val="00EF6E42"/>
    <w:rsid w:val="00F023C7"/>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6625"/>
    <w:rsid w:val="00F9749C"/>
    <w:rsid w:val="00FA379D"/>
    <w:rsid w:val="00FA4C13"/>
    <w:rsid w:val="00FA6E20"/>
    <w:rsid w:val="00FB345F"/>
    <w:rsid w:val="00FB4DA5"/>
    <w:rsid w:val="00FB7A18"/>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32CD3A6-F4AF-4B08-82E5-154960244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1369</Words>
  <Characters>7805</Characters>
  <Application>Microsoft Office Word</Application>
  <DocSecurity>0</DocSecurity>
  <Lines>65</Lines>
  <Paragraphs>18</Paragraphs>
  <ScaleCrop>false</ScaleCrop>
  <Company>jysld</Company>
  <LinksUpToDate>false</LinksUpToDate>
  <CharactersWithSpaces>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戴梦菲</cp:lastModifiedBy>
  <cp:revision>329</cp:revision>
  <cp:lastPrinted>2009-01-22T10:11:00Z</cp:lastPrinted>
  <dcterms:created xsi:type="dcterms:W3CDTF">2012-11-21T05:49:00Z</dcterms:created>
  <dcterms:modified xsi:type="dcterms:W3CDTF">2019-07-15T01:20:00Z</dcterms:modified>
</cp:coreProperties>
</file>