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二〇一九年七月十七日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291,272,629.81</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252,626,593.81</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19,323,018.00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19,323,018.00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125716" w:rsidRPr="005E324A" w:rsidTr="00125716">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125716" w:rsidRPr="005E324A" w:rsidTr="0012571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-14,649,517.57</w:t>
            </w:r>
          </w:p>
        </w:tc>
      </w:tr>
      <w:tr w:rsidR="00125716" w:rsidRPr="005E324A" w:rsidTr="0012571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-35,966,344.16</w:t>
            </w:r>
          </w:p>
        </w:tc>
      </w:tr>
      <w:tr w:rsidR="00125716" w:rsidRPr="005E324A" w:rsidTr="0012571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-0.1218</w:t>
            </w:r>
          </w:p>
        </w:tc>
      </w:tr>
      <w:tr w:rsidR="00125716" w:rsidRPr="005E324A" w:rsidTr="0012571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268,414,311.09</w:t>
            </w:r>
          </w:p>
        </w:tc>
      </w:tr>
      <w:tr w:rsidR="00125716" w:rsidRPr="005E324A" w:rsidTr="00125716">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0.922</w:t>
            </w:r>
          </w:p>
        </w:tc>
      </w:tr>
    </w:tbl>
    <w:p w:rsidR="00C479E3" w:rsidRDefault="00125716">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C479E3">
        <w:tc>
          <w:tcPr>
            <w:tcW w:w="1215" w:type="dxa"/>
            <w:vAlign w:val="center"/>
          </w:tcPr>
          <w:p w:rsidR="00C479E3" w:rsidRDefault="00125716">
            <w:pPr>
              <w:jc w:val="left"/>
            </w:pPr>
            <w:r>
              <w:rPr>
                <w:rFonts w:eastAsiaTheme="minorEastAsia"/>
                <w:color w:val="000000"/>
                <w:kern w:val="0"/>
                <w:sz w:val="24"/>
              </w:rPr>
              <w:t>过去三个月</w:t>
            </w:r>
          </w:p>
        </w:tc>
        <w:tc>
          <w:tcPr>
            <w:tcW w:w="1216" w:type="dxa"/>
            <w:vAlign w:val="center"/>
          </w:tcPr>
          <w:p w:rsidR="00C479E3" w:rsidRDefault="00125716">
            <w:pPr>
              <w:jc w:val="center"/>
            </w:pPr>
            <w:r>
              <w:rPr>
                <w:rFonts w:eastAsiaTheme="minorEastAsia"/>
                <w:color w:val="000000"/>
                <w:kern w:val="0"/>
                <w:sz w:val="24"/>
              </w:rPr>
              <w:t>-11.77%</w:t>
            </w:r>
          </w:p>
        </w:tc>
        <w:tc>
          <w:tcPr>
            <w:tcW w:w="1216" w:type="dxa"/>
            <w:vAlign w:val="center"/>
          </w:tcPr>
          <w:p w:rsidR="00C479E3" w:rsidRDefault="00125716">
            <w:pPr>
              <w:jc w:val="center"/>
            </w:pPr>
            <w:r>
              <w:rPr>
                <w:rFonts w:eastAsiaTheme="minorEastAsia"/>
                <w:color w:val="000000"/>
                <w:kern w:val="0"/>
                <w:sz w:val="24"/>
              </w:rPr>
              <w:t>1.85%</w:t>
            </w:r>
          </w:p>
        </w:tc>
        <w:tc>
          <w:tcPr>
            <w:tcW w:w="1216" w:type="dxa"/>
            <w:vAlign w:val="center"/>
          </w:tcPr>
          <w:p w:rsidR="00C479E3" w:rsidRDefault="00125716">
            <w:pPr>
              <w:jc w:val="center"/>
            </w:pPr>
            <w:r>
              <w:rPr>
                <w:rFonts w:eastAsiaTheme="minorEastAsia"/>
                <w:color w:val="000000"/>
                <w:kern w:val="0"/>
                <w:sz w:val="24"/>
              </w:rPr>
              <w:t>-11.85%</w:t>
            </w:r>
          </w:p>
        </w:tc>
        <w:tc>
          <w:tcPr>
            <w:tcW w:w="1216" w:type="dxa"/>
            <w:vAlign w:val="center"/>
          </w:tcPr>
          <w:p w:rsidR="00C479E3" w:rsidRDefault="00125716">
            <w:pPr>
              <w:jc w:val="center"/>
            </w:pPr>
            <w:r>
              <w:rPr>
                <w:rFonts w:eastAsiaTheme="minorEastAsia"/>
                <w:color w:val="000000"/>
                <w:kern w:val="0"/>
                <w:sz w:val="24"/>
              </w:rPr>
              <w:t>1.86%</w:t>
            </w:r>
          </w:p>
        </w:tc>
        <w:tc>
          <w:tcPr>
            <w:tcW w:w="1217" w:type="dxa"/>
            <w:vAlign w:val="center"/>
          </w:tcPr>
          <w:p w:rsidR="00C479E3" w:rsidRDefault="00125716">
            <w:pPr>
              <w:jc w:val="center"/>
            </w:pPr>
            <w:r>
              <w:rPr>
                <w:rFonts w:eastAsiaTheme="minorEastAsia"/>
                <w:color w:val="000000"/>
                <w:kern w:val="0"/>
                <w:sz w:val="24"/>
              </w:rPr>
              <w:t>0.08%</w:t>
            </w:r>
          </w:p>
        </w:tc>
        <w:tc>
          <w:tcPr>
            <w:tcW w:w="1217" w:type="dxa"/>
            <w:vAlign w:val="center"/>
          </w:tcPr>
          <w:p w:rsidR="00C479E3" w:rsidRDefault="00125716">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C479E3">
        <w:tc>
          <w:tcPr>
            <w:tcW w:w="952" w:type="dxa"/>
            <w:vAlign w:val="center"/>
          </w:tcPr>
          <w:p w:rsidR="00C479E3" w:rsidRDefault="00125716">
            <w:pPr>
              <w:jc w:val="center"/>
            </w:pPr>
            <w:r>
              <w:rPr>
                <w:rFonts w:eastAsiaTheme="minorEastAsia"/>
                <w:color w:val="000000"/>
                <w:sz w:val="24"/>
              </w:rPr>
              <w:t>蔡铮</w:t>
            </w:r>
          </w:p>
        </w:tc>
        <w:tc>
          <w:tcPr>
            <w:tcW w:w="930" w:type="dxa"/>
            <w:vAlign w:val="center"/>
          </w:tcPr>
          <w:p w:rsidR="00C479E3" w:rsidRDefault="00125716">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C479E3" w:rsidRDefault="00125716">
            <w:pPr>
              <w:jc w:val="center"/>
            </w:pPr>
            <w:r>
              <w:rPr>
                <w:rFonts w:eastAsiaTheme="minorEastAsia"/>
                <w:color w:val="000000"/>
                <w:sz w:val="24"/>
              </w:rPr>
              <w:lastRenderedPageBreak/>
              <w:t>2015-03-26</w:t>
            </w:r>
          </w:p>
        </w:tc>
        <w:tc>
          <w:tcPr>
            <w:tcW w:w="1309" w:type="dxa"/>
            <w:vAlign w:val="center"/>
          </w:tcPr>
          <w:p w:rsidR="00C479E3" w:rsidRDefault="00125716">
            <w:pPr>
              <w:jc w:val="center"/>
            </w:pPr>
            <w:r>
              <w:rPr>
                <w:rFonts w:eastAsiaTheme="minorEastAsia"/>
                <w:color w:val="000000"/>
                <w:sz w:val="24"/>
              </w:rPr>
              <w:t>-</w:t>
            </w:r>
          </w:p>
        </w:tc>
        <w:tc>
          <w:tcPr>
            <w:tcW w:w="1254" w:type="dxa"/>
            <w:vAlign w:val="center"/>
          </w:tcPr>
          <w:p w:rsidR="00C479E3" w:rsidRDefault="00125716">
            <w:pPr>
              <w:jc w:val="center"/>
            </w:pPr>
            <w:r>
              <w:rPr>
                <w:rFonts w:eastAsiaTheme="minorEastAsia"/>
                <w:color w:val="000000"/>
                <w:sz w:val="24"/>
              </w:rPr>
              <w:t>10</w:t>
            </w:r>
            <w:r>
              <w:rPr>
                <w:rFonts w:eastAsiaTheme="minorEastAsia"/>
                <w:color w:val="000000"/>
                <w:sz w:val="24"/>
              </w:rPr>
              <w:t>年</w:t>
            </w:r>
          </w:p>
        </w:tc>
        <w:tc>
          <w:tcPr>
            <w:tcW w:w="3276" w:type="dxa"/>
            <w:vAlign w:val="center"/>
          </w:tcPr>
          <w:p w:rsidR="00C479E3" w:rsidRDefault="00125716">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C479E3" w:rsidRDefault="00125716">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79E3" w:rsidRDefault="00125716">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C479E3" w:rsidRDefault="00125716">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次，是投资组合因投资策略需要而发生同日反向交易，未发现不公平交易和利益输送的情况。本基金与本公司管理的其他投资组合在不同时间窗下（如日内、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C479E3" w:rsidRDefault="00125716">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lastRenderedPageBreak/>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A21501" w:rsidRDefault="00CB0992" w:rsidP="00CB0992">
      <w:pPr>
        <w:autoSpaceDE w:val="0"/>
        <w:autoSpaceDN w:val="0"/>
        <w:adjustRightInd w:val="0"/>
        <w:spacing w:line="360" w:lineRule="auto"/>
        <w:jc w:val="right"/>
        <w:rPr>
          <w:rFonts w:eastAsiaTheme="minorEastAsia"/>
          <w:b/>
          <w:color w:val="000000" w:themeColor="text1"/>
          <w:kern w:val="0"/>
          <w:sz w:val="24"/>
        </w:rPr>
      </w:pPr>
      <w:r w:rsidRPr="00CB0992">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251,733,015.69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251,733,015.69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185,537.20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185,537.20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17,260,937.98</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6.41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24,225.68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269,203,716.55</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37,095.68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A0A58">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37,095.68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bl>
    <w:p w:rsidR="008A1F18" w:rsidRDefault="008A1F18" w:rsidP="003A4DA3">
      <w:pPr>
        <w:autoSpaceDE w:val="0"/>
        <w:autoSpaceDN w:val="0"/>
        <w:adjustRightInd w:val="0"/>
        <w:spacing w:line="360" w:lineRule="auto"/>
        <w:jc w:val="left"/>
        <w:rPr>
          <w:rFonts w:eastAsiaTheme="minorEastAsia"/>
          <w:b/>
          <w:color w:val="000000"/>
          <w:kern w:val="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3,605,265.40</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1.34</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215,932,049.06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80.45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17,931,736.32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6.68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3,642,113.64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6,892,789.50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3,691,966.09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8A1F18">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251,695,920.01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93.77</w:t>
            </w:r>
          </w:p>
        </w:tc>
      </w:tr>
    </w:tbl>
    <w:p w:rsidR="008A1F18" w:rsidRDefault="008A1F18"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8A1F18" w:rsidRDefault="008A1F18"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C479E3">
        <w:tc>
          <w:tcPr>
            <w:tcW w:w="817" w:type="dxa"/>
            <w:vAlign w:val="center"/>
          </w:tcPr>
          <w:p w:rsidR="00C479E3" w:rsidRDefault="00125716">
            <w:pPr>
              <w:jc w:val="center"/>
            </w:pPr>
            <w:r>
              <w:rPr>
                <w:rFonts w:eastAsiaTheme="minorEastAsia"/>
                <w:color w:val="000000"/>
                <w:sz w:val="24"/>
              </w:rPr>
              <w:t>1</w:t>
            </w:r>
          </w:p>
        </w:tc>
        <w:tc>
          <w:tcPr>
            <w:tcW w:w="1276" w:type="dxa"/>
            <w:vAlign w:val="center"/>
          </w:tcPr>
          <w:p w:rsidR="00C479E3" w:rsidRDefault="00125716">
            <w:pPr>
              <w:jc w:val="center"/>
            </w:pPr>
            <w:r>
              <w:rPr>
                <w:rFonts w:eastAsiaTheme="minorEastAsia"/>
                <w:color w:val="000000"/>
                <w:sz w:val="24"/>
              </w:rPr>
              <w:t>300014</w:t>
            </w:r>
          </w:p>
        </w:tc>
        <w:tc>
          <w:tcPr>
            <w:tcW w:w="1701" w:type="dxa"/>
            <w:vAlign w:val="center"/>
          </w:tcPr>
          <w:p w:rsidR="00C479E3" w:rsidRDefault="00125716">
            <w:pPr>
              <w:jc w:val="center"/>
            </w:pPr>
            <w:r>
              <w:rPr>
                <w:rFonts w:eastAsiaTheme="minorEastAsia"/>
                <w:color w:val="000000"/>
                <w:sz w:val="24"/>
              </w:rPr>
              <w:t>亿纬锂能</w:t>
            </w:r>
          </w:p>
        </w:tc>
        <w:tc>
          <w:tcPr>
            <w:tcW w:w="1276" w:type="dxa"/>
            <w:vAlign w:val="center"/>
          </w:tcPr>
          <w:p w:rsidR="00C479E3" w:rsidRDefault="00125716">
            <w:pPr>
              <w:jc w:val="right"/>
            </w:pPr>
            <w:r>
              <w:rPr>
                <w:rFonts w:eastAsiaTheme="minorEastAsia"/>
                <w:color w:val="000000"/>
                <w:sz w:val="24"/>
              </w:rPr>
              <w:t>148,514</w:t>
            </w:r>
          </w:p>
        </w:tc>
        <w:tc>
          <w:tcPr>
            <w:tcW w:w="1842" w:type="dxa"/>
            <w:vAlign w:val="center"/>
          </w:tcPr>
          <w:p w:rsidR="00C479E3" w:rsidRDefault="00125716">
            <w:pPr>
              <w:jc w:val="right"/>
            </w:pPr>
            <w:r>
              <w:rPr>
                <w:rFonts w:eastAsiaTheme="minorEastAsia"/>
                <w:color w:val="000000"/>
                <w:sz w:val="24"/>
              </w:rPr>
              <w:t>4,523,736.44</w:t>
            </w:r>
          </w:p>
        </w:tc>
        <w:tc>
          <w:tcPr>
            <w:tcW w:w="1616" w:type="dxa"/>
            <w:vAlign w:val="center"/>
          </w:tcPr>
          <w:p w:rsidR="00C479E3" w:rsidRDefault="00125716">
            <w:pPr>
              <w:jc w:val="right"/>
            </w:pPr>
            <w:r>
              <w:rPr>
                <w:rFonts w:eastAsiaTheme="minorEastAsia"/>
                <w:color w:val="000000"/>
                <w:sz w:val="24"/>
              </w:rPr>
              <w:t>1.69</w:t>
            </w:r>
          </w:p>
        </w:tc>
      </w:tr>
      <w:tr w:rsidR="00C479E3">
        <w:tc>
          <w:tcPr>
            <w:tcW w:w="817" w:type="dxa"/>
            <w:vAlign w:val="center"/>
          </w:tcPr>
          <w:p w:rsidR="00C479E3" w:rsidRDefault="00125716">
            <w:pPr>
              <w:jc w:val="center"/>
            </w:pPr>
            <w:r>
              <w:rPr>
                <w:rFonts w:eastAsiaTheme="minorEastAsia"/>
                <w:color w:val="000000"/>
                <w:sz w:val="24"/>
              </w:rPr>
              <w:t>2</w:t>
            </w:r>
          </w:p>
        </w:tc>
        <w:tc>
          <w:tcPr>
            <w:tcW w:w="1276" w:type="dxa"/>
            <w:vAlign w:val="center"/>
          </w:tcPr>
          <w:p w:rsidR="00C479E3" w:rsidRDefault="00125716">
            <w:pPr>
              <w:jc w:val="center"/>
            </w:pPr>
            <w:r>
              <w:rPr>
                <w:rFonts w:eastAsiaTheme="minorEastAsia"/>
                <w:color w:val="000000"/>
                <w:sz w:val="24"/>
              </w:rPr>
              <w:t>300450</w:t>
            </w:r>
          </w:p>
        </w:tc>
        <w:tc>
          <w:tcPr>
            <w:tcW w:w="1701" w:type="dxa"/>
            <w:vAlign w:val="center"/>
          </w:tcPr>
          <w:p w:rsidR="00C479E3" w:rsidRDefault="00125716">
            <w:pPr>
              <w:jc w:val="center"/>
            </w:pPr>
            <w:r>
              <w:rPr>
                <w:rFonts w:eastAsiaTheme="minorEastAsia"/>
                <w:color w:val="000000"/>
                <w:sz w:val="24"/>
              </w:rPr>
              <w:t>先导智能</w:t>
            </w:r>
          </w:p>
        </w:tc>
        <w:tc>
          <w:tcPr>
            <w:tcW w:w="1276" w:type="dxa"/>
            <w:vAlign w:val="center"/>
          </w:tcPr>
          <w:p w:rsidR="00C479E3" w:rsidRDefault="00125716">
            <w:pPr>
              <w:jc w:val="right"/>
            </w:pPr>
            <w:r>
              <w:rPr>
                <w:rFonts w:eastAsiaTheme="minorEastAsia"/>
                <w:color w:val="000000"/>
                <w:sz w:val="24"/>
              </w:rPr>
              <w:t>122,646</w:t>
            </w:r>
          </w:p>
        </w:tc>
        <w:tc>
          <w:tcPr>
            <w:tcW w:w="1842" w:type="dxa"/>
            <w:vAlign w:val="center"/>
          </w:tcPr>
          <w:p w:rsidR="00C479E3" w:rsidRDefault="00125716">
            <w:pPr>
              <w:jc w:val="right"/>
            </w:pPr>
            <w:r>
              <w:rPr>
                <w:rFonts w:eastAsiaTheme="minorEastAsia"/>
                <w:color w:val="000000"/>
                <w:sz w:val="24"/>
              </w:rPr>
              <w:t>4,120,905.60</w:t>
            </w:r>
          </w:p>
        </w:tc>
        <w:tc>
          <w:tcPr>
            <w:tcW w:w="1616" w:type="dxa"/>
            <w:vAlign w:val="center"/>
          </w:tcPr>
          <w:p w:rsidR="00C479E3" w:rsidRDefault="00125716">
            <w:pPr>
              <w:jc w:val="right"/>
            </w:pPr>
            <w:r>
              <w:rPr>
                <w:rFonts w:eastAsiaTheme="minorEastAsia"/>
                <w:color w:val="000000"/>
                <w:sz w:val="24"/>
              </w:rPr>
              <w:t>1.54</w:t>
            </w:r>
          </w:p>
        </w:tc>
      </w:tr>
      <w:tr w:rsidR="00C479E3">
        <w:tc>
          <w:tcPr>
            <w:tcW w:w="817" w:type="dxa"/>
            <w:vAlign w:val="center"/>
          </w:tcPr>
          <w:p w:rsidR="00C479E3" w:rsidRDefault="00125716">
            <w:pPr>
              <w:jc w:val="center"/>
            </w:pPr>
            <w:r>
              <w:rPr>
                <w:rFonts w:eastAsiaTheme="minorEastAsia"/>
                <w:color w:val="000000"/>
                <w:sz w:val="24"/>
              </w:rPr>
              <w:t>3</w:t>
            </w:r>
          </w:p>
        </w:tc>
        <w:tc>
          <w:tcPr>
            <w:tcW w:w="1276" w:type="dxa"/>
            <w:vAlign w:val="center"/>
          </w:tcPr>
          <w:p w:rsidR="00C479E3" w:rsidRDefault="00125716">
            <w:pPr>
              <w:jc w:val="center"/>
            </w:pPr>
            <w:r>
              <w:rPr>
                <w:rFonts w:eastAsiaTheme="minorEastAsia"/>
                <w:color w:val="000000"/>
                <w:sz w:val="24"/>
              </w:rPr>
              <w:t>002202</w:t>
            </w:r>
          </w:p>
        </w:tc>
        <w:tc>
          <w:tcPr>
            <w:tcW w:w="1701" w:type="dxa"/>
            <w:vAlign w:val="center"/>
          </w:tcPr>
          <w:p w:rsidR="00C479E3" w:rsidRDefault="00125716">
            <w:pPr>
              <w:jc w:val="center"/>
            </w:pPr>
            <w:r>
              <w:rPr>
                <w:rFonts w:eastAsiaTheme="minorEastAsia"/>
                <w:color w:val="000000"/>
                <w:sz w:val="24"/>
              </w:rPr>
              <w:t>金风科技</w:t>
            </w:r>
          </w:p>
        </w:tc>
        <w:tc>
          <w:tcPr>
            <w:tcW w:w="1276" w:type="dxa"/>
            <w:vAlign w:val="center"/>
          </w:tcPr>
          <w:p w:rsidR="00C479E3" w:rsidRDefault="00125716">
            <w:pPr>
              <w:jc w:val="right"/>
            </w:pPr>
            <w:r>
              <w:rPr>
                <w:rFonts w:eastAsiaTheme="minorEastAsia"/>
                <w:color w:val="000000"/>
                <w:sz w:val="24"/>
              </w:rPr>
              <w:t>328,352</w:t>
            </w:r>
          </w:p>
        </w:tc>
        <w:tc>
          <w:tcPr>
            <w:tcW w:w="1842" w:type="dxa"/>
            <w:vAlign w:val="center"/>
          </w:tcPr>
          <w:p w:rsidR="00C479E3" w:rsidRDefault="00125716">
            <w:pPr>
              <w:jc w:val="right"/>
            </w:pPr>
            <w:r>
              <w:rPr>
                <w:rFonts w:eastAsiaTheme="minorEastAsia"/>
                <w:color w:val="000000"/>
                <w:sz w:val="24"/>
              </w:rPr>
              <w:t>4,081,415.36</w:t>
            </w:r>
          </w:p>
        </w:tc>
        <w:tc>
          <w:tcPr>
            <w:tcW w:w="1616" w:type="dxa"/>
            <w:vAlign w:val="center"/>
          </w:tcPr>
          <w:p w:rsidR="00C479E3" w:rsidRDefault="00125716">
            <w:pPr>
              <w:jc w:val="right"/>
            </w:pPr>
            <w:r>
              <w:rPr>
                <w:rFonts w:eastAsiaTheme="minorEastAsia"/>
                <w:color w:val="000000"/>
                <w:sz w:val="24"/>
              </w:rPr>
              <w:t>1.52</w:t>
            </w:r>
          </w:p>
        </w:tc>
      </w:tr>
      <w:tr w:rsidR="00C479E3">
        <w:tc>
          <w:tcPr>
            <w:tcW w:w="817" w:type="dxa"/>
            <w:vAlign w:val="center"/>
          </w:tcPr>
          <w:p w:rsidR="00C479E3" w:rsidRDefault="00125716">
            <w:pPr>
              <w:jc w:val="center"/>
            </w:pPr>
            <w:r>
              <w:rPr>
                <w:rFonts w:eastAsiaTheme="minorEastAsia"/>
                <w:color w:val="000000"/>
                <w:sz w:val="24"/>
              </w:rPr>
              <w:t>4</w:t>
            </w:r>
          </w:p>
        </w:tc>
        <w:tc>
          <w:tcPr>
            <w:tcW w:w="1276" w:type="dxa"/>
            <w:vAlign w:val="center"/>
          </w:tcPr>
          <w:p w:rsidR="00C479E3" w:rsidRDefault="00125716">
            <w:pPr>
              <w:jc w:val="center"/>
            </w:pPr>
            <w:r>
              <w:rPr>
                <w:rFonts w:eastAsiaTheme="minorEastAsia"/>
                <w:color w:val="000000"/>
                <w:sz w:val="24"/>
              </w:rPr>
              <w:t>002340</w:t>
            </w:r>
          </w:p>
        </w:tc>
        <w:tc>
          <w:tcPr>
            <w:tcW w:w="1701" w:type="dxa"/>
            <w:vAlign w:val="center"/>
          </w:tcPr>
          <w:p w:rsidR="00C479E3" w:rsidRDefault="00125716">
            <w:pPr>
              <w:jc w:val="center"/>
            </w:pPr>
            <w:r>
              <w:rPr>
                <w:rFonts w:eastAsiaTheme="minorEastAsia"/>
                <w:color w:val="000000"/>
                <w:sz w:val="24"/>
              </w:rPr>
              <w:t>格林美</w:t>
            </w:r>
          </w:p>
        </w:tc>
        <w:tc>
          <w:tcPr>
            <w:tcW w:w="1276" w:type="dxa"/>
            <w:vAlign w:val="center"/>
          </w:tcPr>
          <w:p w:rsidR="00C479E3" w:rsidRDefault="00125716">
            <w:pPr>
              <w:jc w:val="right"/>
            </w:pPr>
            <w:r>
              <w:rPr>
                <w:rFonts w:eastAsiaTheme="minorEastAsia"/>
                <w:color w:val="000000"/>
                <w:sz w:val="24"/>
              </w:rPr>
              <w:t>826,500</w:t>
            </w:r>
          </w:p>
        </w:tc>
        <w:tc>
          <w:tcPr>
            <w:tcW w:w="1842" w:type="dxa"/>
            <w:vAlign w:val="center"/>
          </w:tcPr>
          <w:p w:rsidR="00C479E3" w:rsidRDefault="00125716">
            <w:pPr>
              <w:jc w:val="right"/>
            </w:pPr>
            <w:r>
              <w:rPr>
                <w:rFonts w:eastAsiaTheme="minorEastAsia"/>
                <w:color w:val="000000"/>
                <w:sz w:val="24"/>
              </w:rPr>
              <w:t>3,892,815.00</w:t>
            </w:r>
          </w:p>
        </w:tc>
        <w:tc>
          <w:tcPr>
            <w:tcW w:w="1616" w:type="dxa"/>
            <w:vAlign w:val="center"/>
          </w:tcPr>
          <w:p w:rsidR="00C479E3" w:rsidRDefault="00125716">
            <w:pPr>
              <w:jc w:val="right"/>
            </w:pPr>
            <w:r>
              <w:rPr>
                <w:rFonts w:eastAsiaTheme="minorEastAsia"/>
                <w:color w:val="000000"/>
                <w:sz w:val="24"/>
              </w:rPr>
              <w:t>1.45</w:t>
            </w:r>
          </w:p>
        </w:tc>
      </w:tr>
      <w:tr w:rsidR="00C479E3">
        <w:tc>
          <w:tcPr>
            <w:tcW w:w="817" w:type="dxa"/>
            <w:vAlign w:val="center"/>
          </w:tcPr>
          <w:p w:rsidR="00C479E3" w:rsidRDefault="00125716">
            <w:pPr>
              <w:jc w:val="center"/>
            </w:pPr>
            <w:r>
              <w:rPr>
                <w:rFonts w:eastAsiaTheme="minorEastAsia"/>
                <w:color w:val="000000"/>
                <w:sz w:val="24"/>
              </w:rPr>
              <w:t>5</w:t>
            </w:r>
          </w:p>
        </w:tc>
        <w:tc>
          <w:tcPr>
            <w:tcW w:w="1276" w:type="dxa"/>
            <w:vAlign w:val="center"/>
          </w:tcPr>
          <w:p w:rsidR="00C479E3" w:rsidRDefault="00125716">
            <w:pPr>
              <w:jc w:val="center"/>
            </w:pPr>
            <w:r>
              <w:rPr>
                <w:rFonts w:eastAsiaTheme="minorEastAsia"/>
                <w:color w:val="000000"/>
                <w:sz w:val="24"/>
              </w:rPr>
              <w:t>300316</w:t>
            </w:r>
          </w:p>
        </w:tc>
        <w:tc>
          <w:tcPr>
            <w:tcW w:w="1701" w:type="dxa"/>
            <w:vAlign w:val="center"/>
          </w:tcPr>
          <w:p w:rsidR="00C479E3" w:rsidRDefault="00125716">
            <w:pPr>
              <w:jc w:val="center"/>
            </w:pPr>
            <w:r>
              <w:rPr>
                <w:rFonts w:eastAsiaTheme="minorEastAsia"/>
                <w:color w:val="000000"/>
                <w:sz w:val="24"/>
              </w:rPr>
              <w:t>晶盛机电</w:t>
            </w:r>
          </w:p>
        </w:tc>
        <w:tc>
          <w:tcPr>
            <w:tcW w:w="1276" w:type="dxa"/>
            <w:vAlign w:val="center"/>
          </w:tcPr>
          <w:p w:rsidR="00C479E3" w:rsidRDefault="00125716">
            <w:pPr>
              <w:jc w:val="right"/>
            </w:pPr>
            <w:r>
              <w:rPr>
                <w:rFonts w:eastAsiaTheme="minorEastAsia"/>
                <w:color w:val="000000"/>
                <w:sz w:val="24"/>
              </w:rPr>
              <w:t>295,687</w:t>
            </w:r>
          </w:p>
        </w:tc>
        <w:tc>
          <w:tcPr>
            <w:tcW w:w="1842" w:type="dxa"/>
            <w:vAlign w:val="center"/>
          </w:tcPr>
          <w:p w:rsidR="00C479E3" w:rsidRDefault="00125716">
            <w:pPr>
              <w:jc w:val="right"/>
            </w:pPr>
            <w:r>
              <w:rPr>
                <w:rFonts w:eastAsiaTheme="minorEastAsia"/>
                <w:color w:val="000000"/>
                <w:sz w:val="24"/>
              </w:rPr>
              <w:t>3,752,268.03</w:t>
            </w:r>
          </w:p>
        </w:tc>
        <w:tc>
          <w:tcPr>
            <w:tcW w:w="1616" w:type="dxa"/>
            <w:vAlign w:val="center"/>
          </w:tcPr>
          <w:p w:rsidR="00C479E3" w:rsidRDefault="00125716">
            <w:pPr>
              <w:jc w:val="right"/>
            </w:pPr>
            <w:r>
              <w:rPr>
                <w:rFonts w:eastAsiaTheme="minorEastAsia"/>
                <w:color w:val="000000"/>
                <w:sz w:val="24"/>
              </w:rPr>
              <w:t>1.40</w:t>
            </w:r>
          </w:p>
        </w:tc>
      </w:tr>
      <w:tr w:rsidR="00C479E3">
        <w:tc>
          <w:tcPr>
            <w:tcW w:w="817" w:type="dxa"/>
            <w:vAlign w:val="center"/>
          </w:tcPr>
          <w:p w:rsidR="00C479E3" w:rsidRDefault="00125716">
            <w:pPr>
              <w:jc w:val="center"/>
            </w:pPr>
            <w:r>
              <w:rPr>
                <w:rFonts w:eastAsiaTheme="minorEastAsia"/>
                <w:color w:val="000000"/>
                <w:sz w:val="24"/>
              </w:rPr>
              <w:t>6</w:t>
            </w:r>
          </w:p>
        </w:tc>
        <w:tc>
          <w:tcPr>
            <w:tcW w:w="1276" w:type="dxa"/>
            <w:vAlign w:val="center"/>
          </w:tcPr>
          <w:p w:rsidR="00C479E3" w:rsidRDefault="00125716">
            <w:pPr>
              <w:jc w:val="center"/>
            </w:pPr>
            <w:r>
              <w:rPr>
                <w:rFonts w:eastAsiaTheme="minorEastAsia"/>
                <w:color w:val="000000"/>
                <w:sz w:val="24"/>
              </w:rPr>
              <w:t>600875</w:t>
            </w:r>
          </w:p>
        </w:tc>
        <w:tc>
          <w:tcPr>
            <w:tcW w:w="1701" w:type="dxa"/>
            <w:vAlign w:val="center"/>
          </w:tcPr>
          <w:p w:rsidR="00C479E3" w:rsidRDefault="00125716">
            <w:pPr>
              <w:jc w:val="center"/>
            </w:pPr>
            <w:r>
              <w:rPr>
                <w:rFonts w:eastAsiaTheme="minorEastAsia"/>
                <w:color w:val="000000"/>
                <w:sz w:val="24"/>
              </w:rPr>
              <w:t>东方电气</w:t>
            </w:r>
          </w:p>
        </w:tc>
        <w:tc>
          <w:tcPr>
            <w:tcW w:w="1276" w:type="dxa"/>
            <w:vAlign w:val="center"/>
          </w:tcPr>
          <w:p w:rsidR="00C479E3" w:rsidRDefault="00125716">
            <w:pPr>
              <w:jc w:val="right"/>
            </w:pPr>
            <w:r>
              <w:rPr>
                <w:rFonts w:eastAsiaTheme="minorEastAsia"/>
                <w:color w:val="000000"/>
                <w:sz w:val="24"/>
              </w:rPr>
              <w:t>352,779</w:t>
            </w:r>
          </w:p>
        </w:tc>
        <w:tc>
          <w:tcPr>
            <w:tcW w:w="1842" w:type="dxa"/>
            <w:vAlign w:val="center"/>
          </w:tcPr>
          <w:p w:rsidR="00C479E3" w:rsidRDefault="00125716">
            <w:pPr>
              <w:jc w:val="right"/>
            </w:pPr>
            <w:r>
              <w:rPr>
                <w:rFonts w:eastAsiaTheme="minorEastAsia"/>
                <w:color w:val="000000"/>
                <w:sz w:val="24"/>
              </w:rPr>
              <w:t>3,746,512.98</w:t>
            </w:r>
          </w:p>
        </w:tc>
        <w:tc>
          <w:tcPr>
            <w:tcW w:w="1616" w:type="dxa"/>
            <w:vAlign w:val="center"/>
          </w:tcPr>
          <w:p w:rsidR="00C479E3" w:rsidRDefault="00125716">
            <w:pPr>
              <w:jc w:val="right"/>
            </w:pPr>
            <w:r>
              <w:rPr>
                <w:rFonts w:eastAsiaTheme="minorEastAsia"/>
                <w:color w:val="000000"/>
                <w:sz w:val="24"/>
              </w:rPr>
              <w:t>1.40</w:t>
            </w:r>
          </w:p>
        </w:tc>
      </w:tr>
      <w:tr w:rsidR="00C479E3">
        <w:tc>
          <w:tcPr>
            <w:tcW w:w="817" w:type="dxa"/>
            <w:vAlign w:val="center"/>
          </w:tcPr>
          <w:p w:rsidR="00C479E3" w:rsidRDefault="00125716">
            <w:pPr>
              <w:jc w:val="center"/>
            </w:pPr>
            <w:r>
              <w:rPr>
                <w:rFonts w:eastAsiaTheme="minorEastAsia"/>
                <w:color w:val="000000"/>
                <w:sz w:val="24"/>
              </w:rPr>
              <w:t>7</w:t>
            </w:r>
          </w:p>
        </w:tc>
        <w:tc>
          <w:tcPr>
            <w:tcW w:w="1276" w:type="dxa"/>
            <w:vAlign w:val="center"/>
          </w:tcPr>
          <w:p w:rsidR="00C479E3" w:rsidRDefault="00125716">
            <w:pPr>
              <w:jc w:val="center"/>
            </w:pPr>
            <w:r>
              <w:rPr>
                <w:rFonts w:eastAsiaTheme="minorEastAsia"/>
                <w:color w:val="000000"/>
                <w:sz w:val="24"/>
              </w:rPr>
              <w:t>600482</w:t>
            </w:r>
          </w:p>
        </w:tc>
        <w:tc>
          <w:tcPr>
            <w:tcW w:w="1701" w:type="dxa"/>
            <w:vAlign w:val="center"/>
          </w:tcPr>
          <w:p w:rsidR="00C479E3" w:rsidRDefault="00125716">
            <w:pPr>
              <w:jc w:val="center"/>
            </w:pPr>
            <w:r>
              <w:rPr>
                <w:rFonts w:eastAsiaTheme="minorEastAsia"/>
                <w:color w:val="000000"/>
                <w:sz w:val="24"/>
              </w:rPr>
              <w:t>中国动力</w:t>
            </w:r>
          </w:p>
        </w:tc>
        <w:tc>
          <w:tcPr>
            <w:tcW w:w="1276" w:type="dxa"/>
            <w:vAlign w:val="center"/>
          </w:tcPr>
          <w:p w:rsidR="00C479E3" w:rsidRDefault="00125716">
            <w:pPr>
              <w:jc w:val="right"/>
            </w:pPr>
            <w:r>
              <w:rPr>
                <w:rFonts w:eastAsiaTheme="minorEastAsia"/>
                <w:color w:val="000000"/>
                <w:sz w:val="24"/>
              </w:rPr>
              <w:t>158,502</w:t>
            </w:r>
          </w:p>
        </w:tc>
        <w:tc>
          <w:tcPr>
            <w:tcW w:w="1842" w:type="dxa"/>
            <w:vAlign w:val="center"/>
          </w:tcPr>
          <w:p w:rsidR="00C479E3" w:rsidRDefault="00125716">
            <w:pPr>
              <w:jc w:val="right"/>
            </w:pPr>
            <w:r>
              <w:rPr>
                <w:rFonts w:eastAsiaTheme="minorEastAsia"/>
                <w:color w:val="000000"/>
                <w:sz w:val="24"/>
              </w:rPr>
              <w:t>3,743,817.24</w:t>
            </w:r>
          </w:p>
        </w:tc>
        <w:tc>
          <w:tcPr>
            <w:tcW w:w="1616" w:type="dxa"/>
            <w:vAlign w:val="center"/>
          </w:tcPr>
          <w:p w:rsidR="00C479E3" w:rsidRDefault="00125716">
            <w:pPr>
              <w:jc w:val="right"/>
            </w:pPr>
            <w:r>
              <w:rPr>
                <w:rFonts w:eastAsiaTheme="minorEastAsia"/>
                <w:color w:val="000000"/>
                <w:sz w:val="24"/>
              </w:rPr>
              <w:t>1.39</w:t>
            </w:r>
          </w:p>
        </w:tc>
      </w:tr>
      <w:tr w:rsidR="00C479E3">
        <w:tc>
          <w:tcPr>
            <w:tcW w:w="817" w:type="dxa"/>
            <w:vAlign w:val="center"/>
          </w:tcPr>
          <w:p w:rsidR="00C479E3" w:rsidRDefault="00125716">
            <w:pPr>
              <w:jc w:val="center"/>
            </w:pPr>
            <w:r>
              <w:rPr>
                <w:rFonts w:eastAsiaTheme="minorEastAsia"/>
                <w:color w:val="000000"/>
                <w:sz w:val="24"/>
              </w:rPr>
              <w:t>8</w:t>
            </w:r>
          </w:p>
        </w:tc>
        <w:tc>
          <w:tcPr>
            <w:tcW w:w="1276" w:type="dxa"/>
            <w:vAlign w:val="center"/>
          </w:tcPr>
          <w:p w:rsidR="00C479E3" w:rsidRDefault="00125716">
            <w:pPr>
              <w:jc w:val="center"/>
            </w:pPr>
            <w:r>
              <w:rPr>
                <w:rFonts w:eastAsiaTheme="minorEastAsia"/>
                <w:color w:val="000000"/>
                <w:sz w:val="24"/>
              </w:rPr>
              <w:t>000012</w:t>
            </w:r>
          </w:p>
        </w:tc>
        <w:tc>
          <w:tcPr>
            <w:tcW w:w="1701" w:type="dxa"/>
            <w:vAlign w:val="center"/>
          </w:tcPr>
          <w:p w:rsidR="00C479E3" w:rsidRDefault="00125716">
            <w:pPr>
              <w:jc w:val="center"/>
            </w:pPr>
            <w:r>
              <w:rPr>
                <w:rFonts w:eastAsiaTheme="minorEastAsia"/>
                <w:color w:val="000000"/>
                <w:sz w:val="24"/>
              </w:rPr>
              <w:t>南玻</w:t>
            </w:r>
            <w:r>
              <w:rPr>
                <w:rFonts w:eastAsiaTheme="minorEastAsia"/>
                <w:color w:val="000000"/>
                <w:sz w:val="24"/>
              </w:rPr>
              <w:t>A</w:t>
            </w:r>
          </w:p>
        </w:tc>
        <w:tc>
          <w:tcPr>
            <w:tcW w:w="1276" w:type="dxa"/>
            <w:vAlign w:val="center"/>
          </w:tcPr>
          <w:p w:rsidR="00C479E3" w:rsidRDefault="00125716">
            <w:pPr>
              <w:jc w:val="right"/>
            </w:pPr>
            <w:r>
              <w:rPr>
                <w:rFonts w:eastAsiaTheme="minorEastAsia"/>
                <w:color w:val="000000"/>
                <w:sz w:val="24"/>
              </w:rPr>
              <w:t>898,804</w:t>
            </w:r>
          </w:p>
        </w:tc>
        <w:tc>
          <w:tcPr>
            <w:tcW w:w="1842" w:type="dxa"/>
            <w:vAlign w:val="center"/>
          </w:tcPr>
          <w:p w:rsidR="00C479E3" w:rsidRDefault="00125716">
            <w:pPr>
              <w:jc w:val="right"/>
            </w:pPr>
            <w:r>
              <w:rPr>
                <w:rFonts w:eastAsiaTheme="minorEastAsia"/>
                <w:color w:val="000000"/>
                <w:sz w:val="24"/>
              </w:rPr>
              <w:t>3,739,024.64</w:t>
            </w:r>
          </w:p>
        </w:tc>
        <w:tc>
          <w:tcPr>
            <w:tcW w:w="1616" w:type="dxa"/>
            <w:vAlign w:val="center"/>
          </w:tcPr>
          <w:p w:rsidR="00C479E3" w:rsidRDefault="00125716">
            <w:pPr>
              <w:jc w:val="right"/>
            </w:pPr>
            <w:r>
              <w:rPr>
                <w:rFonts w:eastAsiaTheme="minorEastAsia"/>
                <w:color w:val="000000"/>
                <w:sz w:val="24"/>
              </w:rPr>
              <w:t>1.39</w:t>
            </w:r>
          </w:p>
        </w:tc>
      </w:tr>
      <w:tr w:rsidR="00C479E3">
        <w:tc>
          <w:tcPr>
            <w:tcW w:w="817" w:type="dxa"/>
            <w:vAlign w:val="center"/>
          </w:tcPr>
          <w:p w:rsidR="00C479E3" w:rsidRDefault="00125716">
            <w:pPr>
              <w:jc w:val="center"/>
            </w:pPr>
            <w:r>
              <w:rPr>
                <w:rFonts w:eastAsiaTheme="minorEastAsia"/>
                <w:color w:val="000000"/>
                <w:sz w:val="24"/>
              </w:rPr>
              <w:t>9</w:t>
            </w:r>
          </w:p>
        </w:tc>
        <w:tc>
          <w:tcPr>
            <w:tcW w:w="1276" w:type="dxa"/>
            <w:vAlign w:val="center"/>
          </w:tcPr>
          <w:p w:rsidR="00C479E3" w:rsidRDefault="00125716">
            <w:pPr>
              <w:jc w:val="center"/>
            </w:pPr>
            <w:r>
              <w:rPr>
                <w:rFonts w:eastAsiaTheme="minorEastAsia"/>
                <w:color w:val="000000"/>
                <w:sz w:val="24"/>
              </w:rPr>
              <w:t>600406</w:t>
            </w:r>
          </w:p>
        </w:tc>
        <w:tc>
          <w:tcPr>
            <w:tcW w:w="1701" w:type="dxa"/>
            <w:vAlign w:val="center"/>
          </w:tcPr>
          <w:p w:rsidR="00C479E3" w:rsidRDefault="00125716">
            <w:pPr>
              <w:jc w:val="center"/>
            </w:pPr>
            <w:r>
              <w:rPr>
                <w:rFonts w:eastAsiaTheme="minorEastAsia"/>
                <w:color w:val="000000"/>
                <w:sz w:val="24"/>
              </w:rPr>
              <w:t>国电南瑞</w:t>
            </w:r>
          </w:p>
        </w:tc>
        <w:tc>
          <w:tcPr>
            <w:tcW w:w="1276" w:type="dxa"/>
            <w:vAlign w:val="center"/>
          </w:tcPr>
          <w:p w:rsidR="00C479E3" w:rsidRDefault="00125716">
            <w:pPr>
              <w:jc w:val="right"/>
            </w:pPr>
            <w:r>
              <w:rPr>
                <w:rFonts w:eastAsiaTheme="minorEastAsia"/>
                <w:color w:val="000000"/>
                <w:sz w:val="24"/>
              </w:rPr>
              <w:t>200,556</w:t>
            </w:r>
          </w:p>
        </w:tc>
        <w:tc>
          <w:tcPr>
            <w:tcW w:w="1842" w:type="dxa"/>
            <w:vAlign w:val="center"/>
          </w:tcPr>
          <w:p w:rsidR="00C479E3" w:rsidRDefault="00125716">
            <w:pPr>
              <w:jc w:val="right"/>
            </w:pPr>
            <w:r>
              <w:rPr>
                <w:rFonts w:eastAsiaTheme="minorEastAsia"/>
                <w:color w:val="000000"/>
                <w:sz w:val="24"/>
              </w:rPr>
              <w:t>3,738,363.84</w:t>
            </w:r>
          </w:p>
        </w:tc>
        <w:tc>
          <w:tcPr>
            <w:tcW w:w="1616" w:type="dxa"/>
            <w:vAlign w:val="center"/>
          </w:tcPr>
          <w:p w:rsidR="00C479E3" w:rsidRDefault="00125716">
            <w:pPr>
              <w:jc w:val="right"/>
            </w:pPr>
            <w:r>
              <w:rPr>
                <w:rFonts w:eastAsiaTheme="minorEastAsia"/>
                <w:color w:val="000000"/>
                <w:sz w:val="24"/>
              </w:rPr>
              <w:t>1.39</w:t>
            </w:r>
          </w:p>
        </w:tc>
      </w:tr>
      <w:tr w:rsidR="00C479E3">
        <w:tc>
          <w:tcPr>
            <w:tcW w:w="817" w:type="dxa"/>
            <w:vAlign w:val="center"/>
          </w:tcPr>
          <w:p w:rsidR="00C479E3" w:rsidRDefault="00125716">
            <w:pPr>
              <w:jc w:val="center"/>
            </w:pPr>
            <w:r>
              <w:rPr>
                <w:rFonts w:eastAsiaTheme="minorEastAsia"/>
                <w:color w:val="000000"/>
                <w:sz w:val="24"/>
              </w:rPr>
              <w:t>10</w:t>
            </w:r>
          </w:p>
        </w:tc>
        <w:tc>
          <w:tcPr>
            <w:tcW w:w="1276" w:type="dxa"/>
            <w:vAlign w:val="center"/>
          </w:tcPr>
          <w:p w:rsidR="00C479E3" w:rsidRDefault="00125716">
            <w:pPr>
              <w:jc w:val="center"/>
            </w:pPr>
            <w:r>
              <w:rPr>
                <w:rFonts w:eastAsiaTheme="minorEastAsia"/>
                <w:color w:val="000000"/>
                <w:sz w:val="24"/>
              </w:rPr>
              <w:t>600884</w:t>
            </w:r>
          </w:p>
        </w:tc>
        <w:tc>
          <w:tcPr>
            <w:tcW w:w="1701" w:type="dxa"/>
            <w:vAlign w:val="center"/>
          </w:tcPr>
          <w:p w:rsidR="00C479E3" w:rsidRDefault="00125716">
            <w:pPr>
              <w:jc w:val="center"/>
            </w:pPr>
            <w:r>
              <w:rPr>
                <w:rFonts w:eastAsiaTheme="minorEastAsia"/>
                <w:color w:val="000000"/>
                <w:sz w:val="24"/>
              </w:rPr>
              <w:t>杉杉股份</w:t>
            </w:r>
          </w:p>
        </w:tc>
        <w:tc>
          <w:tcPr>
            <w:tcW w:w="1276" w:type="dxa"/>
            <w:vAlign w:val="center"/>
          </w:tcPr>
          <w:p w:rsidR="00C479E3" w:rsidRDefault="00125716">
            <w:pPr>
              <w:jc w:val="right"/>
            </w:pPr>
            <w:r>
              <w:rPr>
                <w:rFonts w:eastAsiaTheme="minorEastAsia"/>
                <w:color w:val="000000"/>
                <w:sz w:val="24"/>
              </w:rPr>
              <w:t>348,936</w:t>
            </w:r>
          </w:p>
        </w:tc>
        <w:tc>
          <w:tcPr>
            <w:tcW w:w="1842" w:type="dxa"/>
            <w:vAlign w:val="center"/>
          </w:tcPr>
          <w:p w:rsidR="00C479E3" w:rsidRDefault="00125716">
            <w:pPr>
              <w:jc w:val="right"/>
            </w:pPr>
            <w:r>
              <w:rPr>
                <w:rFonts w:eastAsiaTheme="minorEastAsia"/>
                <w:color w:val="000000"/>
                <w:sz w:val="24"/>
              </w:rPr>
              <w:t>3,716,168.40</w:t>
            </w:r>
          </w:p>
        </w:tc>
        <w:tc>
          <w:tcPr>
            <w:tcW w:w="1616" w:type="dxa"/>
            <w:vAlign w:val="center"/>
          </w:tcPr>
          <w:p w:rsidR="00C479E3" w:rsidRDefault="00125716">
            <w:pPr>
              <w:jc w:val="right"/>
            </w:pPr>
            <w:r>
              <w:rPr>
                <w:rFonts w:eastAsiaTheme="minorEastAsia"/>
                <w:color w:val="000000"/>
                <w:sz w:val="24"/>
              </w:rPr>
              <w:t>1.38</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lastRenderedPageBreak/>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C479E3">
        <w:tc>
          <w:tcPr>
            <w:tcW w:w="817" w:type="dxa"/>
            <w:vAlign w:val="center"/>
          </w:tcPr>
          <w:p w:rsidR="00C479E3" w:rsidRDefault="00125716">
            <w:pPr>
              <w:jc w:val="center"/>
            </w:pPr>
            <w:r>
              <w:rPr>
                <w:rFonts w:eastAsiaTheme="minorEastAsia"/>
                <w:color w:val="000000"/>
                <w:sz w:val="24"/>
              </w:rPr>
              <w:t>1</w:t>
            </w:r>
          </w:p>
        </w:tc>
        <w:tc>
          <w:tcPr>
            <w:tcW w:w="1276" w:type="dxa"/>
            <w:vAlign w:val="center"/>
          </w:tcPr>
          <w:p w:rsidR="00C479E3" w:rsidRDefault="00125716">
            <w:pPr>
              <w:jc w:val="center"/>
            </w:pPr>
            <w:r>
              <w:rPr>
                <w:rFonts w:eastAsiaTheme="minorEastAsia"/>
                <w:color w:val="000000"/>
                <w:sz w:val="24"/>
              </w:rPr>
              <w:t>300772</w:t>
            </w:r>
          </w:p>
        </w:tc>
        <w:tc>
          <w:tcPr>
            <w:tcW w:w="1701" w:type="dxa"/>
            <w:vAlign w:val="center"/>
          </w:tcPr>
          <w:p w:rsidR="00C479E3" w:rsidRDefault="00125716">
            <w:pPr>
              <w:jc w:val="center"/>
            </w:pPr>
            <w:r>
              <w:rPr>
                <w:rFonts w:eastAsiaTheme="minorEastAsia"/>
                <w:color w:val="000000"/>
                <w:sz w:val="24"/>
              </w:rPr>
              <w:t>运达股份</w:t>
            </w:r>
          </w:p>
        </w:tc>
        <w:tc>
          <w:tcPr>
            <w:tcW w:w="1276" w:type="dxa"/>
            <w:vAlign w:val="center"/>
          </w:tcPr>
          <w:p w:rsidR="00C479E3" w:rsidRDefault="00125716">
            <w:pPr>
              <w:jc w:val="right"/>
            </w:pPr>
            <w:r>
              <w:rPr>
                <w:rFonts w:eastAsiaTheme="minorEastAsia"/>
                <w:color w:val="000000"/>
                <w:sz w:val="24"/>
              </w:rPr>
              <w:t>2,336</w:t>
            </w:r>
          </w:p>
        </w:tc>
        <w:tc>
          <w:tcPr>
            <w:tcW w:w="1842" w:type="dxa"/>
            <w:vAlign w:val="center"/>
          </w:tcPr>
          <w:p w:rsidR="00C479E3" w:rsidRDefault="00125716">
            <w:pPr>
              <w:jc w:val="right"/>
            </w:pPr>
            <w:r>
              <w:rPr>
                <w:rFonts w:eastAsiaTheme="minorEastAsia"/>
                <w:color w:val="000000"/>
                <w:sz w:val="24"/>
              </w:rPr>
              <w:t>37,095.68</w:t>
            </w:r>
          </w:p>
        </w:tc>
        <w:tc>
          <w:tcPr>
            <w:tcW w:w="1616" w:type="dxa"/>
            <w:vAlign w:val="center"/>
          </w:tcPr>
          <w:p w:rsidR="00C479E3" w:rsidRDefault="00125716">
            <w:pPr>
              <w:jc w:val="right"/>
            </w:pPr>
            <w:r>
              <w:rPr>
                <w:rFonts w:eastAsiaTheme="minorEastAsia"/>
                <w:color w:val="000000"/>
                <w:sz w:val="24"/>
              </w:rPr>
              <w:t>0.01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7D47D8" w:rsidRPr="007D47D8"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185,537.20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0.07</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185,537.20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0.07</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F85CF4" w:rsidRPr="00F85CF4"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C479E3">
        <w:tc>
          <w:tcPr>
            <w:tcW w:w="1252" w:type="dxa"/>
            <w:vAlign w:val="center"/>
          </w:tcPr>
          <w:p w:rsidR="00C479E3" w:rsidRDefault="00125716">
            <w:pPr>
              <w:jc w:val="center"/>
            </w:pPr>
            <w:r>
              <w:rPr>
                <w:rFonts w:eastAsiaTheme="minorEastAsia"/>
                <w:color w:val="000000"/>
                <w:sz w:val="24"/>
              </w:rPr>
              <w:t>1</w:t>
            </w:r>
          </w:p>
        </w:tc>
        <w:tc>
          <w:tcPr>
            <w:tcW w:w="1310" w:type="dxa"/>
            <w:vAlign w:val="center"/>
          </w:tcPr>
          <w:p w:rsidR="00C479E3" w:rsidRDefault="00125716">
            <w:pPr>
              <w:jc w:val="center"/>
            </w:pPr>
            <w:r>
              <w:rPr>
                <w:rFonts w:eastAsiaTheme="minorEastAsia"/>
                <w:color w:val="000000"/>
                <w:sz w:val="24"/>
              </w:rPr>
              <w:t>110056</w:t>
            </w:r>
          </w:p>
        </w:tc>
        <w:tc>
          <w:tcPr>
            <w:tcW w:w="1282" w:type="dxa"/>
            <w:vAlign w:val="center"/>
          </w:tcPr>
          <w:p w:rsidR="00C479E3" w:rsidRDefault="00125716">
            <w:pPr>
              <w:jc w:val="center"/>
            </w:pPr>
            <w:r>
              <w:rPr>
                <w:rFonts w:eastAsiaTheme="minorEastAsia"/>
                <w:color w:val="000000"/>
                <w:sz w:val="24"/>
              </w:rPr>
              <w:t>亨通转债</w:t>
            </w:r>
          </w:p>
        </w:tc>
        <w:tc>
          <w:tcPr>
            <w:tcW w:w="1426" w:type="dxa"/>
            <w:vAlign w:val="center"/>
          </w:tcPr>
          <w:p w:rsidR="00C479E3" w:rsidRDefault="00125716">
            <w:pPr>
              <w:jc w:val="right"/>
            </w:pPr>
            <w:r>
              <w:rPr>
                <w:rFonts w:eastAsiaTheme="minorEastAsia"/>
                <w:color w:val="000000"/>
                <w:sz w:val="24"/>
              </w:rPr>
              <w:t>1,880</w:t>
            </w:r>
          </w:p>
        </w:tc>
        <w:tc>
          <w:tcPr>
            <w:tcW w:w="1646" w:type="dxa"/>
            <w:vAlign w:val="center"/>
          </w:tcPr>
          <w:p w:rsidR="00C479E3" w:rsidRDefault="00125716">
            <w:pPr>
              <w:jc w:val="right"/>
            </w:pPr>
            <w:r>
              <w:rPr>
                <w:rFonts w:eastAsiaTheme="minorEastAsia"/>
                <w:color w:val="000000"/>
                <w:sz w:val="24"/>
              </w:rPr>
              <w:t>185,537.20</w:t>
            </w:r>
          </w:p>
        </w:tc>
        <w:tc>
          <w:tcPr>
            <w:tcW w:w="1612" w:type="dxa"/>
            <w:vAlign w:val="center"/>
          </w:tcPr>
          <w:p w:rsidR="00C479E3" w:rsidRDefault="00125716">
            <w:pPr>
              <w:jc w:val="right"/>
            </w:pPr>
            <w:r>
              <w:rPr>
                <w:rFonts w:eastAsiaTheme="minorEastAsia"/>
                <w:color w:val="000000"/>
                <w:sz w:val="24"/>
              </w:rPr>
              <w:t>0.07</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w:t>
      </w:r>
      <w:r w:rsidRPr="005E324A">
        <w:rPr>
          <w:rFonts w:eastAsiaTheme="minorEastAsia"/>
          <w:b/>
          <w:color w:val="000000"/>
          <w:kern w:val="0"/>
          <w:sz w:val="24"/>
        </w:rPr>
        <w:lastRenderedPageBreak/>
        <w:t>资明细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93699A" w:rsidRPr="005E324A" w:rsidRDefault="0093699A" w:rsidP="006B10DA">
      <w:pPr>
        <w:autoSpaceDE w:val="0"/>
        <w:autoSpaceDN w:val="0"/>
        <w:adjustRightInd w:val="0"/>
        <w:spacing w:line="360" w:lineRule="auto"/>
        <w:jc w:val="left"/>
        <w:rPr>
          <w:rFonts w:eastAsiaTheme="minorEastAsia"/>
          <w:color w:val="00000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93699A" w:rsidRDefault="001C123E" w:rsidP="001C123E">
      <w:pPr>
        <w:widowControl/>
        <w:spacing w:line="360" w:lineRule="auto"/>
        <w:jc w:val="left"/>
        <w:rPr>
          <w:sz w:val="24"/>
        </w:rPr>
      </w:pPr>
      <w:r w:rsidRPr="0093699A">
        <w:rPr>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93699A" w:rsidRPr="005E324A" w:rsidRDefault="0093699A"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报告期内本基金投资的前十名证券的发行主体除格林美（证券代码：</w:t>
      </w:r>
      <w:r w:rsidR="007A6BEA" w:rsidRPr="005E324A">
        <w:rPr>
          <w:rFonts w:eastAsiaTheme="minorEastAsia"/>
          <w:color w:val="000000"/>
          <w:kern w:val="0"/>
          <w:sz w:val="24"/>
        </w:rPr>
        <w:t>002340</w:t>
      </w:r>
      <w:r w:rsidR="007A6BEA" w:rsidRPr="005E324A">
        <w:rPr>
          <w:rFonts w:eastAsiaTheme="minorEastAsia"/>
          <w:color w:val="000000"/>
          <w:kern w:val="0"/>
          <w:sz w:val="24"/>
        </w:rPr>
        <w:t>）外，未出现被监管部门立案调查，或在报告编制日前一年内受到公开谴责、处罚的情形。</w:t>
      </w:r>
    </w:p>
    <w:p w:rsidR="00C479E3" w:rsidRDefault="00125716">
      <w:pPr>
        <w:spacing w:line="360" w:lineRule="auto"/>
        <w:rPr>
          <w:rFonts w:eastAsiaTheme="minorEastAsia"/>
          <w:color w:val="000000"/>
          <w:kern w:val="0"/>
          <w:sz w:val="24"/>
        </w:rPr>
      </w:pPr>
      <w:r>
        <w:rPr>
          <w:rFonts w:eastAsiaTheme="minorEastAsia"/>
          <w:color w:val="000000"/>
          <w:kern w:val="0"/>
          <w:sz w:val="24"/>
        </w:rPr>
        <w:t>报告期内本基金投资的前十名证券之一格林美（证券代码：</w:t>
      </w:r>
      <w:r>
        <w:rPr>
          <w:rFonts w:eastAsiaTheme="minorEastAsia"/>
          <w:color w:val="000000"/>
          <w:kern w:val="0"/>
          <w:sz w:val="24"/>
        </w:rPr>
        <w:t>002340</w:t>
      </w:r>
      <w:r>
        <w:rPr>
          <w:rFonts w:eastAsiaTheme="minorEastAsia"/>
          <w:color w:val="000000"/>
          <w:kern w:val="0"/>
          <w:sz w:val="24"/>
        </w:rPr>
        <w:t>）于</w:t>
      </w:r>
      <w:r>
        <w:rPr>
          <w:rFonts w:eastAsiaTheme="minorEastAsia"/>
          <w:color w:val="000000"/>
          <w:kern w:val="0"/>
          <w:sz w:val="24"/>
        </w:rPr>
        <w:t>2018</w:t>
      </w:r>
      <w:r>
        <w:rPr>
          <w:rFonts w:eastAsiaTheme="minorEastAsia"/>
          <w:color w:val="000000"/>
          <w:kern w:val="0"/>
          <w:sz w:val="24"/>
        </w:rPr>
        <w:t>年</w:t>
      </w:r>
      <w:r>
        <w:rPr>
          <w:rFonts w:eastAsiaTheme="minorEastAsia"/>
          <w:color w:val="000000"/>
          <w:kern w:val="0"/>
          <w:sz w:val="24"/>
        </w:rPr>
        <w:t>9</w:t>
      </w:r>
      <w:r>
        <w:rPr>
          <w:rFonts w:eastAsiaTheme="minorEastAsia"/>
          <w:color w:val="000000"/>
          <w:kern w:val="0"/>
          <w:sz w:val="24"/>
        </w:rPr>
        <w:t>月</w:t>
      </w:r>
      <w:r>
        <w:rPr>
          <w:rFonts w:eastAsiaTheme="minorEastAsia"/>
          <w:color w:val="000000"/>
          <w:kern w:val="0"/>
          <w:sz w:val="24"/>
        </w:rPr>
        <w:t>13</w:t>
      </w:r>
      <w:r>
        <w:rPr>
          <w:rFonts w:eastAsiaTheme="minorEastAsia"/>
          <w:color w:val="000000"/>
          <w:kern w:val="0"/>
          <w:sz w:val="24"/>
        </w:rPr>
        <w:t>日公告，公司下属的格林美（武汉）城市矿产循环产业园开发有限公司近日收到国家市场监督管理总局出具的《行政处罚决定书》（国市监处【</w:t>
      </w:r>
      <w:r>
        <w:rPr>
          <w:rFonts w:eastAsiaTheme="minorEastAsia"/>
          <w:color w:val="000000"/>
          <w:kern w:val="0"/>
          <w:sz w:val="24"/>
        </w:rPr>
        <w:t>2018</w:t>
      </w:r>
      <w:r>
        <w:rPr>
          <w:rFonts w:eastAsiaTheme="minorEastAsia"/>
          <w:color w:val="000000"/>
          <w:kern w:val="0"/>
          <w:sz w:val="24"/>
        </w:rPr>
        <w:t>】</w:t>
      </w:r>
      <w:r>
        <w:rPr>
          <w:rFonts w:eastAsiaTheme="minorEastAsia"/>
          <w:color w:val="000000"/>
          <w:kern w:val="0"/>
          <w:sz w:val="24"/>
        </w:rPr>
        <w:t>11</w:t>
      </w:r>
      <w:r>
        <w:rPr>
          <w:rFonts w:eastAsiaTheme="minorEastAsia"/>
          <w:color w:val="000000"/>
          <w:kern w:val="0"/>
          <w:sz w:val="24"/>
        </w:rPr>
        <w:t>号），因格林美武汉收购武汉三永</w:t>
      </w:r>
      <w:r>
        <w:rPr>
          <w:rFonts w:eastAsiaTheme="minorEastAsia"/>
          <w:color w:val="000000"/>
          <w:kern w:val="0"/>
          <w:sz w:val="24"/>
        </w:rPr>
        <w:t>30%</w:t>
      </w:r>
      <w:r>
        <w:rPr>
          <w:rFonts w:eastAsiaTheme="minorEastAsia"/>
          <w:color w:val="000000"/>
          <w:kern w:val="0"/>
          <w:sz w:val="24"/>
        </w:rPr>
        <w:t>股权事项存在未依法申报的经营者集中，国家市场监督管理总局根据《反垄断法》第四十八条、第四十九条和《未依法申报经营者集中调查处理暂行办法》第十三条规定，对格林美武汉处以</w:t>
      </w:r>
      <w:r>
        <w:rPr>
          <w:rFonts w:eastAsiaTheme="minorEastAsia"/>
          <w:color w:val="000000"/>
          <w:kern w:val="0"/>
          <w:sz w:val="24"/>
        </w:rPr>
        <w:t>30</w:t>
      </w:r>
      <w:r>
        <w:rPr>
          <w:rFonts w:eastAsiaTheme="minorEastAsia"/>
          <w:color w:val="000000"/>
          <w:kern w:val="0"/>
          <w:sz w:val="24"/>
        </w:rPr>
        <w:t>万元人民币罚款的行政处罚。</w:t>
      </w:r>
    </w:p>
    <w:p w:rsidR="00C479E3" w:rsidRDefault="00125716">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w:t>
      </w:r>
      <w:r>
        <w:rPr>
          <w:rFonts w:eastAsiaTheme="minorEastAsia"/>
          <w:color w:val="000000"/>
          <w:kern w:val="0"/>
          <w:sz w:val="24"/>
        </w:rPr>
        <w:lastRenderedPageBreak/>
        <w:t>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18,080.74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3,624.51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2,520.43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24,225.68</w:t>
            </w:r>
          </w:p>
        </w:tc>
      </w:tr>
    </w:tbl>
    <w:p w:rsidR="0093699A" w:rsidRDefault="0093699A" w:rsidP="00576862">
      <w:pPr>
        <w:autoSpaceDE w:val="0"/>
        <w:autoSpaceDN w:val="0"/>
        <w:adjustRightInd w:val="0"/>
        <w:spacing w:line="360" w:lineRule="auto"/>
        <w:jc w:val="left"/>
        <w:rPr>
          <w:rFonts w:eastAsiaTheme="minorEastAsia"/>
          <w:b/>
          <w:bCs/>
          <w:color w:val="000000"/>
          <w:kern w:val="0"/>
          <w:sz w:val="24"/>
        </w:rPr>
      </w:pP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93699A" w:rsidRDefault="0093699A"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93699A" w:rsidRDefault="0093699A"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93699A">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264,483,322.99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20,691,321.00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20,691,321.00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166,880.00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14,760,215.18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2,736,606.00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-1,368,303.00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-1,368,303.00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252,626,593.81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19,323,018.00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19,323,018.00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93699A" w:rsidRDefault="0093699A" w:rsidP="003D4E5A">
      <w:pPr>
        <w:spacing w:line="360" w:lineRule="auto"/>
        <w:jc w:val="left"/>
        <w:rPr>
          <w:b/>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lastRenderedPageBreak/>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C479E3" w:rsidRDefault="00125716">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bookmarkStart w:id="0" w:name="_GoBack"/>
      <w:bookmarkEnd w:id="0"/>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w:t>
      </w:r>
      <w:r w:rsidRPr="005E324A">
        <w:rPr>
          <w:rFonts w:eastAsiaTheme="minorEastAsia"/>
          <w:color w:val="000000"/>
          <w:sz w:val="24"/>
        </w:rPr>
        <w:lastRenderedPageBreak/>
        <w:t>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4D" w:rsidRDefault="00B8624D">
      <w:r>
        <w:separator/>
      </w:r>
    </w:p>
  </w:endnote>
  <w:endnote w:type="continuationSeparator" w:id="0">
    <w:p w:rsidR="00B8624D" w:rsidRDefault="00B8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527992">
      <w:rPr>
        <w:rStyle w:val="a7"/>
        <w:noProof/>
      </w:rPr>
      <w:t>11</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4D" w:rsidRDefault="00B8624D">
      <w:r>
        <w:separator/>
      </w:r>
    </w:p>
  </w:footnote>
  <w:footnote w:type="continuationSeparator" w:id="0">
    <w:p w:rsidR="00B8624D" w:rsidRDefault="00B86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16"/>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0A58"/>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27992"/>
    <w:rsid w:val="00530D61"/>
    <w:rsid w:val="005318CC"/>
    <w:rsid w:val="00531D1B"/>
    <w:rsid w:val="005349B1"/>
    <w:rsid w:val="005359A3"/>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1F1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699A"/>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1C38"/>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234"/>
    <w:rsid w:val="00B437C5"/>
    <w:rsid w:val="00B46E00"/>
    <w:rsid w:val="00B54370"/>
    <w:rsid w:val="00B55185"/>
    <w:rsid w:val="00B61923"/>
    <w:rsid w:val="00B621D6"/>
    <w:rsid w:val="00B63EF5"/>
    <w:rsid w:val="00B64F5C"/>
    <w:rsid w:val="00B65D6F"/>
    <w:rsid w:val="00B67C23"/>
    <w:rsid w:val="00B70DC7"/>
    <w:rsid w:val="00B715FD"/>
    <w:rsid w:val="00B73042"/>
    <w:rsid w:val="00B74BB9"/>
    <w:rsid w:val="00B75283"/>
    <w:rsid w:val="00B75735"/>
    <w:rsid w:val="00B77142"/>
    <w:rsid w:val="00B80A2C"/>
    <w:rsid w:val="00B81F60"/>
    <w:rsid w:val="00B841AC"/>
    <w:rsid w:val="00B843ED"/>
    <w:rsid w:val="00B8624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479E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1270</Words>
  <Characters>7242</Characters>
  <Application>Microsoft Office Word</Application>
  <DocSecurity>0</DocSecurity>
  <Lines>60</Lines>
  <Paragraphs>16</Paragraphs>
  <ScaleCrop>false</ScaleCrop>
  <Company>TRT. Ltd. Co.</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200</cp:revision>
  <cp:lastPrinted>2007-07-19T00:46:00Z</cp:lastPrinted>
  <dcterms:created xsi:type="dcterms:W3CDTF">2012-11-28T02:28:00Z</dcterms:created>
  <dcterms:modified xsi:type="dcterms:W3CDTF">2019-07-12T10:13:00Z</dcterms:modified>
</cp:coreProperties>
</file>