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交银施罗德沪港深价值精选灵活配置混合型证券投资基金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
      </w:r>
      <w:proofErr w:type="spellStart"/>
      <w:r w:rsidRPr="0081286B">
        <w:rPr>
          <w:b/>
          <w:sz w:val="36"/>
          <w:szCs w:val="36"/>
        </w:rPr>
        <w:t/>
      </w:r>
      <w:proofErr w:type="spellEnd"/>
      <w:r w:rsidRPr="0081286B">
        <w:rPr>
          <w:b/>
          <w:sz w:val="36"/>
          <w:szCs w:val="36"/>
        </w:rPr>
        <w:t>2019年第2季度报告</w:t>
      </w:r>
    </w:p>
    <w:p w:rsidP="00C15CAC" w:rsidR="004061AC" w:rsidRDefault="00655CD8"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2019年6月30日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proofErr w:type="spellStart"/>
      <w:proofErr w:type="gramStart"/>
      <w:r w:rsidR="00F16E3F" w:rsidRPr="0081286B">
        <w:rPr>
          <w:b/>
          <w:color w:val="000000"/>
          <w:sz w:val="24"/>
          <w:szCs w:val="24"/>
        </w:rPr>
        <w:t/>
      </w:r>
      <w:r w:rsidR="0042009D" w:rsidRPr="0081286B">
        <w:rPr>
          <w:b/>
          <w:color w:val="000000"/>
          <w:sz w:val="24"/>
          <w:szCs w:val="24"/>
        </w:rPr>
        <w:t/>
      </w:r>
      <w:proofErr w:type="spellEnd"/>
      <w:proofErr w:type="gramEnd"/>
      <w:r w:rsidR="00F16E3F" w:rsidRPr="0081286B">
        <w:rPr>
          <w:b/>
          <w:color w:val="000000"/>
          <w:sz w:val="24"/>
          <w:szCs w:val="24"/>
        </w:rPr>
        <w:t>二〇一九年七月十七日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本报告期自2019年4月1日起至6月30日止。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交银沪港深价值精选混合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519779</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
            </w:r>
            <w:proofErr w:type="spellStart"/>
            <w:r w:rsidRPr="00414345">
              <w:rPr>
                <w:kern w:val="0"/>
                <w:sz w:val="24"/>
              </w:rPr>
              <w:t/>
            </w:r>
            <w:proofErr w:type="spellEnd"/>
            <w:r w:rsidRPr="00414345">
              <w:rPr>
                <w:kern w:val="0"/>
                <w:sz w:val="24"/>
              </w:rPr>
              <w:t/>
            </w:r>
            <w:proofErr w:type="spellStart"/>
            <w:r w:rsidRPr="00414345">
              <w:rPr>
                <w:kern w:val="0"/>
                <w:sz w:val="24"/>
              </w:rPr>
              <w:t/>
            </w:r>
            <w:proofErr w:type="spellEnd"/>
            <w:r w:rsidRPr="00414345">
              <w:rPr>
                <w:kern w:val="0"/>
                <w:sz w:val="24"/>
              </w:rPr>
              <w:t/>
            </w:r>
            <w:proofErr w:type="spellStart"/>
            <w:r w:rsidRPr="00414345">
              <w:rPr>
                <w:kern w:val="0"/>
                <w:sz w:val="24"/>
              </w:rPr>
              <w:t/>
            </w:r>
            <w:proofErr w:type="spellEnd"/>
            <w:r w:rsidRPr="00414345">
              <w:rPr>
                <w:kern w:val="0"/>
                <w:sz w:val="24"/>
              </w:rPr>
              <w:t>519779</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2016年11月7日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514,320,254.68</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本基金通过优化资产配置和灵活运用多种投资策略，把握沪港通及后续资本市场开放政策带来的投资机会，力争实现基金资产的长期稳定增值。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沪深300指数收益率×40%+恒生指数收益率×40%+中证综合债券指数收益率×20%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本基金是一只混合型基金，其风险和预期收益高于债券型基金和货币市场基金，低于股票型基金。属于承担较高风险、预期收益较高的证券投资基金品种。</w:t>
            </w:r>
          </w:p>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roofErr w:type="spellStart"/>
            <w:r w:rsidR="00D96C8D" w:rsidRPr="00414345">
              <w:rPr>
                <w:kern w:val="0"/>
                <w:sz w:val="24"/>
                <w:szCs w:val="24"/>
              </w:rPr>
              <w:t/>
            </w:r>
            <w:proofErr w:type="spellEnd"/>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w:t>
            </w:r>
            <w:proofErr w:type="spellStart"/>
            <w:r w:rsidRPr="00414345">
              <w:rPr>
                <w:color w:val="000000"/>
                <w:sz w:val="24"/>
                <w:szCs w:val="24"/>
              </w:rPr>
              <w:t/>
            </w:r>
            <w:proofErr w:type="spellEnd"/>
            <w:r w:rsidRPr="00414345">
              <w:rPr>
                <w:color w:val="000000"/>
                <w:sz w:val="24"/>
                <w:szCs w:val="24"/>
              </w:rPr>
              <w:t>2019年4月1日-</w:t>
            </w:r>
            <w:proofErr w:type="spellStart"/>
            <w:r w:rsidRPr="00414345">
              <w:rPr>
                <w:color w:val="000000"/>
                <w:sz w:val="24"/>
                <w:szCs w:val="24"/>
              </w:rPr>
              <w:t/>
            </w:r>
            <w:proofErr w:type="spellEnd"/>
            <w:r w:rsidRPr="00414345">
              <w:rPr>
                <w:color w:val="000000"/>
                <w:sz w:val="24"/>
                <w:szCs w:val="24"/>
              </w:rPr>
              <w:t>2019年6月30日)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roofErr w:type="spellStart"/>
            <w:r w:rsidR="006A7AF1" w:rsidRPr="00414345">
              <w:rPr>
                <w:color w:val="000000"/>
                <w:sz w:val="24"/>
                <w:szCs w:val="24"/>
              </w:rPr>
              <w:t/>
            </w:r>
            <w:proofErr w:type="spellEnd"/>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1,122,717.69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-4,022,796.40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-0.0087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572,858,865.65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1.114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roofErr w:type="spellStart"/>
            <w:r w:rsidR="00200FAB" w:rsidRPr="00414345">
              <w:rPr>
                <w:color w:val="000000"/>
                <w:sz w:val="24"/>
                <w:szCs w:val="24"/>
              </w:rPr>
              <w:t/>
            </w:r>
            <w:proofErr w:type="spellEnd"/>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-2.11%</w:t>
            </w:r>
          </w:p>
        </w:tc>
        <w:tc>
          <w:tcPr>
            <w:vAlign w:val="center"/>
          </w:tcPr>
          <w:p>
            <w:pPr>
              <w:jc w:val="center"/>
            </w:pPr>
            <w:r>
              <w:rPr>
                <w:color w:val="000000"/>
                <w:sz w:val="24"/>
                <w:szCs w:val="24"/>
              </w:rPr>
              <w:t>1.16%</w:t>
            </w:r>
          </w:p>
        </w:tc>
        <w:tc>
          <w:tcPr>
            <w:vAlign w:val="center"/>
          </w:tcPr>
          <w:p>
            <w:pPr>
              <w:jc w:val="center"/>
            </w:pPr>
            <w:r>
              <w:rPr>
                <w:color w:val="000000"/>
                <w:sz w:val="24"/>
                <w:szCs w:val="24"/>
              </w:rPr>
              <w:t>-0.92%</w:t>
            </w:r>
          </w:p>
        </w:tc>
        <w:tc>
          <w:tcPr>
            <w:vAlign w:val="center"/>
          </w:tcPr>
          <w:p>
            <w:pPr>
              <w:jc w:val="center"/>
            </w:pPr>
            <w:r>
              <w:rPr>
                <w:color w:val="000000"/>
                <w:sz w:val="24"/>
                <w:szCs w:val="24"/>
              </w:rPr>
              <w:t>0.90%</w:t>
            </w:r>
          </w:p>
        </w:tc>
        <w:tc>
          <w:tcPr>
            <w:vAlign w:val="center"/>
          </w:tcPr>
          <w:p>
            <w:pPr>
              <w:jc w:val="center"/>
            </w:pPr>
            <w:r>
              <w:rPr>
                <w:color w:val="000000"/>
                <w:sz w:val="24"/>
                <w:szCs w:val="24"/>
              </w:rPr>
              <w:t>-1.19%</w:t>
            </w:r>
          </w:p>
        </w:tc>
        <w:tc>
          <w:tcPr>
            <w:vAlign w:val="center"/>
          </w:tcPr>
          <w:p>
            <w:pPr>
              <w:jc w:val="center"/>
            </w:pPr>
            <w:r>
              <w:rPr>
                <w:color w:val="000000"/>
                <w:sz w:val="24"/>
                <w:szCs w:val="24"/>
              </w:rPr>
              <w:t>0.26%</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
      </w:r>
      <w:proofErr w:type="spellStart"/>
      <w:r w:rsidR="000824E7" w:rsidRPr="00F81917">
        <w:rPr>
          <w:rFonts w:hint="eastAsia"/>
          <w:b/>
          <w:bCs/>
          <w:color w:val="000000"/>
          <w:kern w:val="0"/>
          <w:sz w:val="24"/>
          <w:szCs w:val="24"/>
        </w:rPr>
        <w:t/>
      </w:r>
      <w:proofErr w:type="spellEnd"/>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交银施罗德沪港深价值精选灵活配置混合型证券投资基金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
      </w:r>
      <w:proofErr w:type="spellStart"/>
      <w:r w:rsidR="0042009D" w:rsidRPr="00414345">
        <w:rPr>
          <w:rFonts w:ascii="Times New Roman" w:cs="Times New Roman" w:hAnsi="Times New Roman"/>
          <w:sz w:val="24"/>
          <w:szCs w:val="24"/>
        </w:rPr>
        <w:t/>
      </w:r>
      <w:proofErr w:type="spellEnd"/>
      <w:r w:rsidR="0042009D" w:rsidRPr="00414345">
        <w:rPr>
          <w:rFonts w:ascii="Times New Roman" w:cs="Times New Roman" w:hAnsi="Times New Roman"/>
          <w:sz w:val="24"/>
          <w:szCs w:val="24"/>
        </w:rPr>
        <w:t>2016年11月7日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
      </w:r>
      <w:proofErr w:type="spellStart"/>
      <w:r w:rsidR="00AE7962" w:rsidRPr="00414345">
        <w:rPr>
          <w:rFonts w:ascii="Times New Roman" w:cs="Times New Roman" w:hAnsi="Times New Roman"/>
          <w:sz w:val="24"/>
          <w:szCs w:val="24"/>
        </w:rPr>
        <w:t/>
      </w:r>
      <w:proofErr w:type="spellEnd"/>
      <w:r w:rsidR="00AE7962" w:rsidRPr="00414345">
        <w:rPr>
          <w:rFonts w:ascii="Times New Roman" w:cs="Times New Roman" w:hAnsi="Times New Roman"/>
          <w:sz w:val="24"/>
          <w:szCs w:val="24"/>
        </w:rPr>
        <w:t>2019年6月30日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r w:rsidR="008700EC"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陈俊华</w:t>
            </w:r>
          </w:p>
        </w:tc>
        <w:tc>
          <w:tcPr>
            <w:vAlign w:val="center"/>
          </w:tcPr>
          <w:p>
            <w:pPr>
              <w:jc w:val="center"/>
            </w:pPr>
            <w:r>
              <w:rPr>
                <w:color w:val="000000"/>
                <w:sz w:val="24"/>
                <w:szCs w:val="24"/>
              </w:rPr>
              <w:t>交银环球精选混合(QDII)、交银全球资源混合(QDII)、交银沪港深价值精选混合、交银核心资产混合的基金经理，公司跨境投资副总监</w:t>
            </w:r>
          </w:p>
        </w:tc>
        <w:tc>
          <w:tcPr>
            <w:vAlign w:val="center"/>
          </w:tcPr>
          <w:p>
            <w:pPr>
              <w:jc w:val="center"/>
            </w:pPr>
            <w:r>
              <w:rPr>
                <w:color w:val="000000"/>
                <w:sz w:val="24"/>
                <w:szCs w:val="24"/>
              </w:rPr>
              <w:t>2016-11-07</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陈俊华女士，中国国籍，上海交通大学金融学硕士。历任国泰君安证券研究部研究员、中国国际金融有限公司研究部公用事业组负责人。2015年加入交银施罗德基金管理有限公司。</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proofErr w:type="gramEnd"/>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00957594" w:rsidRPr="00414345">
        <w:rPr>
          <w:color w:val="000000"/>
          <w:sz w:val="24"/>
          <w:szCs w:val="24"/>
        </w:rPr>
        <w:t/>
      </w:r>
      <w:proofErr w:type="spellEnd"/>
      <w:proofErr w:type="gramEnd"/>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二季度，全球股市均有较大波动，宏观预期的波动仍是驱动市场的主因。影响因素主要来自两方面：一是贸易分歧的谈判进程；二是欧美市场对于流动性预期的波动。二季度，欧、美十年期国债收益率一度降到历史低点，反映出投资者风险偏好快速降低。随后，联储降息预期的变化以及中美贸易摩擦分歧的波动，给股市造成了短期波动。落实到具体结构来看，港股受海外流动性的影响更大一些，二季度反弹相对薄弱。A股市场局部热点仍多：北上资金关注细分行业龙头、科创版成立带来相关科技股关注度提升等等。总结而言，市场短期风格轮动的波动，比我们的预期更为频繁。</w:t>
      </w:r>
    </w:p>
    <w:p>
      <w:pPr>
        <w:spacing w:before="29" w:line="288" w:lineRule="auto"/>
        <w:ind w:firstLine="480" w:firstLineChars="200"/>
        <w:rPr>
          <w:color w:val="000000"/>
          <w:sz w:val="24"/>
          <w:szCs w:val="24"/>
        </w:rPr>
      </w:pPr>
      <w:r>
        <w:rPr>
          <w:color w:val="000000"/>
          <w:sz w:val="24"/>
          <w:szCs w:val="24"/>
        </w:rPr>
        <w:t>回顾2019年二季度，我们较一季度提升仓位，维持中高仓位运行，持股更为集中。具体选股，仍以防御性偏好为主，积极配置具备比较优势的行业龙头。主要布局于消费和科技领域，减少了地产板块的配置。我们对于公司财务更趋严苛，更为关注候选标的的财务稳健性。我们认为，在总体经济增速仍具压力的情形下，稳健的财务有助公司抵御风险，甚至更快扩充市场份额。回顾二季度操作，选股对组合产生了正面推动，我们将努力继续发挥长处，力求更好；不足在于，我们中高仓位运行，没有有效规避四、五月的市场下跌，给组合造成了一定回撤，未来我们将在回撤控制方面做更多的努力。</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展望2019年三季度，我们较上半年更为乐观。首先，贸易摩擦或将在较长时间内存续，对于股市的边际影响在减弱。其次，在资金流动性方面，我们认为边际趋紧的概率较小。最后，也是最为重要的，我们仍然密切关注“减税降费”对于企业的实质性的改善效应，而这将在下半年逐步体现。上市公司层面，我们仍积极在消费、科技领域寻找优质龙头公司，此外，我们对于制造业也保持乐观。目前制造业的估值已经部分反映了悲观预期。从调研情况看，实体本身也经历了一段出清的过程，行业内分化加速，部分龙头开始逐步企稳。总体而言，我们对下半年谨慎乐观，我们仍坚持深入研究，集中持股的策略，积极布局具备比较优势的行业龙头。我们将继续勤勉尽责地积极调研，努力为投资人赚取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proofErr w:type="spellStart"/>
      <w:r w:rsidRPr="009C1009">
        <w:rPr>
          <w:rFonts w:hint="eastAsia"/>
          <w:color w:val="000000"/>
          <w:kern w:val="0"/>
        </w:rPr>
        <w:t/>
      </w:r>
      <w:proofErr w:type="spellEnd"/>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hint="eastAsia"/>
                <w:color w:themeColor="text1" w:val="000000"/>
                <w:sz w:val="24"/>
                <w:szCs w:val="24"/>
              </w:rPr>
            </w:pPr>
            <w:r w:rsidRPr="007B5F21">
              <w:rPr>
                <w:rFonts w:eastAsiaTheme="minorEastAsia"/>
                <w:color w:themeColor="text1" w:val="000000"/>
                <w:sz w:val="24"/>
                <w:szCs w:val="24"/>
              </w:rPr>
              <w:t>占基金总资产的比例</w:t>
            </w:r>
            <w:r w:rsidR="00CE39AB">
              <w:rPr>
                <w:rFonts w:eastAsiaTheme="minorEastAsia" w:hint="eastAsia"/>
                <w:color w:themeColor="text1" w:val="000000"/>
                <w:sz w:val="24"/>
                <w:szCs w:val="24"/>
              </w:rPr>
              <w:t>（</w:t>
            </w:r>
            <w:r w:rsidR="00CE39AB">
              <w:rPr>
                <w:rFonts w:eastAsiaTheme="minorEastAsia" w:hint="eastAsia"/>
                <w:color w:themeColor="text1" w:val="000000"/>
                <w:sz w:val="24"/>
                <w:szCs w:val="24"/>
              </w:rPr>
              <w:t>%</w:t>
            </w:r>
            <w:bookmarkStart w:id="2" w:name="_GoBack"/>
            <w:bookmarkEnd w:id="2"/>
            <w:r w:rsidR="00CE39A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486,673,387.89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83.84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486,673,387.89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83.84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29,985,000.00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5.17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29,985,000.00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5.17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w:t>
            </w:r>
            <w:proofErr w:type="gramStart"/>
            <w:r w:rsidRPr="007B5F21">
              <w:rPr>
                <w:rFonts w:eastAsiaTheme="minorEastAsia"/>
                <w:color w:themeColor="text1" w:val="000000"/>
                <w:sz w:val="24"/>
                <w:szCs w:val="24"/>
              </w:rPr>
              <w:t>品投资</w:t>
            </w:r>
            <w:proofErr w:type="gramEnd"/>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63,107,485.68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10.87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731,860.00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0.13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580,497,733.57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proofErr w:type="spellStart"/>
      <w:r w:rsidRPr="004A3846">
        <w:rPr>
          <w:b/>
          <w:color w:themeColor="text1" w:val="000000"/>
          <w:sz w:val="24"/>
        </w:rPr>
        <w:t/>
      </w:r>
      <w:proofErr w:type="spellEnd"/>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proofErr w:type="spellStart"/>
      <w:r w:rsidRPr="009C1009">
        <w:rPr>
          <w:rFonts w:eastAsiaTheme="minorEastAsia" w:hint="eastAsia"/>
          <w:color w:themeColor="text1" w:val="000000"/>
          <w:kern w:val="0"/>
          <w:sz w:val="24"/>
        </w:rPr>
        <w:t/>
      </w:r>
      <w:proofErr w:type="spellEnd"/>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roofErr w:type="spellStart"/>
            <w:r w:rsidR="005E475E" w:rsidRPr="00414345">
              <w:rPr>
                <w:sz w:val="24"/>
                <w:szCs w:val="24"/>
              </w:rPr>
              <w:t/>
            </w:r>
            <w:proofErr w:type="spellEnd"/>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336,735.25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185,135,409.31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32.32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16,533,424.54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2.89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r w:rsidRPr="00414345">
              <w:rPr>
                <w:sz w:val="24"/>
                <w:szCs w:val="24"/>
              </w:rPr>
              <w:lastRenderedPageBreak/>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proofErr w:type="spellStart"/>
            <w:r w:rsidRPr="00414345">
              <w:rPr>
                <w:sz w:val="24"/>
                <w:szCs w:val="24"/>
              </w:rPr>
              <w:t/>
            </w:r>
            <w:r w:rsidRPr="00414345">
              <w:rPr>
                <w:sz w:val="24"/>
                <w:szCs w:val="24"/>
              </w:rPr>
              <w:lastRenderedPageBreak/>
              <w:t/>
            </w:r>
            <w:proofErr w:type="spellEnd"/>
            <w:r w:rsidRPr="00414345">
              <w:rPr>
                <w:sz w:val="24"/>
                <w:szCs w:val="24"/>
              </w:rPr>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54,173,218.49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9.46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62,945,564.31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10.99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45,606,000.00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7.96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33,165.74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2,013,050.00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0.35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23,106.60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366,799,674.24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64.03</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proofErr w:type="spellStart"/>
      <w:r w:rsidRPr="008A409E">
        <w:rPr>
          <w:rFonts w:asciiTheme="minorEastAsia" w:eastAsiaTheme="minorEastAsia" w:hAnsiTheme="minorEastAsia"/>
          <w:b/>
          <w:bCs/>
          <w:color w:themeColor="text1" w:val="000000"/>
          <w:kern w:val="0"/>
          <w:sz w:val="24"/>
        </w:rPr>
        <w:t/>
      </w:r>
      <w:proofErr w:type="spellEnd"/>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tbl>
      <w:tblPr>
        <w:tblW w:type="dxa" w:w="8634"/>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1" w:val="04A0"/>
      </w:tblPr>
      <w:tblGrid>
        <w:gridCol w:w="2397"/>
        <w:gridCol w:w="3119"/>
        <w:gridCol w:w="3118"/>
      </w:tblGrid>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行业类别</w:t>
            </w:r>
            <w:r w:rsidRPr="00FF0BBF">
              <w:rPr>
                <w:color w:val="000000"/>
                <w:sz w:val="24"/>
              </w:rPr>
              <w:t/>
            </w:r>
            <w:proofErr w:type="spellStart"/>
            <w:r w:rsidRPr="00FF0BBF">
              <w:rPr>
                <w:color w:val="000000"/>
                <w:sz w:val="24"/>
              </w:rPr>
              <w:t/>
            </w:r>
            <w:proofErr w:type="spellEnd"/>
            <w:r w:rsidRPr="00FF0BBF">
              <w:rPr>
                <w:color w:val="000000"/>
                <w:sz w:val="24"/>
              </w:rPr>
              <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公允价值（人民币）</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tc>
          <w:tcPr>
            <w:vAlign w:val="center"/>
          </w:tcPr>
          <w:p>
            <w:pPr>
              <w:jc w:val="center"/>
            </w:pPr>
            <w:r>
              <w:rPr>
                <w:color w:val="000000"/>
                <w:sz w:val="24"/>
              </w:rPr>
              <w:t>房地产</w:t>
            </w:r>
          </w:p>
        </w:tc>
        <w:tc>
          <w:tcPr>
            <w:vAlign w:val="center"/>
          </w:tcPr>
          <w:p>
            <w:pPr>
              <w:jc w:val="center"/>
            </w:pPr>
            <w:r>
              <w:rPr>
                <w:color w:val="000000"/>
                <w:sz w:val="24"/>
              </w:rPr>
              <w:t>18,120,996.00</w:t>
            </w:r>
          </w:p>
        </w:tc>
        <w:tc>
          <w:tcPr>
            <w:vAlign w:val="center"/>
          </w:tcPr>
          <w:p>
            <w:pPr>
              <w:jc w:val="center"/>
            </w:pPr>
            <w:r>
              <w:rPr>
                <w:color w:val="000000"/>
                <w:sz w:val="24"/>
              </w:rPr>
              <w:t>3.16</w:t>
            </w:r>
          </w:p>
        </w:tc>
      </w:tr>
      <w:tr>
        <w:tc>
          <w:tcPr>
            <w:vAlign w:val="center"/>
          </w:tcPr>
          <w:p>
            <w:pPr>
              <w:jc w:val="center"/>
            </w:pPr>
            <w:r>
              <w:rPr>
                <w:color w:val="000000"/>
                <w:sz w:val="24"/>
              </w:rPr>
              <w:t>非日常生活消费品</w:t>
            </w:r>
          </w:p>
        </w:tc>
        <w:tc>
          <w:tcPr>
            <w:vAlign w:val="center"/>
          </w:tcPr>
          <w:p>
            <w:pPr>
              <w:jc w:val="center"/>
            </w:pPr>
            <w:r>
              <w:rPr>
                <w:color w:val="000000"/>
                <w:sz w:val="24"/>
              </w:rPr>
              <w:t>9,447,548.40</w:t>
            </w:r>
          </w:p>
        </w:tc>
        <w:tc>
          <w:tcPr>
            <w:vAlign w:val="center"/>
          </w:tcPr>
          <w:p>
            <w:pPr>
              <w:jc w:val="center"/>
            </w:pPr>
            <w:r>
              <w:rPr>
                <w:color w:val="000000"/>
                <w:sz w:val="24"/>
              </w:rPr>
              <w:t>1.65</w:t>
            </w:r>
          </w:p>
        </w:tc>
      </w:tr>
      <w:tr>
        <w:tc>
          <w:tcPr>
            <w:vAlign w:val="center"/>
          </w:tcPr>
          <w:p>
            <w:pPr>
              <w:jc w:val="center"/>
            </w:pPr>
            <w:r>
              <w:rPr>
                <w:color w:val="000000"/>
                <w:sz w:val="24"/>
              </w:rPr>
              <w:t>公用事业</w:t>
            </w:r>
          </w:p>
        </w:tc>
        <w:tc>
          <w:tcPr>
            <w:vAlign w:val="center"/>
          </w:tcPr>
          <w:p>
            <w:pPr>
              <w:jc w:val="center"/>
            </w:pPr>
            <w:r>
              <w:rPr>
                <w:color w:val="000000"/>
                <w:sz w:val="24"/>
              </w:rPr>
              <w:t>16,247,320.20</w:t>
            </w:r>
          </w:p>
        </w:tc>
        <w:tc>
          <w:tcPr>
            <w:vAlign w:val="center"/>
          </w:tcPr>
          <w:p>
            <w:pPr>
              <w:jc w:val="center"/>
            </w:pPr>
            <w:r>
              <w:rPr>
                <w:color w:val="000000"/>
                <w:sz w:val="24"/>
              </w:rPr>
              <w:t>2.84</w:t>
            </w:r>
          </w:p>
        </w:tc>
      </w:tr>
      <w:tr>
        <w:tc>
          <w:tcPr>
            <w:vAlign w:val="center"/>
          </w:tcPr>
          <w:p>
            <w:pPr>
              <w:jc w:val="center"/>
            </w:pPr>
            <w:r>
              <w:rPr>
                <w:color w:val="000000"/>
                <w:sz w:val="24"/>
              </w:rPr>
              <w:t>金融</w:t>
            </w:r>
          </w:p>
        </w:tc>
        <w:tc>
          <w:tcPr>
            <w:vAlign w:val="center"/>
          </w:tcPr>
          <w:p>
            <w:pPr>
              <w:jc w:val="center"/>
            </w:pPr>
            <w:r>
              <w:rPr>
                <w:color w:val="000000"/>
                <w:sz w:val="24"/>
              </w:rPr>
              <w:t>14,556,613.68</w:t>
            </w:r>
          </w:p>
        </w:tc>
        <w:tc>
          <w:tcPr>
            <w:vAlign w:val="center"/>
          </w:tcPr>
          <w:p>
            <w:pPr>
              <w:jc w:val="center"/>
            </w:pPr>
            <w:r>
              <w:rPr>
                <w:color w:val="000000"/>
                <w:sz w:val="24"/>
              </w:rPr>
              <w:t>2.54</w:t>
            </w:r>
          </w:p>
        </w:tc>
      </w:tr>
      <w:tr>
        <w:tc>
          <w:tcPr>
            <w:vAlign w:val="center"/>
          </w:tcPr>
          <w:p>
            <w:pPr>
              <w:jc w:val="center"/>
            </w:pPr>
            <w:r>
              <w:rPr>
                <w:color w:val="000000"/>
                <w:sz w:val="24"/>
              </w:rPr>
              <w:t>通讯服务</w:t>
            </w:r>
          </w:p>
        </w:tc>
        <w:tc>
          <w:tcPr>
            <w:vAlign w:val="center"/>
          </w:tcPr>
          <w:p>
            <w:pPr>
              <w:jc w:val="center"/>
            </w:pPr>
            <w:r>
              <w:rPr>
                <w:color w:val="000000"/>
                <w:sz w:val="24"/>
              </w:rPr>
              <w:t>47,303,522.97</w:t>
            </w:r>
          </w:p>
        </w:tc>
        <w:tc>
          <w:tcPr>
            <w:vAlign w:val="center"/>
          </w:tcPr>
          <w:p>
            <w:pPr>
              <w:jc w:val="center"/>
            </w:pPr>
            <w:r>
              <w:rPr>
                <w:color w:val="000000"/>
                <w:sz w:val="24"/>
              </w:rPr>
              <w:t>8.26</w:t>
            </w:r>
          </w:p>
        </w:tc>
      </w:tr>
      <w:tr>
        <w:tc>
          <w:tcPr>
            <w:vAlign w:val="center"/>
          </w:tcPr>
          <w:p>
            <w:pPr>
              <w:jc w:val="center"/>
            </w:pPr>
            <w:r>
              <w:rPr>
                <w:color w:val="000000"/>
                <w:sz w:val="24"/>
              </w:rPr>
              <w:t>信息技术</w:t>
            </w:r>
          </w:p>
        </w:tc>
        <w:tc>
          <w:tcPr>
            <w:vAlign w:val="center"/>
          </w:tcPr>
          <w:p>
            <w:pPr>
              <w:jc w:val="center"/>
            </w:pPr>
            <w:r>
              <w:rPr>
                <w:color w:val="000000"/>
                <w:sz w:val="24"/>
              </w:rPr>
              <w:t>14,197,712.40</w:t>
            </w:r>
          </w:p>
        </w:tc>
        <w:tc>
          <w:tcPr>
            <w:vAlign w:val="center"/>
          </w:tcPr>
          <w:p>
            <w:pPr>
              <w:jc w:val="center"/>
            </w:pPr>
            <w:r>
              <w:rPr>
                <w:color w:val="000000"/>
                <w:sz w:val="24"/>
              </w:rPr>
              <w:t>2.48</w:t>
            </w:r>
          </w:p>
        </w:tc>
      </w:tr>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合计</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proofErr w:type="spellStart"/>
            <w:r w:rsidRPr="00FF0BBF">
              <w:rPr>
                <w:color w:val="000000"/>
                <w:sz w:val="24"/>
              </w:rPr>
              <w:t/>
            </w:r>
            <w:proofErr w:type="spellEnd"/>
            <w:r w:rsidRPr="00FF0BBF">
              <w:rPr>
                <w:rFonts w:hint="eastAsia"/>
                <w:color w:val="000000"/>
                <w:sz w:val="24"/>
              </w:rPr>
              <w:t>119,873,713.65</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20.93</w:t>
            </w:r>
          </w:p>
        </w:tc>
      </w:tr>
    </w:tbl>
    <w:p w:rsidP="00F51C4E" w:rsidR="00F51C4E" w:rsidRDefault="00F51C4E">
      <w:pPr>
        <w:spacing w:before="29" w:line="360" w:lineRule="auto"/>
        <w:ind w:left="17"/>
        <w:rPr>
          <w:color w:val="000000"/>
          <w:sz w:val="24"/>
        </w:rPr>
      </w:pPr>
      <w:r w:rsidRPr="00FF0BBF">
        <w:rPr>
          <w:color w:val="000000"/>
          <w:sz w:val="24"/>
        </w:rPr>
        <w:t/>
      </w:r>
      <w:proofErr w:type="spellStart"/>
      <w:r w:rsidRPr="00FF0BBF">
        <w:rPr>
          <w:color w:val="000000"/>
          <w:sz w:val="24"/>
        </w:rPr>
        <w:t/>
      </w:r>
      <w:proofErr w:type="spellEnd"/>
      <w:r w:rsidRPr="00FF0BBF">
        <w:rPr>
          <w:color w:val="000000"/>
          <w:sz w:val="24"/>
        </w:rPr>
        <w:t/>
      </w:r>
      <w:proofErr w:type="spellStart"/>
      <w:proofErr w:type="gramStart"/>
      <w:r w:rsidRPr="00FF0BBF">
        <w:rPr>
          <w:color w:val="000000"/>
          <w:sz w:val="24"/>
        </w:rPr>
        <w:t/>
      </w:r>
      <w:proofErr w:type="spellEnd"/>
      <w:proofErr w:type="gramEnd"/>
      <w:r w:rsidRPr="00FF0BBF">
        <w:rPr>
          <w:color w:val="000000"/>
          <w:sz w:val="24"/>
        </w:rPr>
        <w:t>注：以上分类采用全球行业分类标准（GICS）。</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H00788</w:t>
            </w:r>
          </w:p>
        </w:tc>
        <w:tc>
          <w:tcPr>
            <w:vAlign w:val="center"/>
          </w:tcPr>
          <w:p>
            <w:pPr>
              <w:jc w:val="center"/>
            </w:pPr>
            <w:r>
              <w:rPr>
                <w:color w:val="000000"/>
                <w:sz w:val="24"/>
                <w:szCs w:val="24"/>
              </w:rPr>
              <w:t>中国铁塔</w:t>
            </w:r>
          </w:p>
        </w:tc>
        <w:tc>
          <w:tcPr>
            <w:vAlign w:val="center"/>
          </w:tcPr>
          <w:p>
            <w:pPr>
              <w:jc w:val="right"/>
            </w:pPr>
            <w:r>
              <w:rPr>
                <w:color w:val="000000"/>
                <w:sz w:val="24"/>
                <w:szCs w:val="24"/>
              </w:rPr>
              <w:t>15,000,000</w:t>
            </w:r>
          </w:p>
        </w:tc>
        <w:tc>
          <w:tcPr>
            <w:vAlign w:val="center"/>
          </w:tcPr>
          <w:p>
            <w:pPr>
              <w:jc w:val="right"/>
            </w:pPr>
            <w:r>
              <w:rPr>
                <w:color w:val="000000"/>
                <w:sz w:val="24"/>
                <w:szCs w:val="24"/>
              </w:rPr>
              <w:t>27,049,545.00</w:t>
            </w:r>
          </w:p>
        </w:tc>
        <w:tc>
          <w:tcPr>
            <w:vAlign w:val="center"/>
          </w:tcPr>
          <w:p>
            <w:pPr>
              <w:jc w:val="right"/>
            </w:pPr>
            <w:r>
              <w:rPr>
                <w:color w:val="000000"/>
                <w:sz w:val="24"/>
                <w:szCs w:val="24"/>
              </w:rPr>
              <w:t>4.72</w:t>
            </w:r>
          </w:p>
        </w:tc>
      </w:tr>
      <w:tr>
        <w:tc>
          <w:tcPr>
            <w:vAlign w:val="center"/>
          </w:tcPr>
          <w:p>
            <w:pPr>
              <w:jc w:val="center"/>
            </w:pPr>
            <w:r>
              <w:rPr>
                <w:color w:val="000000"/>
                <w:sz w:val="24"/>
                <w:szCs w:val="24"/>
              </w:rPr>
              <w:t>2</w:t>
            </w:r>
          </w:p>
        </w:tc>
        <w:tc>
          <w:tcPr>
            <w:vAlign w:val="center"/>
          </w:tcPr>
          <w:p>
            <w:pPr>
              <w:jc w:val="center"/>
            </w:pPr>
            <w:r>
              <w:rPr>
                <w:color w:val="000000"/>
                <w:sz w:val="24"/>
                <w:szCs w:val="24"/>
              </w:rPr>
              <w:t>601318</w:t>
            </w:r>
          </w:p>
        </w:tc>
        <w:tc>
          <w:tcPr>
            <w:vAlign w:val="center"/>
          </w:tcPr>
          <w:p>
            <w:pPr>
              <w:jc w:val="center"/>
            </w:pPr>
            <w:r>
              <w:rPr>
                <w:color w:val="000000"/>
                <w:sz w:val="24"/>
                <w:szCs w:val="24"/>
              </w:rPr>
              <w:t>中国平安</w:t>
            </w:r>
          </w:p>
        </w:tc>
        <w:tc>
          <w:tcPr>
            <w:vAlign w:val="center"/>
          </w:tcPr>
          <w:p>
            <w:pPr>
              <w:jc w:val="right"/>
            </w:pPr>
            <w:r>
              <w:rPr>
                <w:color w:val="000000"/>
                <w:sz w:val="24"/>
                <w:szCs w:val="24"/>
              </w:rPr>
              <w:t>300,000</w:t>
            </w:r>
          </w:p>
        </w:tc>
        <w:tc>
          <w:tcPr>
            <w:vAlign w:val="center"/>
          </w:tcPr>
          <w:p>
            <w:pPr>
              <w:jc w:val="right"/>
            </w:pPr>
            <w:r>
              <w:rPr>
                <w:color w:val="000000"/>
                <w:sz w:val="24"/>
                <w:szCs w:val="24"/>
              </w:rPr>
              <w:t>26,583,000.00</w:t>
            </w:r>
          </w:p>
        </w:tc>
        <w:tc>
          <w:tcPr>
            <w:vAlign w:val="center"/>
          </w:tcPr>
          <w:p>
            <w:pPr>
              <w:jc w:val="right"/>
            </w:pPr>
            <w:r>
              <w:rPr>
                <w:color w:val="000000"/>
                <w:sz w:val="24"/>
                <w:szCs w:val="24"/>
              </w:rPr>
              <w:t>4.64</w:t>
            </w:r>
          </w:p>
        </w:tc>
      </w:tr>
      <w:tr>
        <w:tc>
          <w:tcPr>
            <w:vAlign w:val="center"/>
          </w:tcPr>
          <w:p>
            <w:pPr>
              <w:jc w:val="center"/>
            </w:pPr>
            <w:r>
              <w:rPr>
                <w:color w:val="000000"/>
                <w:sz w:val="24"/>
                <w:szCs w:val="24"/>
              </w:rPr>
              <w:t>3</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1,699,910</w:t>
            </w:r>
          </w:p>
        </w:tc>
        <w:tc>
          <w:tcPr>
            <w:vAlign w:val="center"/>
          </w:tcPr>
          <w:p>
            <w:pPr>
              <w:jc w:val="right"/>
            </w:pPr>
            <w:r>
              <w:rPr>
                <w:color w:val="000000"/>
                <w:sz w:val="24"/>
                <w:szCs w:val="24"/>
              </w:rPr>
              <w:t>23,033,780.50</w:t>
            </w:r>
          </w:p>
        </w:tc>
        <w:tc>
          <w:tcPr>
            <w:vAlign w:val="center"/>
          </w:tcPr>
          <w:p>
            <w:pPr>
              <w:jc w:val="right"/>
            </w:pPr>
            <w:r>
              <w:rPr>
                <w:color w:val="000000"/>
                <w:sz w:val="24"/>
                <w:szCs w:val="24"/>
              </w:rPr>
              <w:t>4.02</w:t>
            </w:r>
          </w:p>
        </w:tc>
      </w:tr>
      <w:tr>
        <w:tc>
          <w:tcPr>
            <w:vAlign w:val="center"/>
          </w:tcPr>
          <w:p>
            <w:pPr>
              <w:jc w:val="center"/>
            </w:pPr>
            <w:r>
              <w:rPr>
                <w:color w:val="000000"/>
                <w:sz w:val="24"/>
                <w:szCs w:val="24"/>
              </w:rPr>
              <w:t>4</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400,000</w:t>
            </w:r>
          </w:p>
        </w:tc>
        <w:tc>
          <w:tcPr>
            <w:vAlign w:val="center"/>
          </w:tcPr>
          <w:p>
            <w:pPr>
              <w:jc w:val="right"/>
            </w:pPr>
            <w:r>
              <w:rPr>
                <w:color w:val="000000"/>
                <w:sz w:val="24"/>
                <w:szCs w:val="24"/>
              </w:rPr>
              <w:t>22,000,000.00</w:t>
            </w:r>
          </w:p>
        </w:tc>
        <w:tc>
          <w:tcPr>
            <w:vAlign w:val="center"/>
          </w:tcPr>
          <w:p>
            <w:pPr>
              <w:jc w:val="right"/>
            </w:pPr>
            <w:r>
              <w:rPr>
                <w:color w:val="000000"/>
                <w:sz w:val="24"/>
                <w:szCs w:val="24"/>
              </w:rPr>
              <w:t>3.84</w:t>
            </w:r>
          </w:p>
        </w:tc>
      </w:tr>
      <w:tr>
        <w:tc>
          <w:tcPr>
            <w:vAlign w:val="center"/>
          </w:tcPr>
          <w:p>
            <w:pPr>
              <w:jc w:val="center"/>
            </w:pPr>
            <w:r>
              <w:rPr>
                <w:color w:val="000000"/>
                <w:sz w:val="24"/>
                <w:szCs w:val="24"/>
              </w:rPr>
              <w:t>5</w:t>
            </w:r>
          </w:p>
        </w:tc>
        <w:tc>
          <w:tcPr>
            <w:vAlign w:val="center"/>
          </w:tcPr>
          <w:p>
            <w:pPr>
              <w:jc w:val="center"/>
            </w:pPr>
            <w:r>
              <w:rPr>
                <w:color w:val="000000"/>
                <w:sz w:val="24"/>
                <w:szCs w:val="24"/>
              </w:rPr>
              <w:t>600036</w:t>
            </w:r>
          </w:p>
        </w:tc>
        <w:tc>
          <w:tcPr>
            <w:vAlign w:val="center"/>
          </w:tcPr>
          <w:p>
            <w:pPr>
              <w:jc w:val="center"/>
            </w:pPr>
            <w:r>
              <w:rPr>
                <w:color w:val="000000"/>
                <w:sz w:val="24"/>
                <w:szCs w:val="24"/>
              </w:rPr>
              <w:t>招商银行</w:t>
            </w:r>
          </w:p>
        </w:tc>
        <w:tc>
          <w:tcPr>
            <w:vAlign w:val="center"/>
          </w:tcPr>
          <w:p>
            <w:pPr>
              <w:jc w:val="right"/>
            </w:pPr>
            <w:r>
              <w:rPr>
                <w:color w:val="000000"/>
                <w:sz w:val="24"/>
                <w:szCs w:val="24"/>
              </w:rPr>
              <w:t>600,000</w:t>
            </w:r>
          </w:p>
        </w:tc>
        <w:tc>
          <w:tcPr>
            <w:vAlign w:val="center"/>
          </w:tcPr>
          <w:p>
            <w:pPr>
              <w:jc w:val="right"/>
            </w:pPr>
            <w:r>
              <w:rPr>
                <w:color w:val="000000"/>
                <w:sz w:val="24"/>
                <w:szCs w:val="24"/>
              </w:rPr>
              <w:t>21,588,000.00</w:t>
            </w:r>
          </w:p>
        </w:tc>
        <w:tc>
          <w:tcPr>
            <w:vAlign w:val="center"/>
          </w:tcPr>
          <w:p>
            <w:pPr>
              <w:jc w:val="right"/>
            </w:pPr>
            <w:r>
              <w:rPr>
                <w:color w:val="000000"/>
                <w:sz w:val="24"/>
                <w:szCs w:val="24"/>
              </w:rPr>
              <w:t>3.77</w:t>
            </w:r>
          </w:p>
        </w:tc>
      </w:tr>
      <w:tr>
        <w:tc>
          <w:tcPr>
            <w:vAlign w:val="center"/>
          </w:tcPr>
          <w:p>
            <w:pPr>
              <w:jc w:val="center"/>
            </w:pPr>
            <w:r>
              <w:rPr>
                <w:color w:val="000000"/>
                <w:sz w:val="24"/>
                <w:szCs w:val="24"/>
              </w:rPr>
              <w:t>6</w:t>
            </w:r>
          </w:p>
        </w:tc>
        <w:tc>
          <w:tcPr>
            <w:vAlign w:val="center"/>
          </w:tcPr>
          <w:p>
            <w:pPr>
              <w:jc w:val="center"/>
            </w:pPr>
            <w:r>
              <w:rPr>
                <w:color w:val="000000"/>
                <w:sz w:val="24"/>
                <w:szCs w:val="24"/>
              </w:rPr>
              <w:t>H00700</w:t>
            </w:r>
          </w:p>
        </w:tc>
        <w:tc>
          <w:tcPr>
            <w:vAlign w:val="center"/>
          </w:tcPr>
          <w:p>
            <w:pPr>
              <w:jc w:val="center"/>
            </w:pPr>
            <w:r>
              <w:rPr>
                <w:color w:val="000000"/>
                <w:sz w:val="24"/>
                <w:szCs w:val="24"/>
              </w:rPr>
              <w:t>腾讯控股</w:t>
            </w:r>
          </w:p>
        </w:tc>
        <w:tc>
          <w:tcPr>
            <w:vAlign w:val="center"/>
          </w:tcPr>
          <w:p>
            <w:pPr>
              <w:jc w:val="right"/>
            </w:pPr>
            <w:r>
              <w:rPr>
                <w:color w:val="000000"/>
                <w:sz w:val="24"/>
                <w:szCs w:val="24"/>
              </w:rPr>
              <w:t>65,300</w:t>
            </w:r>
          </w:p>
        </w:tc>
        <w:tc>
          <w:tcPr>
            <w:vAlign w:val="center"/>
          </w:tcPr>
          <w:p>
            <w:pPr>
              <w:jc w:val="right"/>
            </w:pPr>
            <w:r>
              <w:rPr>
                <w:color w:val="000000"/>
                <w:sz w:val="24"/>
                <w:szCs w:val="24"/>
              </w:rPr>
              <w:t>20,253,977.97</w:t>
            </w:r>
          </w:p>
        </w:tc>
        <w:tc>
          <w:tcPr>
            <w:vAlign w:val="center"/>
          </w:tcPr>
          <w:p>
            <w:pPr>
              <w:jc w:val="right"/>
            </w:pPr>
            <w:r>
              <w:rPr>
                <w:color w:val="000000"/>
                <w:sz w:val="24"/>
                <w:szCs w:val="24"/>
              </w:rPr>
              <w:t>3.54</w:t>
            </w:r>
          </w:p>
        </w:tc>
      </w:tr>
      <w:tr>
        <w:tc>
          <w:tcPr>
            <w:vAlign w:val="center"/>
          </w:tcPr>
          <w:p>
            <w:pPr>
              <w:jc w:val="center"/>
            </w:pPr>
            <w:r>
              <w:rPr>
                <w:color w:val="000000"/>
                <w:sz w:val="24"/>
                <w:szCs w:val="24"/>
              </w:rPr>
              <w:t>7</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20,000</w:t>
            </w:r>
          </w:p>
        </w:tc>
        <w:tc>
          <w:tcPr>
            <w:vAlign w:val="center"/>
          </w:tcPr>
          <w:p>
            <w:pPr>
              <w:jc w:val="right"/>
            </w:pPr>
            <w:r>
              <w:rPr>
                <w:color w:val="000000"/>
                <w:sz w:val="24"/>
                <w:szCs w:val="24"/>
              </w:rPr>
              <w:t>19,680,000.00</w:t>
            </w:r>
          </w:p>
        </w:tc>
        <w:tc>
          <w:tcPr>
            <w:vAlign w:val="center"/>
          </w:tcPr>
          <w:p>
            <w:pPr>
              <w:jc w:val="right"/>
            </w:pPr>
            <w:r>
              <w:rPr>
                <w:color w:val="000000"/>
                <w:sz w:val="24"/>
                <w:szCs w:val="24"/>
              </w:rPr>
              <w:t>3.44</w:t>
            </w:r>
          </w:p>
        </w:tc>
      </w:tr>
      <w:tr>
        <w:tc>
          <w:tcPr>
            <w:vAlign w:val="center"/>
          </w:tcPr>
          <w:p>
            <w:pPr>
              <w:jc w:val="center"/>
            </w:pPr>
            <w:r>
              <w:rPr>
                <w:color w:val="000000"/>
                <w:sz w:val="24"/>
                <w:szCs w:val="24"/>
              </w:rPr>
              <w:t>8</w:t>
            </w:r>
          </w:p>
        </w:tc>
        <w:tc>
          <w:tcPr>
            <w:vAlign w:val="center"/>
          </w:tcPr>
          <w:p>
            <w:pPr>
              <w:jc w:val="center"/>
            </w:pPr>
            <w:r>
              <w:rPr>
                <w:color w:val="000000"/>
                <w:sz w:val="24"/>
                <w:szCs w:val="24"/>
              </w:rPr>
              <w:t>002511</w:t>
            </w:r>
          </w:p>
        </w:tc>
        <w:tc>
          <w:tcPr>
            <w:vAlign w:val="center"/>
          </w:tcPr>
          <w:p>
            <w:pPr>
              <w:jc w:val="center"/>
            </w:pPr>
            <w:r>
              <w:rPr>
                <w:color w:val="000000"/>
                <w:sz w:val="24"/>
                <w:szCs w:val="24"/>
              </w:rPr>
              <w:t>中顺洁柔</w:t>
            </w:r>
          </w:p>
        </w:tc>
        <w:tc>
          <w:tcPr>
            <w:vAlign w:val="center"/>
          </w:tcPr>
          <w:p>
            <w:pPr>
              <w:jc w:val="right"/>
            </w:pPr>
            <w:r>
              <w:rPr>
                <w:color w:val="000000"/>
                <w:sz w:val="24"/>
                <w:szCs w:val="24"/>
              </w:rPr>
              <w:t>1,599,911</w:t>
            </w:r>
          </w:p>
        </w:tc>
        <w:tc>
          <w:tcPr>
            <w:vAlign w:val="center"/>
          </w:tcPr>
          <w:p>
            <w:pPr>
              <w:jc w:val="right"/>
            </w:pPr>
            <w:r>
              <w:rPr>
                <w:color w:val="000000"/>
                <w:sz w:val="24"/>
                <w:szCs w:val="24"/>
              </w:rPr>
              <w:t>19,646,907.08</w:t>
            </w:r>
          </w:p>
        </w:tc>
        <w:tc>
          <w:tcPr>
            <w:vAlign w:val="center"/>
          </w:tcPr>
          <w:p>
            <w:pPr>
              <w:jc w:val="right"/>
            </w:pPr>
            <w:r>
              <w:rPr>
                <w:color w:val="000000"/>
                <w:sz w:val="24"/>
                <w:szCs w:val="24"/>
              </w:rPr>
              <w:t>3.43</w:t>
            </w:r>
          </w:p>
        </w:tc>
      </w:tr>
      <w:tr>
        <w:tc>
          <w:tcPr>
            <w:vAlign w:val="center"/>
          </w:tcPr>
          <w:p>
            <w:pPr>
              <w:jc w:val="center"/>
            </w:pPr>
            <w:r>
              <w:rPr>
                <w:color w:val="000000"/>
                <w:sz w:val="24"/>
                <w:szCs w:val="24"/>
              </w:rPr>
              <w:t>9</w:t>
            </w:r>
          </w:p>
        </w:tc>
        <w:tc>
          <w:tcPr>
            <w:vAlign w:val="center"/>
          </w:tcPr>
          <w:p>
            <w:pPr>
              <w:jc w:val="center"/>
            </w:pPr>
            <w:r>
              <w:rPr>
                <w:color w:val="000000"/>
                <w:sz w:val="24"/>
                <w:szCs w:val="24"/>
              </w:rPr>
              <w:t>600622</w:t>
            </w:r>
          </w:p>
        </w:tc>
        <w:tc>
          <w:tcPr>
            <w:vAlign w:val="center"/>
          </w:tcPr>
          <w:p>
            <w:pPr>
              <w:jc w:val="center"/>
            </w:pPr>
            <w:r>
              <w:rPr>
                <w:color w:val="000000"/>
                <w:sz w:val="24"/>
                <w:szCs w:val="24"/>
              </w:rPr>
              <w:t>光大嘉宝</w:t>
            </w:r>
          </w:p>
        </w:tc>
        <w:tc>
          <w:tcPr>
            <w:vAlign w:val="center"/>
          </w:tcPr>
          <w:p>
            <w:pPr>
              <w:jc w:val="right"/>
            </w:pPr>
            <w:r>
              <w:rPr>
                <w:color w:val="000000"/>
                <w:sz w:val="24"/>
                <w:szCs w:val="24"/>
              </w:rPr>
              <w:t>3,900,000</w:t>
            </w:r>
          </w:p>
        </w:tc>
        <w:tc>
          <w:tcPr>
            <w:vAlign w:val="center"/>
          </w:tcPr>
          <w:p>
            <w:pPr>
              <w:jc w:val="right"/>
            </w:pPr>
            <w:r>
              <w:rPr>
                <w:color w:val="000000"/>
                <w:sz w:val="24"/>
                <w:szCs w:val="24"/>
              </w:rPr>
              <w:t>18,993,000.00</w:t>
            </w:r>
          </w:p>
        </w:tc>
        <w:tc>
          <w:tcPr>
            <w:vAlign w:val="center"/>
          </w:tcPr>
          <w:p>
            <w:pPr>
              <w:jc w:val="right"/>
            </w:pPr>
            <w:r>
              <w:rPr>
                <w:color w:val="000000"/>
                <w:sz w:val="24"/>
                <w:szCs w:val="24"/>
              </w:rPr>
              <w:t>3.32</w:t>
            </w:r>
          </w:p>
        </w:tc>
      </w:tr>
      <w:tr>
        <w:tc>
          <w:tcPr>
            <w:vAlign w:val="center"/>
          </w:tcPr>
          <w:p>
            <w:pPr>
              <w:jc w:val="center"/>
            </w:pPr>
            <w:r>
              <w:rPr>
                <w:color w:val="000000"/>
                <w:sz w:val="24"/>
                <w:szCs w:val="24"/>
              </w:rPr>
              <w:t>10</w:t>
            </w:r>
          </w:p>
        </w:tc>
        <w:tc>
          <w:tcPr>
            <w:vAlign w:val="center"/>
          </w:tcPr>
          <w:p>
            <w:pPr>
              <w:jc w:val="center"/>
            </w:pPr>
            <w:r>
              <w:rPr>
                <w:color w:val="000000"/>
                <w:sz w:val="24"/>
                <w:szCs w:val="24"/>
              </w:rPr>
              <w:t>300207</w:t>
            </w:r>
          </w:p>
        </w:tc>
        <w:tc>
          <w:tcPr>
            <w:vAlign w:val="center"/>
          </w:tcPr>
          <w:p>
            <w:pPr>
              <w:jc w:val="center"/>
            </w:pPr>
            <w:r>
              <w:rPr>
                <w:color w:val="000000"/>
                <w:sz w:val="24"/>
                <w:szCs w:val="24"/>
              </w:rPr>
              <w:t>欣旺达</w:t>
            </w:r>
          </w:p>
        </w:tc>
        <w:tc>
          <w:tcPr>
            <w:vAlign w:val="center"/>
          </w:tcPr>
          <w:p>
            <w:pPr>
              <w:jc w:val="right"/>
            </w:pPr>
            <w:r>
              <w:rPr>
                <w:color w:val="000000"/>
                <w:sz w:val="24"/>
                <w:szCs w:val="24"/>
              </w:rPr>
              <w:t>1,599,974</w:t>
            </w:r>
          </w:p>
        </w:tc>
        <w:tc>
          <w:tcPr>
            <w:vAlign w:val="center"/>
          </w:tcPr>
          <w:p>
            <w:pPr>
              <w:jc w:val="right"/>
            </w:pPr>
            <w:r>
              <w:rPr>
                <w:color w:val="000000"/>
                <w:sz w:val="24"/>
                <w:szCs w:val="24"/>
              </w:rPr>
              <w:t>18,431,700.48</w:t>
            </w:r>
          </w:p>
        </w:tc>
        <w:tc>
          <w:tcPr>
            <w:vAlign w:val="center"/>
          </w:tcPr>
          <w:p>
            <w:pPr>
              <w:jc w:val="right"/>
            </w:pPr>
            <w:r>
              <w:rPr>
                <w:color w:val="000000"/>
                <w:sz w:val="24"/>
                <w:szCs w:val="24"/>
              </w:rPr>
              <w:t>3.22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proofErr w:type="spellStart"/>
      <w:r w:rsidRPr="009C1009">
        <w:rPr>
          <w:rFonts w:hint="eastAsia"/>
          <w:bCs/>
          <w:color w:val="000000"/>
          <w:kern w:val="0"/>
          <w:sz w:val="24"/>
          <w:szCs w:val="24"/>
        </w:rPr>
        <w:t/>
      </w:r>
      <w:proofErr w:type="spellEnd"/>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roofErr w:type="spellStart"/>
            <w:r w:rsidR="00F71057" w:rsidRPr="00414345">
              <w:rPr>
                <w:color w:val="000000"/>
                <w:sz w:val="24"/>
                <w:szCs w:val="24"/>
              </w:rPr>
              <w:t/>
            </w:r>
            <w:proofErr w:type="spellEnd"/>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29,985,000.00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5.23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29,985,000.00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5.23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proofErr w:type="spellStart"/>
            <w:r w:rsidRPr="007A70C2">
              <w:rPr>
                <w:color w:val="000000"/>
                <w:sz w:val="24"/>
                <w:szCs w:val="24"/>
              </w:rPr>
              <w:t/>
            </w:r>
            <w:proofErr w:type="spellEnd"/>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proofErr w:type="spellStart"/>
            <w:r w:rsidRPr="007A70C2">
              <w:rPr>
                <w:color w:val="000000"/>
                <w:sz w:val="24"/>
                <w:szCs w:val="24"/>
              </w:rPr>
              <w:t/>
            </w:r>
            <w:proofErr w:type="spellEnd"/>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29,985,000.00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5.23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proofErr w:type="spellStart"/>
      <w:r w:rsidRPr="009C1009">
        <w:rPr>
          <w:rFonts w:hint="eastAsia"/>
          <w:bCs/>
          <w:color w:val="000000"/>
          <w:kern w:val="0"/>
          <w:sz w:val="24"/>
          <w:szCs w:val="24"/>
        </w:rPr>
        <w:t/>
      </w:r>
      <w:proofErr w:type="spellEnd"/>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300,000</w:t>
            </w:r>
          </w:p>
        </w:tc>
        <w:tc>
          <w:tcPr>
            <w:vAlign w:val="center"/>
          </w:tcPr>
          <w:p>
            <w:pPr>
              <w:jc w:val="right"/>
            </w:pPr>
            <w:r>
              <w:rPr>
                <w:color w:val="000000"/>
                <w:sz w:val="24"/>
                <w:szCs w:val="24"/>
              </w:rPr>
              <w:t>29,985,000.00</w:t>
            </w:r>
          </w:p>
        </w:tc>
        <w:tc>
          <w:tcPr>
            <w:vAlign w:val="center"/>
          </w:tcPr>
          <w:p>
            <w:pPr>
              <w:jc w:val="right"/>
            </w:pPr>
            <w:r>
              <w:rPr>
                <w:color w:val="000000"/>
                <w:sz w:val="24"/>
                <w:szCs w:val="24"/>
              </w:rPr>
              <w:t>5.23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w:t>
      </w:r>
      <w:proofErr w:type="gramStart"/>
      <w:r w:rsidRPr="00414345">
        <w:rPr>
          <w:b/>
          <w:bCs/>
          <w:color w:val="000000"/>
          <w:kern w:val="0"/>
          <w:sz w:val="24"/>
          <w:szCs w:val="24"/>
        </w:rPr>
        <w:t>.</w:t>
      </w:r>
      <w:proofErr w:type="gramEnd"/>
      <w:r w:rsidRPr="00414345">
        <w:rPr>
          <w:b/>
          <w:bCs/>
          <w:color w:val="000000"/>
          <w:kern w:val="0"/>
          <w:sz w:val="24"/>
          <w:szCs w:val="24"/>
        </w:rPr>
        <w:t>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
      </w:r>
      <w:proofErr w:type="spellStart"/>
      <w:r w:rsidRPr="00414345">
        <w:rPr>
          <w:sz w:val="24"/>
          <w:szCs w:val="24"/>
        </w:rPr>
        <w:t/>
      </w:r>
      <w:proofErr w:type="spellEnd"/>
      <w:r w:rsidRPr="00414345">
        <w:rPr>
          <w:sz w:val="24"/>
          <w:szCs w:val="24"/>
        </w:rPr>
        <w:t/>
      </w:r>
      <w:proofErr w:type="spellStart"/>
      <w:proofErr w:type="gramStart"/>
      <w:r w:rsidRPr="00414345">
        <w:rPr>
          <w:sz w:val="24"/>
          <w:szCs w:val="24"/>
        </w:rPr>
        <w:t/>
      </w:r>
      <w:proofErr w:type="spellEnd"/>
      <w:proofErr w:type="gramEnd"/>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315D5D" w:rsidRPr="00414345">
        <w:rPr>
          <w:color w:val="000000"/>
          <w:sz w:val="24"/>
          <w:szCs w:val="24"/>
        </w:rPr>
        <w:t/>
      </w:r>
      <w:proofErr w:type="spellEnd"/>
      <w:proofErr w:type="gramEnd"/>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00A83500" w:rsidRPr="00414345">
        <w:rPr>
          <w:b/>
          <w:bCs/>
          <w:color w:val="000000"/>
          <w:kern w:val="0"/>
          <w:sz w:val="24"/>
          <w:szCs w:val="24"/>
        </w:rPr>
        <w:t/>
      </w:r>
      <w:r w:rsidR="003259C8" w:rsidRPr="00414345">
        <w:rPr>
          <w:b/>
          <w:bCs/>
          <w:color w:val="000000"/>
          <w:kern w:val="0"/>
          <w:sz w:val="24"/>
          <w:szCs w:val="24"/>
        </w:rPr>
        <w:t/>
      </w:r>
      <w:proofErr w:type="gramStart"/>
      <w:r w:rsidR="003259C8" w:rsidRPr="00414345">
        <w:rPr>
          <w:b/>
          <w:bCs/>
          <w:color w:val="000000"/>
          <w:kern w:val="0"/>
          <w:sz w:val="24"/>
          <w:szCs w:val="24"/>
        </w:rPr>
        <w:t/>
      </w:r>
      <w:proofErr w:type="gramEnd"/>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205,904.03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318,400.00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167,287.84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40,268.13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731,860.00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本基金本报告期末未持有处于转股期的可转换债券。</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r w:rsidR="008E326D" w:rsidRPr="00414345">
        <w:rPr>
          <w:color w:val="000000"/>
          <w:sz w:val="24"/>
          <w:szCs w:val="24"/>
        </w:rPr>
        <w:t/>
      </w:r>
      <w:r w:rsidR="008E326D" w:rsidRPr="00414345">
        <w:rPr>
          <w:color w:val="000000"/>
          <w:sz w:val="24"/>
          <w:szCs w:val="24"/>
        </w:rPr>
        <w:lastRenderedPageBreak/>
        <w:t/>
      </w:r>
      <w:proofErr w:type="gramEnd"/>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spellStart"/>
      <w:r w:rsidRPr="00414345">
        <w:rPr>
          <w:bCs/>
          <w:color w:val="000000"/>
          <w:kern w:val="0"/>
          <w:sz w:val="24"/>
          <w:szCs w:val="24"/>
        </w:rPr>
        <w:t/>
      </w:r>
      <w:proofErr w:type="spellEnd"/>
      <w:r w:rsidRPr="00414345">
        <w:rPr>
          <w:bCs/>
          <w:color w:val="000000"/>
          <w:kern w:val="0"/>
          <w:sz w:val="24"/>
          <w:szCs w:val="24"/>
        </w:rPr>
        <w:t/>
      </w:r>
      <w:r w:rsidR="003259C8" w:rsidRPr="00414345">
        <w:rPr>
          <w:bCs/>
          <w:color w:val="000000"/>
          <w:kern w:val="0"/>
          <w:sz w:val="24"/>
          <w:szCs w:val="24"/>
        </w:rPr>
        <w:t/>
      </w:r>
      <w:proofErr w:type="gramStart"/>
      <w:r w:rsidR="003259C8" w:rsidRPr="00414345">
        <w:rPr>
          <w:bCs/>
          <w:color w:val="000000"/>
          <w:kern w:val="0"/>
          <w:sz w:val="24"/>
          <w:szCs w:val="24"/>
        </w:rPr>
        <w:t/>
      </w:r>
      <w:proofErr w:type="gramEnd"/>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proofErr w:type="spellStart"/>
      <w:proofErr w:type="gramStart"/>
      <w:r w:rsidR="001675CD" w:rsidRPr="00414345">
        <w:rPr>
          <w:color w:val="000000"/>
          <w:sz w:val="24"/>
          <w:szCs w:val="24"/>
        </w:rPr>
        <w:t/>
      </w:r>
      <w:proofErr w:type="spellEnd"/>
      <w:proofErr w:type="gramEnd"/>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proofErr w:type="spellStart"/>
      <w:r w:rsidRPr="005A3D62">
        <w:rPr>
          <w:rFonts w:eastAsiaTheme="minorEastAsia"/>
          <w:color w:themeColor="text1" w:val="000000"/>
          <w:kern w:val="0"/>
          <w:sz w:val="24"/>
          <w:szCs w:val="24"/>
        </w:rPr>
        <w:t/>
      </w:r>
      <w:proofErr w:type="spellEnd"/>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395,103,975.43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143,250,410.06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
            </w:r>
            <w:proofErr w:type="spellStart"/>
            <w:r w:rsidR="00FE179F" w:rsidRPr="00414345">
              <w:rPr>
                <w:color w:val="000000"/>
                <w:kern w:val="0"/>
                <w:sz w:val="24"/>
                <w:szCs w:val="24"/>
              </w:rPr>
              <w:t/>
            </w:r>
            <w:proofErr w:type="spellEnd"/>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24,034,130.81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r w:rsidR="00355364" w:rsidRPr="00414345">
              <w:rPr>
                <w:color w:val="000000"/>
                <w:sz w:val="24"/>
                <w:szCs w:val="24"/>
              </w:rPr>
              <w:t/>
            </w:r>
            <w:proofErr w:type="spellEnd"/>
            <w:r w:rsidRPr="00414345">
              <w:rPr>
                <w:color w:val="000000"/>
                <w:sz w:val="24"/>
                <w:szCs w:val="24"/>
              </w:rPr>
              <w:t>514,320,254.68</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proofErr w:type="spellStart"/>
      <w:r w:rsidRPr="00ED2620">
        <w:rPr>
          <w:rFonts w:eastAsiaTheme="minorEastAsia"/>
          <w:color w:val="000000"/>
          <w:kern w:val="0"/>
          <w:sz w:val="24"/>
          <w:szCs w:val="24"/>
        </w:rPr>
        <w:t/>
      </w:r>
      <w:proofErr w:type="spellEnd"/>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w:t>
      </w:r>
      <w:proofErr w:type="gramStart"/>
      <w:r w:rsidRPr="00ED2620">
        <w:rPr>
          <w:sz w:val="24"/>
          <w:szCs w:val="24"/>
        </w:rPr>
        <w:t>固有资金</w:t>
      </w:r>
      <w:proofErr w:type="gramEnd"/>
      <w:r w:rsidRPr="00ED2620">
        <w:rPr>
          <w:sz w:val="24"/>
          <w:szCs w:val="24"/>
        </w:rPr>
        <w:t>投资本基金情况</w:t>
      </w:r>
    </w:p>
    <w:p w:rsidP="00C15CAC" w:rsidR="00ED2620" w:rsidRDefault="00ED2620" w:rsidRPr="00ED2620">
      <w:pPr>
        <w:spacing w:line="288" w:lineRule="auto"/>
        <w:jc w:val="left"/>
        <w:rPr>
          <w:sz w:val="24"/>
          <w:szCs w:val="24"/>
        </w:rPr>
      </w:pPr>
      <w:r w:rsidRPr="00ED2620">
        <w:rPr>
          <w:b/>
          <w:sz w:val="24"/>
        </w:rPr>
        <w:t/>
      </w:r>
      <w:proofErr w:type="spellStart"/>
      <w:r w:rsidRPr="00ED2620">
        <w:rPr>
          <w:b/>
          <w:sz w:val="24"/>
        </w:rPr>
        <w:t/>
      </w:r>
      <w:proofErr w:type="spellEnd"/>
      <w:r w:rsidRPr="00ED2620">
        <w:rPr>
          <w:b/>
          <w:sz w:val="24"/>
        </w:rPr>
        <w:t/>
      </w:r>
      <w:proofErr w:type="gramStart"/>
      <w:r w:rsidRPr="00ED2620">
        <w:rPr>
          <w:b/>
          <w:sz w:val="24"/>
        </w:rPr>
        <w:t/>
      </w:r>
      <w:proofErr w:type="gramEnd"/>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
      </w:r>
      <w:proofErr w:type="spellStart"/>
      <w:proofErr w:type="gramStart"/>
      <w:r w:rsidRPr="00ED2620">
        <w:rPr>
          <w:rFonts w:eastAsiaTheme="minorEastAsia"/>
          <w:color w:val="000000"/>
          <w:sz w:val="24"/>
        </w:rPr>
        <w:t/>
      </w:r>
      <w:proofErr w:type="spellEnd"/>
      <w:proofErr w:type="gramEnd"/>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
      </w:r>
      <w:proofErr w:type="spellStart"/>
      <w:r w:rsidRPr="00410630">
        <w:rPr>
          <w:b/>
          <w:sz w:val="24"/>
        </w:rPr>
        <w:t/>
      </w:r>
      <w:proofErr w:type="spellEnd"/>
      <w:r w:rsidRPr="00410630">
        <w:rPr>
          <w:b/>
          <w:sz w:val="24"/>
        </w:rPr>
        <w:t/>
      </w:r>
      <w:proofErr w:type="gramStart"/>
      <w:r w:rsidRPr="00410630">
        <w:rPr>
          <w:b/>
          <w:sz w:val="24"/>
        </w:rPr>
        <w:t/>
      </w:r>
      <w:proofErr w:type="gramEnd"/>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
      </w:r>
      <w:proofErr w:type="spellStart"/>
      <w:r w:rsidRPr="00414345">
        <w:rPr>
          <w:color w:val="000000"/>
          <w:sz w:val="24"/>
        </w:rPr>
        <w:t/>
      </w:r>
      <w:proofErr w:type="spellEnd"/>
      <w:r w:rsidRPr="00414345">
        <w:rPr>
          <w:color w:val="000000"/>
          <w:sz w:val="24"/>
        </w:rPr>
        <w:t/>
      </w:r>
      <w:proofErr w:type="spellStart"/>
      <w:proofErr w:type="gramStart"/>
      <w:r w:rsidRPr="00414345">
        <w:rPr>
          <w:color w:val="000000"/>
          <w:sz w:val="24"/>
        </w:rPr>
        <w:t/>
      </w:r>
      <w:proofErr w:type="spellEnd"/>
      <w:proofErr w:type="gramEnd"/>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
      </w:r>
      <w:proofErr w:type="spellStart"/>
      <w:r w:rsidRPr="00220C32">
        <w:rPr>
          <w:rFonts w:asciiTheme="minorEastAsia" w:eastAsiaTheme="minorEastAsia" w:hAnsiTheme="minorEastAsia" w:hint="eastAsia"/>
          <w:color w:themeColor="text1" w:val="000000"/>
          <w:kern w:val="0"/>
          <w:sz w:val="24"/>
          <w:szCs w:val="24"/>
        </w:rPr>
        <w:t/>
      </w:r>
      <w:proofErr w:type="spellEnd"/>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proofErr w:type="spellStart"/>
      <w:r w:rsidRPr="009A5C99">
        <w:rPr>
          <w:rFonts w:ascii="宋体" w:hAnsi="宋体"/>
          <w:b/>
          <w:color w:val="000000"/>
          <w:kern w:val="0"/>
          <w:sz w:val="24"/>
          <w:szCs w:val="24"/>
        </w:rPr>
        <w:t/>
      </w:r>
      <w:proofErr w:type="spellEnd"/>
      <w:r w:rsidRPr="009A5C99">
        <w:rPr>
          <w:rFonts w:ascii="宋体" w:hAnsi="宋体"/>
          <w:b/>
          <w:color w:val="000000"/>
          <w:kern w:val="0"/>
          <w:sz w:val="24"/>
          <w:szCs w:val="24"/>
        </w:rPr>
        <w:t/>
      </w:r>
      <w:r w:rsidRPr="009A5C99">
        <w:rPr>
          <w:rFonts w:ascii="宋体" w:hAnsi="宋体"/>
          <w:b/>
          <w:bCs/>
          <w:color w:val="000000"/>
          <w:kern w:val="0"/>
          <w:sz w:val="24"/>
          <w:szCs w:val="24"/>
        </w:rPr>
        <w:t/>
      </w:r>
      <w:proofErr w:type="gramStart"/>
      <w:r w:rsidRPr="009A5C99">
        <w:rPr>
          <w:rFonts w:ascii="宋体" w:hAnsi="宋体"/>
          <w:b/>
          <w:bCs/>
          <w:color w:val="000000"/>
          <w:kern w:val="0"/>
          <w:sz w:val="24"/>
          <w:szCs w:val="24"/>
        </w:rPr>
        <w:t/>
      </w:r>
      <w:proofErr w:type="gramEnd"/>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proofErr w:type="spellStart"/>
            <w:r w:rsidRPr="004F4D27">
              <w:rPr>
                <w:rFonts w:ascii="宋体" w:hAnsi="宋体"/>
                <w:color w:val="000000"/>
                <w:kern w:val="0"/>
              </w:rPr>
              <w:t/>
            </w:r>
            <w:proofErr w:type="spellEnd"/>
            <w:r w:rsidRPr="004F4D27">
              <w:rPr>
                <w:rFonts w:ascii="宋体" w:hAnsi="宋体"/>
                <w:color w:val="000000"/>
                <w:kern w:val="0"/>
              </w:rPr>
              <w:t/>
            </w:r>
            <w:proofErr w:type="spellStart"/>
            <w:r w:rsidRPr="004F4D27">
              <w:rPr>
                <w:rFonts w:ascii="宋体" w:hAnsi="宋体"/>
                <w:color w:val="000000"/>
                <w:kern w:val="0"/>
              </w:rPr>
              <w:t/>
            </w:r>
            <w:proofErr w:type="spellEnd"/>
            <w:r w:rsidRPr="004F4D27">
              <w:rPr>
                <w:rFonts w:ascii="宋体" w:hAnsi="宋体"/>
                <w:color w:val="000000"/>
                <w:kern w:val="0"/>
              </w:rPr>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2019/4/1-2019/6/30</w:t>
            </w:r>
          </w:p>
        </w:tc>
        <w:tc>
          <w:tcPr>
            <w:vAlign w:val="center"/>
          </w:tcPr>
          <w:p>
            <w:pPr>
              <w:jc w:val="center"/>
            </w:pPr>
            <w:r>
              <w:rPr>
                <w:rFonts w:ascii="宋体" w:hAnsi="宋体"/>
                <w:color w:val="000000"/>
                <w:kern w:val="0"/>
              </w:rPr>
              <w:t>156,993,386.51</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156,993,386.51</w:t>
            </w:r>
          </w:p>
        </w:tc>
        <w:tc>
          <w:tcPr>
            <w:vAlign w:val="center"/>
          </w:tcPr>
          <w:p>
            <w:pPr>
              <w:jc w:val="center"/>
            </w:pPr>
            <w:r>
              <w:rPr>
                <w:rFonts w:ascii="宋体" w:hAnsi="宋体"/>
                <w:color w:val="000000"/>
                <w:kern w:val="0"/>
              </w:rPr>
              <w:t>30.52%</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2019/4/1-2019/6/30</w:t>
            </w:r>
          </w:p>
        </w:tc>
        <w:tc>
          <w:tcPr>
            <w:vAlign w:val="center"/>
          </w:tcPr>
          <w:p>
            <w:pPr>
              <w:jc w:val="center"/>
            </w:pPr>
            <w:r>
              <w:rPr>
                <w:rFonts w:ascii="宋体" w:hAnsi="宋体"/>
                <w:color w:val="000000"/>
                <w:kern w:val="0"/>
              </w:rPr>
              <w:t>37,735,094.34</w:t>
            </w:r>
          </w:p>
        </w:tc>
        <w:tc>
          <w:tcPr>
            <w:vAlign w:val="center"/>
          </w:tcPr>
          <w:p>
            <w:pPr>
              <w:jc w:val="center"/>
            </w:pPr>
            <w:r>
              <w:rPr>
                <w:rFonts w:ascii="宋体" w:hAnsi="宋体"/>
                <w:color w:val="000000"/>
                <w:kern w:val="0"/>
              </w:rPr>
              <w:t>139,144,712.43</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176,879,806.77</w:t>
            </w:r>
          </w:p>
        </w:tc>
        <w:tc>
          <w:tcPr>
            <w:vAlign w:val="center"/>
          </w:tcPr>
          <w:p>
            <w:pPr>
              <w:jc w:val="center"/>
            </w:pPr>
            <w:r>
              <w:rPr>
                <w:rFonts w:ascii="宋体" w:hAnsi="宋体"/>
                <w:color w:val="000000"/>
                <w:kern w:val="0"/>
              </w:rPr>
              <w:t>34.39%</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lastRenderedPageBreak/>
              <w:t>产品特有风险</w:t>
            </w:r>
            <w:r w:rsidRPr="004F4D27">
              <w:rPr>
                <w:rFonts w:ascii="宋体" w:hAnsi="宋体"/>
                <w:kern w:val="0"/>
              </w:rPr>
              <w:t/>
            </w:r>
            <w:proofErr w:type="spellStart"/>
            <w:r w:rsidRPr="004F4D27">
              <w:rPr>
                <w:rFonts w:ascii="宋体" w:hAnsi="宋体" w:hint="eastAsia"/>
                <w:kern w:val="0"/>
              </w:rPr>
              <w:t/>
            </w:r>
            <w:proofErr w:type="spellEnd"/>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proofErr w:type="spellStart"/>
      <w:r w:rsidRPr="009A5C99">
        <w:rPr>
          <w:rFonts w:ascii="宋体" w:hAnsi="宋体"/>
          <w:b/>
          <w:color w:val="000000"/>
          <w:kern w:val="0"/>
          <w:sz w:val="24"/>
          <w:szCs w:val="24"/>
        </w:rPr>
        <w:t/>
      </w:r>
      <w:proofErr w:type="spellEnd"/>
      <w:r w:rsidRPr="009A5C99">
        <w:rPr>
          <w:rFonts w:ascii="宋体" w:hAnsi="宋体"/>
          <w:b/>
          <w:color w:val="000000"/>
          <w:kern w:val="0"/>
          <w:sz w:val="24"/>
          <w:szCs w:val="24"/>
        </w:rPr>
        <w:t/>
      </w:r>
      <w:r w:rsidRPr="009A5C99">
        <w:rPr>
          <w:rFonts w:ascii="宋体" w:hAnsi="宋体" w:hint="eastAsia"/>
          <w:b/>
          <w:bCs/>
          <w:color w:val="000000"/>
          <w:kern w:val="0"/>
          <w:sz w:val="24"/>
          <w:szCs w:val="24"/>
        </w:rPr>
        <w:t/>
      </w:r>
      <w:proofErr w:type="gramStart"/>
      <w:r w:rsidRPr="009A5C99">
        <w:rPr>
          <w:rFonts w:ascii="宋体" w:hAnsi="宋体" w:hint="eastAsia"/>
          <w:b/>
          <w:bCs/>
          <w:color w:val="000000"/>
          <w:kern w:val="0"/>
          <w:sz w:val="24"/>
          <w:szCs w:val="24"/>
        </w:rPr>
        <w:t/>
      </w:r>
      <w:proofErr w:type="gramEnd"/>
      <w:r w:rsidRPr="009A5C99">
        <w:rPr>
          <w:rFonts w:ascii="宋体" w:hAnsi="宋体" w:hint="eastAsia"/>
          <w:b/>
          <w:bCs/>
          <w:color w:val="000000"/>
          <w:kern w:val="0"/>
          <w:sz w:val="24"/>
          <w:szCs w:val="24"/>
        </w:rPr>
        <w:t>8.2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
      </w:r>
      <w:proofErr w:type="spellStart"/>
      <w:proofErr w:type="gramStart"/>
      <w:r w:rsidRPr="004F4D27">
        <w:rPr>
          <w:rFonts w:ascii="宋体" w:hAnsi="宋体"/>
          <w:color w:val="000000"/>
        </w:rPr>
        <w:t/>
      </w:r>
      <w:proofErr w:type="spellEnd"/>
      <w:proofErr w:type="gramEnd"/>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1、中国证监会准予交银施罗德沪港深价值精选灵活配置混合型证券投资基金募集注册的文件；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2、《交银施罗德沪港深价值精选灵活配置混合型证券投资基金基金合同》；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3、《交银施罗德沪港深价值精选灵活配置混合型证券投资基金招募说明书》；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4、《交银施罗德沪港深价值精选灵活配置混合型证券投资基金托管协议》；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5、关于申请募集注册交银施罗德沪港深价值精选灵活配置混合型证券投资基金的法律意见书；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8、报告期内交银施罗德沪港深价值精选灵活配置混合型证券投资基金在指定报刊上各项公告的原稿。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26" w:rsidRDefault="00EA1826" w:rsidP="00876D65">
      <w:r>
        <w:separator/>
      </w:r>
    </w:p>
  </w:endnote>
  <w:endnote w:type="continuationSeparator" w:id="0">
    <w:p w:rsidR="00EA1826" w:rsidRDefault="00EA182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87A40">
      <w:rPr>
        <w:noProof/>
        <w:kern w:val="0"/>
        <w:szCs w:val="21"/>
      </w:rPr>
      <w:t>22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487A40">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EA1826" w:rsidRDefault="00EA1826">
      <w:r>
        <w:separator/>
      </w:r>
    </w:p>
  </w:footnote>
  <w:footnote w:id="0" w:type="continuationSeparator">
    <w:p w:rsidP="00876D65" w:rsidR="00EA1826" w:rsidRDefault="00EA1826">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交银施罗德沪港深价值精选灵活配置混合型证券投资基金</w:t>
    </w:r>
    <w:proofErr w:type="spellStart"/>
    <w:r w:rsidRPr="003E676C">
      <w:rPr>
        <w:sz w:val="24"/>
        <w:szCs w:val="24"/>
      </w:rPr>
      <w:t/>
    </w:r>
    <w:proofErr w:type="spellEnd"/>
    <w:r w:rsidRPr="003E676C">
      <w:rPr>
        <w:sz w:val="24"/>
        <w:szCs w:val="24"/>
      </w:rPr>
      <w:t>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proofState w:grammar="clean" w:spelling="clean"/>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1F69-B347-4E76-824E-9DFA9A79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24</Pages>
  <Words>3799</Words>
  <Characters>21656</Characters>
  <Application>Microsoft Office Word</Application>
  <DocSecurity>0</DocSecurity>
  <Lines>180</Lines>
  <Paragraphs>50</Paragraphs>
  <ScaleCrop>false</ScaleCrop>
  <Company/>
  <LinksUpToDate>false</LinksUpToDate>
  <CharactersWithSpaces>25405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2019-07-04T03:14:00Z</dcterms:modified>
  <cp:revision>590</cp:revision>
</cp:coreProperties>
</file>