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交银施罗德创新成长混合型证券投资基金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交银创新成长混合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006223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006223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2018年9月27日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105,321,802.76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本基金通过优化资产配置和灵活运用多种投资策略，把握港股通资本市场开放政策下的投资机会，力争实现基金资产的稳定增值。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沪深300指数收益率×50%+恒生指数收益率×30%+中证综合债券指数收益率×20%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8,549,410.57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-367,135.32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-0.0034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131,804,743.95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1.2514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-0.70%</w:t>
            </w:r>
          </w:p>
        </w:tc>
        <w:tc>
          <w:tcPr>
            <w:vAlign w:val="center"/>
          </w:tcPr>
          <w:p>
            <w:pPr>
              <w:jc w:val="center"/>
            </w:pPr>
            <w:r>
              <w:rPr>
                <w:color w:val="000000"/>
                <w:sz w:val="24"/>
                <w:szCs w:val="24"/>
              </w:rPr>
              <w:t>1.61%</w:t>
            </w:r>
          </w:p>
        </w:tc>
        <w:tc>
          <w:tcPr>
            <w:vAlign w:val="center"/>
          </w:tcPr>
          <w:p>
            <w:pPr>
              <w:jc w:val="center"/>
            </w:pPr>
            <w:r>
              <w:rPr>
                <w:color w:val="000000"/>
                <w:sz w:val="24"/>
                <w:szCs w:val="24"/>
              </w:rPr>
              <w:t>-0.86%</w:t>
            </w:r>
          </w:p>
        </w:tc>
        <w:tc>
          <w:tcPr>
            <w:vAlign w:val="center"/>
          </w:tcPr>
          <w:p>
            <w:pPr>
              <w:jc w:val="center"/>
            </w:pPr>
            <w:r>
              <w:rPr>
                <w:color w:val="000000"/>
                <w:sz w:val="24"/>
                <w:szCs w:val="24"/>
              </w:rPr>
              <w:t>0.97%</w:t>
            </w:r>
          </w:p>
        </w:tc>
        <w:tc>
          <w:tcPr>
            <w:vAlign w:val="center"/>
          </w:tcPr>
          <w:p>
            <w:pPr>
              <w:jc w:val="center"/>
            </w:pPr>
            <w:r>
              <w:rPr>
                <w:color w:val="000000"/>
                <w:sz w:val="24"/>
                <w:szCs w:val="24"/>
              </w:rPr>
              <w:t>0.16%</w:t>
            </w:r>
          </w:p>
        </w:tc>
        <w:tc>
          <w:tcPr>
            <w:vAlign w:val="center"/>
          </w:tcPr>
          <w:p>
            <w:pPr>
              <w:jc w:val="center"/>
            </w:pPr>
            <w:r>
              <w:rPr>
                <w:color w:val="000000"/>
                <w:sz w:val="24"/>
                <w:szCs w:val="24"/>
              </w:rPr>
              <w:t>0.64%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交银施罗德创新成长混合型证券投资基金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2018年9月27日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基金合同生效日为2018年9月27日，基金合同生效日至报告期期末，本基金运作时间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周中</w:t>
            </w:r>
          </w:p>
        </w:tc>
        <w:tc>
          <w:tcPr>
            <w:vAlign w:val="center"/>
          </w:tcPr>
          <w:p>
            <w:pPr>
              <w:jc w:val="center"/>
            </w:pPr>
            <w:r>
              <w:rPr>
                <w:color w:val="000000"/>
                <w:sz w:val="24"/>
                <w:szCs w:val="24"/>
              </w:rPr>
              <w:t>交银环球精选混合(QDII)、交银全球资源混合(QDII)、交银创新成长混合的基金经理</w:t>
            </w:r>
          </w:p>
        </w:tc>
        <w:tc>
          <w:tcPr>
            <w:vAlign w:val="center"/>
          </w:tcPr>
          <w:p>
            <w:pPr>
              <w:jc w:val="center"/>
            </w:pPr>
            <w:r>
              <w:rPr>
                <w:color w:val="000000"/>
                <w:sz w:val="24"/>
                <w:szCs w:val="24"/>
              </w:rPr>
              <w:t>2018-09-27</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周中先生，中国国籍，复旦大学金融学硕士。历任野村证券亚太区股票研究部研究助理，中银国际证券研究部研究员、高级经理，瑞银证券研究部行业分析师、董事。2015年加入交银施罗德基金管理有限公司。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2019年二季度市场明显波动加大，沪深300指数下跌1.21%，但是振幅达到15%；恒生指数下跌1.75%，振幅也达12.4%。白酒、金融为代表的蓝筹股表现较好，创业板为代表的科技类个股表现较差。</w:t>
      </w:r>
    </w:p>
    <w:p>
      <w:pPr>
        <w:spacing w:before="29" w:line="288" w:lineRule="auto"/>
        <w:ind w:firstLine="480" w:firstLineChars="200"/>
        <w:rPr>
          <w:color w:val="000000"/>
          <w:sz w:val="24"/>
          <w:szCs w:val="24"/>
        </w:rPr>
      </w:pPr>
      <w:r>
        <w:rPr>
          <w:color w:val="000000"/>
          <w:sz w:val="24"/>
          <w:szCs w:val="24"/>
        </w:rPr>
        <w:t>本基金在二季度总体仓位保持较高水平，对持仓进行了优化，在经济下行背景之下增持了部分消费类个股，减持了部分可能受到贸易战负面影响的成长类个股。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展望2019年三季度，中美贸易战可能阶段性的缓解，但是对全球经济增长的负面影响依然存在。我们认为整体上经济下行趋势已经确立，在这一过程当中，竞争力强的优质资产有望跑赢大盘。而以5G，人工智能为代表的新技术和新产业将是解决经济增长乏力的主要突破性力量，我们依然长期看好科技创新为代表的新兴产业的未来成长前景。我们将通过深度研究，找到并买入在这些行业中持续投入研发并已经形成了强大竞争壁垒的优质公司股票，享受公司价值的长期持续增长。</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121,803,012.05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91.31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121,803,012.05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91.31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499,600.00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0.37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499,600.00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0.37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8,154,056.34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2,933,406.35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2.20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133,390,074.74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2,134,817.90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1.62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46,974,593.16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35.64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3,482,500.00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2,581,000.00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11,663,500.00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23,722,528.72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9,341,169.94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6,099,053.90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2,692,665.74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5,492,000.00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2,013,050.00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23,106.60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116,219,985.96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88.18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roofErr w:type="spellStart"/>
            <w:r w:rsidRPr="00FF0BBF">
              <w:rPr>
                <w:color w:val="000000"/>
                <w:sz w:val="24"/>
              </w:rPr>
              <w:t/>
            </w:r>
            <w:proofErr w:type="spellEnd"/>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通讯服务</w:t>
            </w:r>
          </w:p>
        </w:tc>
        <w:tc>
          <w:tcPr>
            <w:vAlign w:val="center"/>
          </w:tcPr>
          <w:p>
            <w:pPr>
              <w:jc w:val="center"/>
            </w:pPr>
            <w:r>
              <w:rPr>
                <w:color w:val="000000"/>
                <w:sz w:val="24"/>
              </w:rPr>
              <w:t>5,583,026.09</w:t>
            </w:r>
          </w:p>
        </w:tc>
        <w:tc>
          <w:tcPr>
            <w:vAlign w:val="center"/>
          </w:tcPr>
          <w:p>
            <w:pPr>
              <w:jc w:val="center"/>
            </w:pPr>
            <w:r>
              <w:rPr>
                <w:color w:val="000000"/>
                <w:sz w:val="24"/>
              </w:rPr>
              <w:t>4.24</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proofErr w:type="spellStart"/>
            <w:r w:rsidRPr="00FF0BBF">
              <w:rPr>
                <w:color w:val="000000"/>
                <w:sz w:val="24"/>
              </w:rPr>
              <w:t/>
            </w:r>
            <w:proofErr w:type="spellEnd"/>
            <w:r w:rsidRPr="00FF0BBF">
              <w:rPr>
                <w:rFonts w:hint="eastAsia"/>
                <w:color w:val="000000"/>
                <w:sz w:val="24"/>
              </w:rPr>
              <w:t>5,583,026.09</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4.24</w:t>
            </w:r>
          </w:p>
        </w:tc>
      </w:tr>
    </w:tbl>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H00700</w:t>
            </w:r>
          </w:p>
        </w:tc>
        <w:tc>
          <w:tcPr>
            <w:vAlign w:val="center"/>
          </w:tcPr>
          <w:p>
            <w:pPr>
              <w:jc w:val="center"/>
            </w:pPr>
            <w:r>
              <w:rPr>
                <w:color w:val="000000"/>
                <w:sz w:val="24"/>
                <w:szCs w:val="24"/>
              </w:rPr>
              <w:t>腾讯控股</w:t>
            </w:r>
          </w:p>
        </w:tc>
        <w:tc>
          <w:tcPr>
            <w:vAlign w:val="center"/>
          </w:tcPr>
          <w:p>
            <w:pPr>
              <w:jc w:val="right"/>
            </w:pPr>
            <w:r>
              <w:rPr>
                <w:color w:val="000000"/>
                <w:sz w:val="24"/>
                <w:szCs w:val="24"/>
              </w:rPr>
              <w:t>18,000</w:t>
            </w:r>
          </w:p>
        </w:tc>
        <w:tc>
          <w:tcPr>
            <w:vAlign w:val="center"/>
          </w:tcPr>
          <w:p>
            <w:pPr>
              <w:jc w:val="right"/>
            </w:pPr>
            <w:r>
              <w:rPr>
                <w:color w:val="000000"/>
                <w:sz w:val="24"/>
                <w:szCs w:val="24"/>
              </w:rPr>
              <w:t>5,583,026.09</w:t>
            </w:r>
          </w:p>
        </w:tc>
        <w:tc>
          <w:tcPr>
            <w:vAlign w:val="center"/>
          </w:tcPr>
          <w:p>
            <w:pPr>
              <w:jc w:val="right"/>
            </w:pPr>
            <w:r>
              <w:rPr>
                <w:color w:val="000000"/>
                <w:sz w:val="24"/>
                <w:szCs w:val="24"/>
              </w:rPr>
              <w:t>4.24</w:t>
            </w:r>
          </w:p>
        </w:tc>
      </w:tr>
      <w:tr>
        <w:tc>
          <w:tcPr>
            <w:vAlign w:val="center"/>
          </w:tcPr>
          <w:p>
            <w:pPr>
              <w:jc w:val="center"/>
            </w:pPr>
            <w:r>
              <w:rPr>
                <w:color w:val="000000"/>
                <w:sz w:val="24"/>
                <w:szCs w:val="24"/>
              </w:rPr>
              <w:t>2</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400,000</w:t>
            </w:r>
          </w:p>
        </w:tc>
        <w:tc>
          <w:tcPr>
            <w:vAlign w:val="center"/>
          </w:tcPr>
          <w:p>
            <w:pPr>
              <w:jc w:val="right"/>
            </w:pPr>
            <w:r>
              <w:rPr>
                <w:color w:val="000000"/>
                <w:sz w:val="24"/>
                <w:szCs w:val="24"/>
              </w:rPr>
              <w:t>5,492,000.00</w:t>
            </w:r>
          </w:p>
        </w:tc>
        <w:tc>
          <w:tcPr>
            <w:vAlign w:val="center"/>
          </w:tcPr>
          <w:p>
            <w:pPr>
              <w:jc w:val="right"/>
            </w:pPr>
            <w:r>
              <w:rPr>
                <w:color w:val="000000"/>
                <w:sz w:val="24"/>
                <w:szCs w:val="24"/>
              </w:rPr>
              <w:t>4.17</w:t>
            </w:r>
          </w:p>
        </w:tc>
      </w:tr>
      <w:tr>
        <w:tc>
          <w:tcPr>
            <w:vAlign w:val="center"/>
          </w:tcPr>
          <w:p>
            <w:pPr>
              <w:jc w:val="center"/>
            </w:pPr>
            <w:r>
              <w:rPr>
                <w:color w:val="000000"/>
                <w:sz w:val="24"/>
                <w:szCs w:val="24"/>
              </w:rPr>
              <w:t>3</w:t>
            </w:r>
          </w:p>
        </w:tc>
        <w:tc>
          <w:tcPr>
            <w:vAlign w:val="center"/>
          </w:tcPr>
          <w:p>
            <w:pPr>
              <w:jc w:val="center"/>
            </w:pPr>
            <w:r>
              <w:rPr>
                <w:color w:val="000000"/>
                <w:sz w:val="24"/>
                <w:szCs w:val="24"/>
              </w:rPr>
              <w:t>600004</w:t>
            </w:r>
          </w:p>
        </w:tc>
        <w:tc>
          <w:tcPr>
            <w:vAlign w:val="center"/>
          </w:tcPr>
          <w:p>
            <w:pPr>
              <w:jc w:val="center"/>
            </w:pPr>
            <w:r>
              <w:rPr>
                <w:color w:val="000000"/>
                <w:sz w:val="24"/>
                <w:szCs w:val="24"/>
              </w:rPr>
              <w:t>白云机场</w:t>
            </w:r>
          </w:p>
        </w:tc>
        <w:tc>
          <w:tcPr>
            <w:vAlign w:val="center"/>
          </w:tcPr>
          <w:p>
            <w:pPr>
              <w:jc w:val="right"/>
            </w:pPr>
            <w:r>
              <w:rPr>
                <w:color w:val="000000"/>
                <w:sz w:val="24"/>
                <w:szCs w:val="24"/>
              </w:rPr>
              <w:t>300,000</w:t>
            </w:r>
          </w:p>
        </w:tc>
        <w:tc>
          <w:tcPr>
            <w:vAlign w:val="center"/>
          </w:tcPr>
          <w:p>
            <w:pPr>
              <w:jc w:val="right"/>
            </w:pPr>
            <w:r>
              <w:rPr>
                <w:color w:val="000000"/>
                <w:sz w:val="24"/>
                <w:szCs w:val="24"/>
              </w:rPr>
              <w:t>5,460,000.00</w:t>
            </w:r>
          </w:p>
        </w:tc>
        <w:tc>
          <w:tcPr>
            <w:vAlign w:val="center"/>
          </w:tcPr>
          <w:p>
            <w:pPr>
              <w:jc w:val="right"/>
            </w:pPr>
            <w:r>
              <w:rPr>
                <w:color w:val="000000"/>
                <w:sz w:val="24"/>
                <w:szCs w:val="24"/>
              </w:rPr>
              <w:t>4.14</w:t>
            </w:r>
          </w:p>
        </w:tc>
      </w:tr>
      <w:tr>
        <w:tc>
          <w:tcPr>
            <w:vAlign w:val="center"/>
          </w:tcPr>
          <w:p>
            <w:pPr>
              <w:jc w:val="center"/>
            </w:pPr>
            <w:r>
              <w:rPr>
                <w:color w:val="000000"/>
                <w:sz w:val="24"/>
                <w:szCs w:val="24"/>
              </w:rPr>
              <w:t>4</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170,000</w:t>
            </w:r>
          </w:p>
        </w:tc>
        <w:tc>
          <w:tcPr>
            <w:vAlign w:val="center"/>
          </w:tcPr>
          <w:p>
            <w:pPr>
              <w:jc w:val="right"/>
            </w:pPr>
            <w:r>
              <w:rPr>
                <w:color w:val="000000"/>
                <w:sz w:val="24"/>
                <w:szCs w:val="24"/>
              </w:rPr>
              <w:t>5,178,200.00</w:t>
            </w:r>
          </w:p>
        </w:tc>
        <w:tc>
          <w:tcPr>
            <w:vAlign w:val="center"/>
          </w:tcPr>
          <w:p>
            <w:pPr>
              <w:jc w:val="right"/>
            </w:pPr>
            <w:r>
              <w:rPr>
                <w:color w:val="000000"/>
                <w:sz w:val="24"/>
                <w:szCs w:val="24"/>
              </w:rPr>
              <w:t>3.93</w:t>
            </w:r>
          </w:p>
        </w:tc>
      </w:tr>
      <w:tr>
        <w:tc>
          <w:tcPr>
            <w:vAlign w:val="center"/>
          </w:tcPr>
          <w:p>
            <w:pPr>
              <w:jc w:val="center"/>
            </w:pPr>
            <w:r>
              <w:rPr>
                <w:color w:val="000000"/>
                <w:sz w:val="24"/>
                <w:szCs w:val="24"/>
              </w:rPr>
              <w:t>5</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500,000</w:t>
            </w:r>
          </w:p>
        </w:tc>
        <w:tc>
          <w:tcPr>
            <w:vAlign w:val="center"/>
          </w:tcPr>
          <w:p>
            <w:pPr>
              <w:jc w:val="right"/>
            </w:pPr>
            <w:r>
              <w:rPr>
                <w:color w:val="000000"/>
                <w:sz w:val="24"/>
                <w:szCs w:val="24"/>
              </w:rPr>
              <w:t>5,110,000.00</w:t>
            </w:r>
          </w:p>
        </w:tc>
        <w:tc>
          <w:tcPr>
            <w:vAlign w:val="center"/>
          </w:tcPr>
          <w:p>
            <w:pPr>
              <w:jc w:val="right"/>
            </w:pPr>
            <w:r>
              <w:rPr>
                <w:color w:val="000000"/>
                <w:sz w:val="24"/>
                <w:szCs w:val="24"/>
              </w:rPr>
              <w:t>3.88</w:t>
            </w:r>
          </w:p>
        </w:tc>
      </w:tr>
      <w:tr>
        <w:tc>
          <w:tcPr>
            <w:vAlign w:val="center"/>
          </w:tcPr>
          <w:p>
            <w:pPr>
              <w:jc w:val="center"/>
            </w:pPr>
            <w:r>
              <w:rPr>
                <w:color w:val="000000"/>
                <w:sz w:val="24"/>
                <w:szCs w:val="24"/>
              </w:rPr>
              <w:t>6</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150,000</w:t>
            </w:r>
          </w:p>
        </w:tc>
        <w:tc>
          <w:tcPr>
            <w:vAlign w:val="center"/>
          </w:tcPr>
          <w:p>
            <w:pPr>
              <w:jc w:val="right"/>
            </w:pPr>
            <w:r>
              <w:rPr>
                <w:color w:val="000000"/>
                <w:sz w:val="24"/>
                <w:szCs w:val="24"/>
              </w:rPr>
              <w:t>4,986,000.00</w:t>
            </w:r>
          </w:p>
        </w:tc>
        <w:tc>
          <w:tcPr>
            <w:vAlign w:val="center"/>
          </w:tcPr>
          <w:p>
            <w:pPr>
              <w:jc w:val="right"/>
            </w:pPr>
            <w:r>
              <w:rPr>
                <w:color w:val="000000"/>
                <w:sz w:val="24"/>
                <w:szCs w:val="24"/>
              </w:rPr>
              <w:t>3.78</w:t>
            </w:r>
          </w:p>
        </w:tc>
      </w:tr>
      <w:tr>
        <w:tc>
          <w:tcPr>
            <w:vAlign w:val="center"/>
          </w:tcPr>
          <w:p>
            <w:pPr>
              <w:jc w:val="center"/>
            </w:pPr>
            <w:r>
              <w:rPr>
                <w:color w:val="000000"/>
                <w:sz w:val="24"/>
                <w:szCs w:val="24"/>
              </w:rPr>
              <w:t>7</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90,000</w:t>
            </w:r>
          </w:p>
        </w:tc>
        <w:tc>
          <w:tcPr>
            <w:vAlign w:val="center"/>
          </w:tcPr>
          <w:p>
            <w:pPr>
              <w:jc w:val="right"/>
            </w:pPr>
            <w:r>
              <w:rPr>
                <w:color w:val="000000"/>
                <w:sz w:val="24"/>
                <w:szCs w:val="24"/>
              </w:rPr>
              <w:t>4,950,000.00</w:t>
            </w:r>
          </w:p>
        </w:tc>
        <w:tc>
          <w:tcPr>
            <w:vAlign w:val="center"/>
          </w:tcPr>
          <w:p>
            <w:pPr>
              <w:jc w:val="right"/>
            </w:pPr>
            <w:r>
              <w:rPr>
                <w:color w:val="000000"/>
                <w:sz w:val="24"/>
                <w:szCs w:val="24"/>
              </w:rPr>
              <w:t>3.76</w:t>
            </w:r>
          </w:p>
        </w:tc>
      </w:tr>
      <w:tr>
        <w:tc>
          <w:tcPr>
            <w:vAlign w:val="center"/>
          </w:tcPr>
          <w:p>
            <w:pPr>
              <w:jc w:val="center"/>
            </w:pPr>
            <w:r>
              <w:rPr>
                <w:color w:val="000000"/>
                <w:sz w:val="24"/>
                <w:szCs w:val="24"/>
              </w:rPr>
              <w:t>8</w:t>
            </w:r>
          </w:p>
        </w:tc>
        <w:tc>
          <w:tcPr>
            <w:vAlign w:val="center"/>
          </w:tcPr>
          <w:p>
            <w:pPr>
              <w:jc w:val="center"/>
            </w:pPr>
            <w:r>
              <w:rPr>
                <w:color w:val="000000"/>
                <w:sz w:val="24"/>
                <w:szCs w:val="24"/>
              </w:rPr>
              <w:t>600570</w:t>
            </w:r>
          </w:p>
        </w:tc>
        <w:tc>
          <w:tcPr>
            <w:vAlign w:val="center"/>
          </w:tcPr>
          <w:p>
            <w:pPr>
              <w:jc w:val="center"/>
            </w:pPr>
            <w:r>
              <w:rPr>
                <w:color w:val="000000"/>
                <w:sz w:val="24"/>
                <w:szCs w:val="24"/>
              </w:rPr>
              <w:t>恒生电子</w:t>
            </w:r>
          </w:p>
        </w:tc>
        <w:tc>
          <w:tcPr>
            <w:vAlign w:val="center"/>
          </w:tcPr>
          <w:p>
            <w:pPr>
              <w:jc w:val="right"/>
            </w:pPr>
            <w:r>
              <w:rPr>
                <w:color w:val="000000"/>
                <w:sz w:val="24"/>
                <w:szCs w:val="24"/>
              </w:rPr>
              <w:t>69,990</w:t>
            </w:r>
          </w:p>
        </w:tc>
        <w:tc>
          <w:tcPr>
            <w:vAlign w:val="center"/>
          </w:tcPr>
          <w:p>
            <w:pPr>
              <w:jc w:val="right"/>
            </w:pPr>
            <w:r>
              <w:rPr>
                <w:color w:val="000000"/>
                <w:sz w:val="24"/>
                <w:szCs w:val="24"/>
              </w:rPr>
              <w:t>4,769,818.50</w:t>
            </w:r>
          </w:p>
        </w:tc>
        <w:tc>
          <w:tcPr>
            <w:vAlign w:val="center"/>
          </w:tcPr>
          <w:p>
            <w:pPr>
              <w:jc w:val="right"/>
            </w:pPr>
            <w:r>
              <w:rPr>
                <w:color w:val="000000"/>
                <w:sz w:val="24"/>
                <w:szCs w:val="24"/>
              </w:rPr>
              <w:t>3.62</w:t>
            </w:r>
          </w:p>
        </w:tc>
      </w:tr>
      <w:tr>
        <w:tc>
          <w:tcPr>
            <w:vAlign w:val="center"/>
          </w:tcPr>
          <w:p>
            <w:pPr>
              <w:jc w:val="center"/>
            </w:pPr>
            <w:r>
              <w:rPr>
                <w:color w:val="000000"/>
                <w:sz w:val="24"/>
                <w:szCs w:val="24"/>
              </w:rPr>
              <w:t>9</w:t>
            </w:r>
          </w:p>
        </w:tc>
        <w:tc>
          <w:tcPr>
            <w:vAlign w:val="center"/>
          </w:tcPr>
          <w:p>
            <w:pPr>
              <w:jc w:val="center"/>
            </w:pPr>
            <w:r>
              <w:rPr>
                <w:color w:val="000000"/>
                <w:sz w:val="24"/>
                <w:szCs w:val="24"/>
              </w:rPr>
              <w:t>603713</w:t>
            </w:r>
          </w:p>
        </w:tc>
        <w:tc>
          <w:tcPr>
            <w:vAlign w:val="center"/>
          </w:tcPr>
          <w:p>
            <w:pPr>
              <w:jc w:val="center"/>
            </w:pPr>
            <w:r>
              <w:rPr>
                <w:color w:val="000000"/>
                <w:sz w:val="24"/>
                <w:szCs w:val="24"/>
              </w:rPr>
              <w:t>密尔克卫</w:t>
            </w:r>
          </w:p>
        </w:tc>
        <w:tc>
          <w:tcPr>
            <w:vAlign w:val="center"/>
          </w:tcPr>
          <w:p>
            <w:pPr>
              <w:jc w:val="right"/>
            </w:pPr>
            <w:r>
              <w:rPr>
                <w:color w:val="000000"/>
                <w:sz w:val="24"/>
                <w:szCs w:val="24"/>
              </w:rPr>
              <w:t>130,000</w:t>
            </w:r>
          </w:p>
        </w:tc>
        <w:tc>
          <w:tcPr>
            <w:vAlign w:val="center"/>
          </w:tcPr>
          <w:p>
            <w:pPr>
              <w:jc w:val="right"/>
            </w:pPr>
            <w:r>
              <w:rPr>
                <w:color w:val="000000"/>
                <w:sz w:val="24"/>
                <w:szCs w:val="24"/>
              </w:rPr>
              <w:t>4,527,900.00</w:t>
            </w:r>
          </w:p>
        </w:tc>
        <w:tc>
          <w:tcPr>
            <w:vAlign w:val="center"/>
          </w:tcPr>
          <w:p>
            <w:pPr>
              <w:jc w:val="right"/>
            </w:pPr>
            <w:r>
              <w:rPr>
                <w:color w:val="000000"/>
                <w:sz w:val="24"/>
                <w:szCs w:val="24"/>
              </w:rPr>
              <w:t>3.44</w:t>
            </w:r>
          </w:p>
        </w:tc>
      </w:tr>
      <w:tr>
        <w:tc>
          <w:tcPr>
            <w:vAlign w:val="center"/>
          </w:tcPr>
          <w:p>
            <w:pPr>
              <w:jc w:val="center"/>
            </w:pPr>
            <w:r>
              <w:rPr>
                <w:color w:val="000000"/>
                <w:sz w:val="24"/>
                <w:szCs w:val="24"/>
              </w:rPr>
              <w:t>10</w:t>
            </w:r>
          </w:p>
        </w:tc>
        <w:tc>
          <w:tcPr>
            <w:vAlign w:val="center"/>
          </w:tcPr>
          <w:p>
            <w:pPr>
              <w:jc w:val="center"/>
            </w:pPr>
            <w:r>
              <w:rPr>
                <w:color w:val="000000"/>
                <w:sz w:val="24"/>
                <w:szCs w:val="24"/>
              </w:rPr>
              <w:t>603707</w:t>
            </w:r>
          </w:p>
        </w:tc>
        <w:tc>
          <w:tcPr>
            <w:vAlign w:val="center"/>
          </w:tcPr>
          <w:p>
            <w:pPr>
              <w:jc w:val="center"/>
            </w:pPr>
            <w:r>
              <w:rPr>
                <w:color w:val="000000"/>
                <w:sz w:val="24"/>
                <w:szCs w:val="24"/>
              </w:rPr>
              <w:t>健友股份</w:t>
            </w:r>
          </w:p>
        </w:tc>
        <w:tc>
          <w:tcPr>
            <w:vAlign w:val="center"/>
          </w:tcPr>
          <w:p>
            <w:pPr>
              <w:jc w:val="right"/>
            </w:pPr>
            <w:r>
              <w:rPr>
                <w:color w:val="000000"/>
                <w:sz w:val="24"/>
                <w:szCs w:val="24"/>
              </w:rPr>
              <w:t>120,000</w:t>
            </w:r>
          </w:p>
        </w:tc>
        <w:tc>
          <w:tcPr>
            <w:vAlign w:val="center"/>
          </w:tcPr>
          <w:p>
            <w:pPr>
              <w:jc w:val="right"/>
            </w:pPr>
            <w:r>
              <w:rPr>
                <w:color w:val="000000"/>
                <w:sz w:val="24"/>
                <w:szCs w:val="24"/>
              </w:rPr>
              <w:t>4,242,000.00</w:t>
            </w:r>
          </w:p>
        </w:tc>
        <w:tc>
          <w:tcPr>
            <w:vAlign w:val="center"/>
          </w:tcPr>
          <w:p>
            <w:pPr>
              <w:jc w:val="right"/>
            </w:pPr>
            <w:r>
              <w:rPr>
                <w:color w:val="000000"/>
                <w:sz w:val="24"/>
                <w:szCs w:val="24"/>
              </w:rPr>
              <w:t>3.22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roofErr w:type="spellStart"/>
            <w:r w:rsidR="00F71057" w:rsidRPr="00414345">
              <w:rPr>
                <w:color w:val="000000"/>
                <w:sz w:val="24"/>
                <w:szCs w:val="24"/>
              </w:rPr>
              <w:t/>
            </w:r>
            <w:proofErr w:type="spellEnd"/>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499,600.00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0.38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499,600.00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0.38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019611</w:t>
            </w:r>
          </w:p>
        </w:tc>
        <w:tc>
          <w:tcPr>
            <w:vAlign w:val="center"/>
          </w:tcPr>
          <w:p>
            <w:pPr>
              <w:jc w:val="center"/>
            </w:pPr>
            <w:r>
              <w:rPr>
                <w:color w:val="000000"/>
                <w:sz w:val="24"/>
                <w:szCs w:val="24"/>
              </w:rPr>
              <w:t>19国债01</w:t>
            </w:r>
          </w:p>
        </w:tc>
        <w:tc>
          <w:tcPr>
            <w:vAlign w:val="center"/>
          </w:tcPr>
          <w:p>
            <w:pPr>
              <w:jc w:val="right"/>
            </w:pPr>
            <w:r>
              <w:rPr>
                <w:color w:val="000000"/>
                <w:sz w:val="24"/>
                <w:szCs w:val="24"/>
              </w:rPr>
              <w:t>5,000</w:t>
            </w:r>
          </w:p>
        </w:tc>
        <w:tc>
          <w:tcPr>
            <w:vAlign w:val="center"/>
          </w:tcPr>
          <w:p>
            <w:pPr>
              <w:jc w:val="right"/>
            </w:pPr>
            <w:r>
              <w:rPr>
                <w:color w:val="000000"/>
                <w:sz w:val="24"/>
                <w:szCs w:val="24"/>
              </w:rPr>
              <w:t>499,600.00</w:t>
            </w:r>
          </w:p>
        </w:tc>
        <w:tc>
          <w:tcPr>
            <w:vAlign w:val="center"/>
          </w:tcPr>
          <w:p>
            <w:pPr>
              <w:jc w:val="right"/>
            </w:pPr>
            <w:r>
              <w:rPr>
                <w:color w:val="000000"/>
                <w:sz w:val="24"/>
                <w:szCs w:val="24"/>
              </w:rPr>
              <w:t>0.38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341,009.56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2,393,617.57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28,126.72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6,276.83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164,375.67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2,933,406.35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r w:rsidR="008E326D" w:rsidRPr="00414345">
        <w:rPr>
          <w:color w:val="000000"/>
          <w:sz w:val="24"/>
          <w:szCs w:val="24"/>
        </w:rPr>
        <w:t/>
      </w:r>
      <w:r w:rsidR="008E326D" w:rsidRPr="00414345">
        <w:rPr>
          <w:color w:val="000000"/>
          <w:sz w:val="24"/>
          <w:szCs w:val="24"/>
        </w:rPr>
        <w:lastRenderedPageBreak/>
        <w:t/>
      </w:r>
      <w:proofErr w:type="gramEnd"/>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118,685,260.95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18,807,083.30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32,170,541.49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105,321,802.76</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1、中国证监会准予交银施罗德创新成长混合型证券投资基金募集注册的文件；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2、《交银施罗德创新成长混合型证券投资基金基金合同》；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3、《交银施罗德创新成长混合型证券投资基金招募说明书》；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4、《交银施罗德创新成长混合型证券投资基金托管协议》；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5、关于申请募集注册交银施罗德创新成长混合型证券投资基金的法律意见书；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8、报告期内交银施罗德创新成长混合型证券投资基金在指定报刊上各项公告的原稿。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交银施罗德创新成长混合型证券投资基金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