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525AD" w:rsidRDefault="00910D3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525AD" w:rsidRDefault="00910D3D">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525AD" w:rsidRDefault="00910D3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525AD" w:rsidRDefault="00910D3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525AD" w:rsidRDefault="00910D3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648,910,054.41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w:t>
            </w:r>
            <w:r w:rsidRPr="007F52FA">
              <w:rPr>
                <w:color w:val="000000"/>
                <w:kern w:val="0"/>
                <w:sz w:val="24"/>
              </w:rPr>
              <w:lastRenderedPageBreak/>
              <w:t>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7A3B" w:rsidRDefault="00C23B30" w:rsidP="007C14DF">
            <w:pPr>
              <w:spacing w:before="29" w:line="288" w:lineRule="auto"/>
              <w:jc w:val="left"/>
              <w:rPr>
                <w:color w:val="000000" w:themeColor="text1"/>
                <w:sz w:val="24"/>
              </w:rPr>
            </w:pPr>
            <w:r w:rsidRPr="007F52FA">
              <w:rPr>
                <w:color w:val="000000" w:themeColor="text1"/>
                <w:sz w:val="24"/>
              </w:rPr>
              <w:t>519692</w:t>
            </w:r>
            <w:r w:rsidRPr="007F52FA">
              <w:rPr>
                <w:color w:val="000000" w:themeColor="text1"/>
                <w:sz w:val="24"/>
              </w:rPr>
              <w:t>（前端）、</w:t>
            </w:r>
          </w:p>
          <w:p w:rsidR="00C23B30" w:rsidRPr="007F52FA" w:rsidRDefault="00C23B30" w:rsidP="007C14DF">
            <w:pPr>
              <w:spacing w:before="29" w:line="288" w:lineRule="auto"/>
              <w:jc w:val="left"/>
              <w:rPr>
                <w:sz w:val="24"/>
              </w:rPr>
            </w:pPr>
            <w:r w:rsidRPr="007F52FA">
              <w:rPr>
                <w:color w:val="000000" w:themeColor="text1"/>
                <w:sz w:val="24"/>
              </w:rPr>
              <w:t>519693</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648,714,717.45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195,336.96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-6,718,018.53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-2,408.80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-186,825,868.65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-56,325.14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-0.2856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-0.2883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2,366,463,145.97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715,962.35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3.6479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3.6653</w:t>
            </w:r>
          </w:p>
        </w:tc>
      </w:tr>
    </w:tbl>
    <w:p w:rsidR="004525AD" w:rsidRDefault="00910D3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525AD">
        <w:trPr>
          <w:jc w:val="center"/>
        </w:trPr>
        <w:tc>
          <w:tcPr>
            <w:tcW w:w="1266" w:type="dxa"/>
            <w:vAlign w:val="center"/>
          </w:tcPr>
          <w:p w:rsidR="004525AD" w:rsidRDefault="00910D3D">
            <w:pPr>
              <w:jc w:val="left"/>
            </w:pPr>
            <w:r>
              <w:rPr>
                <w:color w:val="000000"/>
                <w:sz w:val="24"/>
              </w:rPr>
              <w:t>过去三个月</w:t>
            </w:r>
          </w:p>
        </w:tc>
        <w:tc>
          <w:tcPr>
            <w:tcW w:w="1267" w:type="dxa"/>
            <w:vAlign w:val="center"/>
          </w:tcPr>
          <w:p w:rsidR="004525AD" w:rsidRDefault="00910D3D">
            <w:pPr>
              <w:jc w:val="center"/>
            </w:pPr>
            <w:r>
              <w:rPr>
                <w:color w:val="000000"/>
                <w:sz w:val="24"/>
              </w:rPr>
              <w:t>-7.24%</w:t>
            </w:r>
          </w:p>
        </w:tc>
        <w:tc>
          <w:tcPr>
            <w:tcW w:w="1267" w:type="dxa"/>
            <w:vAlign w:val="center"/>
          </w:tcPr>
          <w:p w:rsidR="004525AD" w:rsidRDefault="00910D3D">
            <w:pPr>
              <w:jc w:val="center"/>
            </w:pPr>
            <w:r>
              <w:rPr>
                <w:color w:val="000000"/>
                <w:sz w:val="24"/>
              </w:rPr>
              <w:t>1.58%</w:t>
            </w:r>
          </w:p>
        </w:tc>
        <w:tc>
          <w:tcPr>
            <w:tcW w:w="1267" w:type="dxa"/>
            <w:vAlign w:val="center"/>
          </w:tcPr>
          <w:p w:rsidR="004525AD" w:rsidRDefault="00910D3D">
            <w:pPr>
              <w:jc w:val="center"/>
            </w:pPr>
            <w:r>
              <w:rPr>
                <w:color w:val="000000"/>
                <w:sz w:val="24"/>
              </w:rPr>
              <w:t>-0.10%</w:t>
            </w:r>
          </w:p>
        </w:tc>
        <w:tc>
          <w:tcPr>
            <w:tcW w:w="1267" w:type="dxa"/>
            <w:vAlign w:val="center"/>
          </w:tcPr>
          <w:p w:rsidR="004525AD" w:rsidRDefault="00910D3D">
            <w:pPr>
              <w:jc w:val="center"/>
            </w:pPr>
            <w:r>
              <w:rPr>
                <w:color w:val="000000"/>
                <w:sz w:val="24"/>
              </w:rPr>
              <w:t>1.27%</w:t>
            </w:r>
          </w:p>
        </w:tc>
        <w:tc>
          <w:tcPr>
            <w:tcW w:w="1267" w:type="dxa"/>
            <w:vAlign w:val="center"/>
          </w:tcPr>
          <w:p w:rsidR="004525AD" w:rsidRDefault="00910D3D">
            <w:pPr>
              <w:jc w:val="center"/>
            </w:pPr>
            <w:r>
              <w:rPr>
                <w:color w:val="000000"/>
                <w:sz w:val="24"/>
              </w:rPr>
              <w:t>-7.14%</w:t>
            </w:r>
          </w:p>
        </w:tc>
        <w:tc>
          <w:tcPr>
            <w:tcW w:w="1267" w:type="dxa"/>
            <w:vAlign w:val="center"/>
          </w:tcPr>
          <w:p w:rsidR="004525AD" w:rsidRDefault="00910D3D">
            <w:pPr>
              <w:jc w:val="center"/>
            </w:pPr>
            <w:r>
              <w:rPr>
                <w:color w:val="000000"/>
                <w:sz w:val="24"/>
              </w:rPr>
              <w:t>0.31%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525AD">
        <w:trPr>
          <w:jc w:val="center"/>
        </w:trPr>
        <w:tc>
          <w:tcPr>
            <w:tcW w:w="1266" w:type="dxa"/>
            <w:vAlign w:val="center"/>
          </w:tcPr>
          <w:p w:rsidR="004525AD" w:rsidRDefault="00910D3D">
            <w:pPr>
              <w:jc w:val="left"/>
            </w:pPr>
            <w:r>
              <w:rPr>
                <w:color w:val="000000"/>
                <w:sz w:val="24"/>
              </w:rPr>
              <w:t>过去三个月</w:t>
            </w:r>
          </w:p>
        </w:tc>
        <w:tc>
          <w:tcPr>
            <w:tcW w:w="1267" w:type="dxa"/>
            <w:vAlign w:val="center"/>
          </w:tcPr>
          <w:p w:rsidR="004525AD" w:rsidRDefault="00910D3D">
            <w:pPr>
              <w:jc w:val="center"/>
            </w:pPr>
            <w:r>
              <w:rPr>
                <w:color w:val="000000"/>
                <w:sz w:val="24"/>
              </w:rPr>
              <w:t>-7.29%</w:t>
            </w:r>
          </w:p>
        </w:tc>
        <w:tc>
          <w:tcPr>
            <w:tcW w:w="1267" w:type="dxa"/>
            <w:vAlign w:val="center"/>
          </w:tcPr>
          <w:p w:rsidR="004525AD" w:rsidRDefault="00910D3D">
            <w:pPr>
              <w:jc w:val="center"/>
            </w:pPr>
            <w:r>
              <w:rPr>
                <w:color w:val="000000"/>
                <w:sz w:val="24"/>
              </w:rPr>
              <w:t>1.58%</w:t>
            </w:r>
          </w:p>
        </w:tc>
        <w:tc>
          <w:tcPr>
            <w:tcW w:w="1267" w:type="dxa"/>
            <w:vAlign w:val="center"/>
          </w:tcPr>
          <w:p w:rsidR="004525AD" w:rsidRDefault="00910D3D">
            <w:pPr>
              <w:jc w:val="center"/>
            </w:pPr>
            <w:r>
              <w:rPr>
                <w:color w:val="000000"/>
                <w:sz w:val="24"/>
              </w:rPr>
              <w:t>-0.10%</w:t>
            </w:r>
          </w:p>
        </w:tc>
        <w:tc>
          <w:tcPr>
            <w:tcW w:w="1267" w:type="dxa"/>
            <w:vAlign w:val="center"/>
          </w:tcPr>
          <w:p w:rsidR="004525AD" w:rsidRDefault="00910D3D">
            <w:pPr>
              <w:jc w:val="center"/>
            </w:pPr>
            <w:r>
              <w:rPr>
                <w:color w:val="000000"/>
                <w:sz w:val="24"/>
              </w:rPr>
              <w:t>1.27%</w:t>
            </w:r>
          </w:p>
        </w:tc>
        <w:tc>
          <w:tcPr>
            <w:tcW w:w="1267" w:type="dxa"/>
            <w:vAlign w:val="center"/>
          </w:tcPr>
          <w:p w:rsidR="004525AD" w:rsidRDefault="00910D3D">
            <w:pPr>
              <w:jc w:val="center"/>
            </w:pPr>
            <w:r>
              <w:rPr>
                <w:color w:val="000000"/>
                <w:sz w:val="24"/>
              </w:rPr>
              <w:t>-7.19%</w:t>
            </w:r>
          </w:p>
        </w:tc>
        <w:tc>
          <w:tcPr>
            <w:tcW w:w="1267" w:type="dxa"/>
            <w:vAlign w:val="center"/>
          </w:tcPr>
          <w:p w:rsidR="004525AD" w:rsidRDefault="00910D3D">
            <w:pPr>
              <w:jc w:val="center"/>
            </w:pPr>
            <w:r>
              <w:rPr>
                <w:color w:val="000000"/>
                <w:sz w:val="24"/>
              </w:rPr>
              <w:t>0.31%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w:t>
      </w:r>
      <w:r w:rsidRPr="007F52FA">
        <w:rPr>
          <w:color w:val="000000"/>
          <w:sz w:val="24"/>
        </w:rPr>
        <w:lastRenderedPageBreak/>
        <w:t>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525AD">
        <w:trPr>
          <w:jc w:val="center"/>
        </w:trPr>
        <w:tc>
          <w:tcPr>
            <w:tcW w:w="946" w:type="dxa"/>
            <w:vAlign w:val="center"/>
          </w:tcPr>
          <w:p w:rsidR="004525AD" w:rsidRDefault="00910D3D">
            <w:pPr>
              <w:jc w:val="center"/>
            </w:pPr>
            <w:r>
              <w:rPr>
                <w:color w:val="000000"/>
                <w:sz w:val="24"/>
              </w:rPr>
              <w:t>王少成</w:t>
            </w:r>
          </w:p>
        </w:tc>
        <w:tc>
          <w:tcPr>
            <w:tcW w:w="924" w:type="dxa"/>
            <w:vAlign w:val="center"/>
          </w:tcPr>
          <w:p w:rsidR="004525AD" w:rsidRDefault="00910D3D">
            <w:pPr>
              <w:jc w:val="center"/>
            </w:pPr>
            <w:r>
              <w:rPr>
                <w:color w:val="000000"/>
                <w:sz w:val="24"/>
              </w:rPr>
              <w:t>交银成长混合、交银蓝筹混合、交银恒益灵活</w:t>
            </w:r>
            <w:r>
              <w:rPr>
                <w:color w:val="000000"/>
                <w:sz w:val="24"/>
              </w:rPr>
              <w:lastRenderedPageBreak/>
              <w:t>配置混合的基金经理，公司权益投资总监</w:t>
            </w:r>
          </w:p>
        </w:tc>
        <w:tc>
          <w:tcPr>
            <w:tcW w:w="1202" w:type="dxa"/>
            <w:vAlign w:val="center"/>
          </w:tcPr>
          <w:p w:rsidR="004525AD" w:rsidRDefault="00910D3D">
            <w:pPr>
              <w:jc w:val="center"/>
            </w:pPr>
            <w:r>
              <w:rPr>
                <w:color w:val="000000"/>
                <w:sz w:val="24"/>
              </w:rPr>
              <w:lastRenderedPageBreak/>
              <w:t>2015-03-24</w:t>
            </w:r>
          </w:p>
        </w:tc>
        <w:tc>
          <w:tcPr>
            <w:tcW w:w="1300" w:type="dxa"/>
            <w:vAlign w:val="center"/>
          </w:tcPr>
          <w:p w:rsidR="004525AD" w:rsidRDefault="00910D3D">
            <w:pPr>
              <w:jc w:val="center"/>
            </w:pPr>
            <w:r>
              <w:rPr>
                <w:color w:val="000000"/>
                <w:sz w:val="24"/>
              </w:rPr>
              <w:t>-</w:t>
            </w:r>
          </w:p>
        </w:tc>
        <w:tc>
          <w:tcPr>
            <w:tcW w:w="1245" w:type="dxa"/>
            <w:vAlign w:val="center"/>
          </w:tcPr>
          <w:p w:rsidR="004525AD" w:rsidRDefault="00910D3D">
            <w:pPr>
              <w:jc w:val="center"/>
            </w:pPr>
            <w:r>
              <w:rPr>
                <w:color w:val="000000"/>
                <w:sz w:val="24"/>
              </w:rPr>
              <w:t>15</w:t>
            </w:r>
            <w:r>
              <w:rPr>
                <w:color w:val="000000"/>
                <w:sz w:val="24"/>
              </w:rPr>
              <w:t>年</w:t>
            </w:r>
          </w:p>
        </w:tc>
        <w:tc>
          <w:tcPr>
            <w:tcW w:w="3251" w:type="dxa"/>
            <w:vAlign w:val="center"/>
          </w:tcPr>
          <w:p w:rsidR="004525AD" w:rsidRDefault="00910D3D">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w:t>
            </w:r>
            <w:r>
              <w:rPr>
                <w:color w:val="000000"/>
                <w:sz w:val="24"/>
              </w:rPr>
              <w:lastRenderedPageBreak/>
              <w:t>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4525AD" w:rsidRDefault="00910D3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4525AD" w:rsidRDefault="00910D3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525AD" w:rsidRDefault="00910D3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525AD" w:rsidRDefault="00910D3D">
      <w:pPr>
        <w:spacing w:before="29" w:line="288" w:lineRule="auto"/>
        <w:ind w:firstLineChars="200" w:firstLine="480"/>
        <w:rPr>
          <w:color w:val="000000"/>
          <w:sz w:val="24"/>
        </w:rPr>
      </w:pPr>
      <w:r>
        <w:rPr>
          <w:color w:val="000000"/>
          <w:sz w:val="24"/>
        </w:rPr>
        <w:t>2019</w:t>
      </w:r>
      <w:r>
        <w:rPr>
          <w:color w:val="000000"/>
          <w:sz w:val="24"/>
        </w:rPr>
        <w:t>年二季度国内宏观经济增速趋于回落。一季度数据整体超预期后政治局会议重申高质量发展、从改革要红利以及房住不炒，刺激政策已边际刹车。随后地产调控与政府投资条例落地，结构性去杠杆方向不变。但中美贸易谈判风险推升后货币政策仍以定向降准和降低短端利率对冲，体现了政策的灵活性。</w:t>
      </w:r>
    </w:p>
    <w:p w:rsidR="00952A72" w:rsidRPr="007F52FA" w:rsidRDefault="00323F25" w:rsidP="007C14DF">
      <w:pPr>
        <w:spacing w:before="29" w:line="288" w:lineRule="auto"/>
        <w:ind w:firstLineChars="200" w:firstLine="480"/>
        <w:rPr>
          <w:color w:val="000000"/>
          <w:sz w:val="24"/>
        </w:rPr>
      </w:pPr>
      <w:r w:rsidRPr="007F52FA">
        <w:rPr>
          <w:color w:val="000000"/>
          <w:sz w:val="24"/>
        </w:rPr>
        <w:t>基金整体仓位保持在中性的水平。二季度以来国内宏观形势能见度的下降持续压制市场的风险偏好。</w:t>
      </w:r>
      <w:r w:rsidRPr="007F52FA">
        <w:rPr>
          <w:color w:val="000000"/>
          <w:sz w:val="24"/>
        </w:rPr>
        <w:t>A</w:t>
      </w:r>
      <w:r w:rsidRPr="007F52FA">
        <w:rPr>
          <w:color w:val="000000"/>
          <w:sz w:val="24"/>
        </w:rPr>
        <w:t>股经历了风险偏好持续压缩的过程，确定性增长的板块和个股获得持续的估值溢价。后续将看好科创板相关和通胀受益的板块和个股。</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1,911,898,539.44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80.48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1,911,898,539.44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80.48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8,293,211.80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8,293,211.80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454,397,389.55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19.13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1,104,198.82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0.05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2,375,693,339.61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130,204,001.77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5.50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363,431.25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1,168,941,544.85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49.38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29,403,486.00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214,106,116.56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9.04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33,869.94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135,392,731.20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5.72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189,830,348.42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43,623,009.45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1,911,898,539.44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80.77</w:t>
            </w:r>
          </w:p>
        </w:tc>
      </w:tr>
    </w:tbl>
    <w:p w:rsidR="00C27A3B" w:rsidRDefault="00C27A3B"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4525AD">
        <w:trPr>
          <w:jc w:val="center"/>
        </w:trPr>
        <w:tc>
          <w:tcPr>
            <w:tcW w:w="850" w:type="dxa"/>
            <w:vAlign w:val="center"/>
          </w:tcPr>
          <w:p w:rsidR="004525AD" w:rsidRDefault="00910D3D">
            <w:pPr>
              <w:jc w:val="center"/>
            </w:pPr>
            <w:r>
              <w:rPr>
                <w:color w:val="000000"/>
                <w:sz w:val="24"/>
              </w:rPr>
              <w:t>1</w:t>
            </w:r>
          </w:p>
        </w:tc>
        <w:tc>
          <w:tcPr>
            <w:tcW w:w="1327" w:type="dxa"/>
            <w:vAlign w:val="center"/>
          </w:tcPr>
          <w:p w:rsidR="004525AD" w:rsidRDefault="00910D3D">
            <w:pPr>
              <w:jc w:val="center"/>
            </w:pPr>
            <w:r>
              <w:rPr>
                <w:color w:val="000000"/>
                <w:sz w:val="24"/>
              </w:rPr>
              <w:t>603707</w:t>
            </w:r>
          </w:p>
        </w:tc>
        <w:tc>
          <w:tcPr>
            <w:tcW w:w="1769" w:type="dxa"/>
            <w:vAlign w:val="center"/>
          </w:tcPr>
          <w:p w:rsidR="004525AD" w:rsidRDefault="00910D3D">
            <w:pPr>
              <w:jc w:val="center"/>
            </w:pPr>
            <w:r>
              <w:rPr>
                <w:color w:val="000000"/>
                <w:sz w:val="24"/>
              </w:rPr>
              <w:t>健友股份</w:t>
            </w:r>
          </w:p>
        </w:tc>
        <w:tc>
          <w:tcPr>
            <w:tcW w:w="1327" w:type="dxa"/>
            <w:vAlign w:val="center"/>
          </w:tcPr>
          <w:p w:rsidR="004525AD" w:rsidRDefault="00910D3D">
            <w:pPr>
              <w:jc w:val="right"/>
            </w:pPr>
            <w:r>
              <w:rPr>
                <w:color w:val="000000"/>
                <w:sz w:val="24"/>
              </w:rPr>
              <w:t>6,080,533</w:t>
            </w:r>
          </w:p>
        </w:tc>
        <w:tc>
          <w:tcPr>
            <w:tcW w:w="1915" w:type="dxa"/>
            <w:vAlign w:val="center"/>
          </w:tcPr>
          <w:p w:rsidR="004525AD" w:rsidRDefault="00910D3D">
            <w:pPr>
              <w:jc w:val="right"/>
            </w:pPr>
            <w:r>
              <w:rPr>
                <w:color w:val="000000"/>
                <w:sz w:val="24"/>
              </w:rPr>
              <w:t>213,939,600.95</w:t>
            </w:r>
          </w:p>
        </w:tc>
        <w:tc>
          <w:tcPr>
            <w:tcW w:w="1680" w:type="dxa"/>
            <w:vAlign w:val="center"/>
          </w:tcPr>
          <w:p w:rsidR="004525AD" w:rsidRDefault="00910D3D">
            <w:pPr>
              <w:jc w:val="right"/>
            </w:pPr>
            <w:r>
              <w:rPr>
                <w:color w:val="000000"/>
                <w:sz w:val="24"/>
              </w:rPr>
              <w:t>9.04</w:t>
            </w:r>
          </w:p>
        </w:tc>
      </w:tr>
      <w:tr w:rsidR="004525AD">
        <w:trPr>
          <w:jc w:val="center"/>
        </w:trPr>
        <w:tc>
          <w:tcPr>
            <w:tcW w:w="850" w:type="dxa"/>
            <w:vAlign w:val="center"/>
          </w:tcPr>
          <w:p w:rsidR="004525AD" w:rsidRDefault="00910D3D">
            <w:pPr>
              <w:jc w:val="center"/>
            </w:pPr>
            <w:r>
              <w:rPr>
                <w:color w:val="000000"/>
                <w:sz w:val="24"/>
              </w:rPr>
              <w:t>2</w:t>
            </w:r>
          </w:p>
        </w:tc>
        <w:tc>
          <w:tcPr>
            <w:tcW w:w="1327" w:type="dxa"/>
            <w:vAlign w:val="center"/>
          </w:tcPr>
          <w:p w:rsidR="004525AD" w:rsidRDefault="00910D3D">
            <w:pPr>
              <w:jc w:val="center"/>
            </w:pPr>
            <w:r>
              <w:rPr>
                <w:color w:val="000000"/>
                <w:sz w:val="24"/>
              </w:rPr>
              <w:t>002607</w:t>
            </w:r>
          </w:p>
        </w:tc>
        <w:tc>
          <w:tcPr>
            <w:tcW w:w="1769" w:type="dxa"/>
            <w:vAlign w:val="center"/>
          </w:tcPr>
          <w:p w:rsidR="004525AD" w:rsidRDefault="00910D3D">
            <w:pPr>
              <w:jc w:val="center"/>
            </w:pPr>
            <w:r>
              <w:rPr>
                <w:color w:val="000000"/>
                <w:sz w:val="24"/>
              </w:rPr>
              <w:t>中公教育</w:t>
            </w:r>
          </w:p>
        </w:tc>
        <w:tc>
          <w:tcPr>
            <w:tcW w:w="1327" w:type="dxa"/>
            <w:vAlign w:val="center"/>
          </w:tcPr>
          <w:p w:rsidR="004525AD" w:rsidRDefault="00910D3D">
            <w:pPr>
              <w:jc w:val="right"/>
            </w:pPr>
            <w:r>
              <w:rPr>
                <w:color w:val="000000"/>
                <w:sz w:val="24"/>
              </w:rPr>
              <w:t>13,825,954</w:t>
            </w:r>
          </w:p>
        </w:tc>
        <w:tc>
          <w:tcPr>
            <w:tcW w:w="1915" w:type="dxa"/>
            <w:vAlign w:val="center"/>
          </w:tcPr>
          <w:p w:rsidR="004525AD" w:rsidRDefault="00910D3D">
            <w:pPr>
              <w:jc w:val="right"/>
            </w:pPr>
            <w:r>
              <w:rPr>
                <w:color w:val="000000"/>
                <w:sz w:val="24"/>
              </w:rPr>
              <w:t>189,830,348.42</w:t>
            </w:r>
          </w:p>
        </w:tc>
        <w:tc>
          <w:tcPr>
            <w:tcW w:w="1680" w:type="dxa"/>
            <w:vAlign w:val="center"/>
          </w:tcPr>
          <w:p w:rsidR="004525AD" w:rsidRDefault="00910D3D">
            <w:pPr>
              <w:jc w:val="right"/>
            </w:pPr>
            <w:r>
              <w:rPr>
                <w:color w:val="000000"/>
                <w:sz w:val="24"/>
              </w:rPr>
              <w:t>8.02</w:t>
            </w:r>
          </w:p>
        </w:tc>
      </w:tr>
      <w:tr w:rsidR="004525AD">
        <w:trPr>
          <w:jc w:val="center"/>
        </w:trPr>
        <w:tc>
          <w:tcPr>
            <w:tcW w:w="850" w:type="dxa"/>
            <w:vAlign w:val="center"/>
          </w:tcPr>
          <w:p w:rsidR="004525AD" w:rsidRDefault="00910D3D">
            <w:pPr>
              <w:jc w:val="center"/>
            </w:pPr>
            <w:r>
              <w:rPr>
                <w:color w:val="000000"/>
                <w:sz w:val="24"/>
              </w:rPr>
              <w:t>3</w:t>
            </w:r>
          </w:p>
        </w:tc>
        <w:tc>
          <w:tcPr>
            <w:tcW w:w="1327" w:type="dxa"/>
            <w:vAlign w:val="center"/>
          </w:tcPr>
          <w:p w:rsidR="004525AD" w:rsidRDefault="00910D3D">
            <w:pPr>
              <w:jc w:val="center"/>
            </w:pPr>
            <w:r>
              <w:rPr>
                <w:color w:val="000000"/>
                <w:sz w:val="24"/>
              </w:rPr>
              <w:t>002180</w:t>
            </w:r>
          </w:p>
        </w:tc>
        <w:tc>
          <w:tcPr>
            <w:tcW w:w="1769" w:type="dxa"/>
            <w:vAlign w:val="center"/>
          </w:tcPr>
          <w:p w:rsidR="004525AD" w:rsidRDefault="00910D3D">
            <w:pPr>
              <w:jc w:val="center"/>
            </w:pPr>
            <w:r>
              <w:rPr>
                <w:color w:val="000000"/>
                <w:sz w:val="24"/>
              </w:rPr>
              <w:t>纳思达</w:t>
            </w:r>
          </w:p>
        </w:tc>
        <w:tc>
          <w:tcPr>
            <w:tcW w:w="1327" w:type="dxa"/>
            <w:vAlign w:val="center"/>
          </w:tcPr>
          <w:p w:rsidR="004525AD" w:rsidRDefault="00910D3D">
            <w:pPr>
              <w:jc w:val="right"/>
            </w:pPr>
            <w:r>
              <w:rPr>
                <w:color w:val="000000"/>
                <w:sz w:val="24"/>
              </w:rPr>
              <w:t>6,541,043</w:t>
            </w:r>
          </w:p>
        </w:tc>
        <w:tc>
          <w:tcPr>
            <w:tcW w:w="1915" w:type="dxa"/>
            <w:vAlign w:val="center"/>
          </w:tcPr>
          <w:p w:rsidR="004525AD" w:rsidRDefault="00910D3D">
            <w:pPr>
              <w:jc w:val="right"/>
            </w:pPr>
            <w:r>
              <w:rPr>
                <w:color w:val="000000"/>
                <w:sz w:val="24"/>
              </w:rPr>
              <w:t>147,827,571.80</w:t>
            </w:r>
          </w:p>
        </w:tc>
        <w:tc>
          <w:tcPr>
            <w:tcW w:w="1680" w:type="dxa"/>
            <w:vAlign w:val="center"/>
          </w:tcPr>
          <w:p w:rsidR="004525AD" w:rsidRDefault="00910D3D">
            <w:pPr>
              <w:jc w:val="right"/>
            </w:pPr>
            <w:r>
              <w:rPr>
                <w:color w:val="000000"/>
                <w:sz w:val="24"/>
              </w:rPr>
              <w:t>6.24</w:t>
            </w:r>
          </w:p>
        </w:tc>
      </w:tr>
      <w:tr w:rsidR="004525AD">
        <w:trPr>
          <w:jc w:val="center"/>
        </w:trPr>
        <w:tc>
          <w:tcPr>
            <w:tcW w:w="850" w:type="dxa"/>
            <w:vAlign w:val="center"/>
          </w:tcPr>
          <w:p w:rsidR="004525AD" w:rsidRDefault="00910D3D">
            <w:pPr>
              <w:jc w:val="center"/>
            </w:pPr>
            <w:r>
              <w:rPr>
                <w:color w:val="000000"/>
                <w:sz w:val="24"/>
              </w:rPr>
              <w:t>4</w:t>
            </w:r>
          </w:p>
        </w:tc>
        <w:tc>
          <w:tcPr>
            <w:tcW w:w="1327" w:type="dxa"/>
            <w:vAlign w:val="center"/>
          </w:tcPr>
          <w:p w:rsidR="004525AD" w:rsidRDefault="00910D3D">
            <w:pPr>
              <w:jc w:val="center"/>
            </w:pPr>
            <w:r>
              <w:rPr>
                <w:color w:val="000000"/>
                <w:sz w:val="24"/>
              </w:rPr>
              <w:t>002216</w:t>
            </w:r>
          </w:p>
        </w:tc>
        <w:tc>
          <w:tcPr>
            <w:tcW w:w="1769" w:type="dxa"/>
            <w:vAlign w:val="center"/>
          </w:tcPr>
          <w:p w:rsidR="004525AD" w:rsidRDefault="00910D3D">
            <w:pPr>
              <w:jc w:val="center"/>
            </w:pPr>
            <w:r>
              <w:rPr>
                <w:color w:val="000000"/>
                <w:sz w:val="24"/>
              </w:rPr>
              <w:t>三全食品</w:t>
            </w:r>
          </w:p>
        </w:tc>
        <w:tc>
          <w:tcPr>
            <w:tcW w:w="1327" w:type="dxa"/>
            <w:vAlign w:val="center"/>
          </w:tcPr>
          <w:p w:rsidR="004525AD" w:rsidRDefault="00910D3D">
            <w:pPr>
              <w:jc w:val="right"/>
            </w:pPr>
            <w:r>
              <w:rPr>
                <w:color w:val="000000"/>
                <w:sz w:val="24"/>
              </w:rPr>
              <w:t>13,512,743</w:t>
            </w:r>
          </w:p>
        </w:tc>
        <w:tc>
          <w:tcPr>
            <w:tcW w:w="1915" w:type="dxa"/>
            <w:vAlign w:val="center"/>
          </w:tcPr>
          <w:p w:rsidR="004525AD" w:rsidRDefault="00910D3D">
            <w:pPr>
              <w:jc w:val="right"/>
            </w:pPr>
            <w:r>
              <w:rPr>
                <w:color w:val="000000"/>
                <w:sz w:val="24"/>
              </w:rPr>
              <w:t>138,100,233.46</w:t>
            </w:r>
          </w:p>
        </w:tc>
        <w:tc>
          <w:tcPr>
            <w:tcW w:w="1680" w:type="dxa"/>
            <w:vAlign w:val="center"/>
          </w:tcPr>
          <w:p w:rsidR="004525AD" w:rsidRDefault="00910D3D">
            <w:pPr>
              <w:jc w:val="right"/>
            </w:pPr>
            <w:r>
              <w:rPr>
                <w:color w:val="000000"/>
                <w:sz w:val="24"/>
              </w:rPr>
              <w:t>5.83</w:t>
            </w:r>
          </w:p>
        </w:tc>
      </w:tr>
      <w:tr w:rsidR="004525AD">
        <w:trPr>
          <w:jc w:val="center"/>
        </w:trPr>
        <w:tc>
          <w:tcPr>
            <w:tcW w:w="850" w:type="dxa"/>
            <w:vAlign w:val="center"/>
          </w:tcPr>
          <w:p w:rsidR="004525AD" w:rsidRDefault="00910D3D">
            <w:pPr>
              <w:jc w:val="center"/>
            </w:pPr>
            <w:r>
              <w:rPr>
                <w:color w:val="000000"/>
                <w:sz w:val="24"/>
              </w:rPr>
              <w:t>5</w:t>
            </w:r>
          </w:p>
        </w:tc>
        <w:tc>
          <w:tcPr>
            <w:tcW w:w="1327" w:type="dxa"/>
            <w:vAlign w:val="center"/>
          </w:tcPr>
          <w:p w:rsidR="004525AD" w:rsidRDefault="00910D3D">
            <w:pPr>
              <w:jc w:val="center"/>
            </w:pPr>
            <w:r>
              <w:rPr>
                <w:color w:val="000000"/>
                <w:sz w:val="24"/>
              </w:rPr>
              <w:t>300012</w:t>
            </w:r>
          </w:p>
        </w:tc>
        <w:tc>
          <w:tcPr>
            <w:tcW w:w="1769" w:type="dxa"/>
            <w:vAlign w:val="center"/>
          </w:tcPr>
          <w:p w:rsidR="004525AD" w:rsidRDefault="00910D3D">
            <w:pPr>
              <w:jc w:val="center"/>
            </w:pPr>
            <w:r>
              <w:rPr>
                <w:color w:val="000000"/>
                <w:sz w:val="24"/>
              </w:rPr>
              <w:t>华测检测</w:t>
            </w:r>
          </w:p>
        </w:tc>
        <w:tc>
          <w:tcPr>
            <w:tcW w:w="1327" w:type="dxa"/>
            <w:vAlign w:val="center"/>
          </w:tcPr>
          <w:p w:rsidR="004525AD" w:rsidRDefault="00910D3D">
            <w:pPr>
              <w:jc w:val="right"/>
            </w:pPr>
            <w:r>
              <w:rPr>
                <w:color w:val="000000"/>
                <w:sz w:val="24"/>
              </w:rPr>
              <w:t>12,536,364</w:t>
            </w:r>
          </w:p>
        </w:tc>
        <w:tc>
          <w:tcPr>
            <w:tcW w:w="1915" w:type="dxa"/>
            <w:vAlign w:val="center"/>
          </w:tcPr>
          <w:p w:rsidR="004525AD" w:rsidRDefault="00910D3D">
            <w:pPr>
              <w:jc w:val="right"/>
            </w:pPr>
            <w:r>
              <w:rPr>
                <w:color w:val="000000"/>
                <w:sz w:val="24"/>
              </w:rPr>
              <w:t>135,392,731.20</w:t>
            </w:r>
          </w:p>
        </w:tc>
        <w:tc>
          <w:tcPr>
            <w:tcW w:w="1680" w:type="dxa"/>
            <w:vAlign w:val="center"/>
          </w:tcPr>
          <w:p w:rsidR="004525AD" w:rsidRDefault="00910D3D">
            <w:pPr>
              <w:jc w:val="right"/>
            </w:pPr>
            <w:r>
              <w:rPr>
                <w:color w:val="000000"/>
                <w:sz w:val="24"/>
              </w:rPr>
              <w:t>5.72</w:t>
            </w:r>
          </w:p>
        </w:tc>
      </w:tr>
      <w:tr w:rsidR="004525AD">
        <w:trPr>
          <w:jc w:val="center"/>
        </w:trPr>
        <w:tc>
          <w:tcPr>
            <w:tcW w:w="850" w:type="dxa"/>
            <w:vAlign w:val="center"/>
          </w:tcPr>
          <w:p w:rsidR="004525AD" w:rsidRDefault="00910D3D">
            <w:pPr>
              <w:jc w:val="center"/>
            </w:pPr>
            <w:r>
              <w:rPr>
                <w:color w:val="000000"/>
                <w:sz w:val="24"/>
              </w:rPr>
              <w:t>6</w:t>
            </w:r>
          </w:p>
        </w:tc>
        <w:tc>
          <w:tcPr>
            <w:tcW w:w="1327" w:type="dxa"/>
            <w:vAlign w:val="center"/>
          </w:tcPr>
          <w:p w:rsidR="004525AD" w:rsidRDefault="00910D3D">
            <w:pPr>
              <w:jc w:val="center"/>
            </w:pPr>
            <w:r>
              <w:rPr>
                <w:color w:val="000000"/>
                <w:sz w:val="24"/>
              </w:rPr>
              <w:t>300498</w:t>
            </w:r>
          </w:p>
        </w:tc>
        <w:tc>
          <w:tcPr>
            <w:tcW w:w="1769" w:type="dxa"/>
            <w:vAlign w:val="center"/>
          </w:tcPr>
          <w:p w:rsidR="004525AD" w:rsidRDefault="00910D3D">
            <w:pPr>
              <w:jc w:val="center"/>
            </w:pPr>
            <w:r>
              <w:rPr>
                <w:color w:val="000000"/>
                <w:sz w:val="24"/>
              </w:rPr>
              <w:t>温氏股份</w:t>
            </w:r>
          </w:p>
        </w:tc>
        <w:tc>
          <w:tcPr>
            <w:tcW w:w="1327" w:type="dxa"/>
            <w:vAlign w:val="center"/>
          </w:tcPr>
          <w:p w:rsidR="004525AD" w:rsidRDefault="00910D3D">
            <w:pPr>
              <w:jc w:val="right"/>
            </w:pPr>
            <w:r>
              <w:rPr>
                <w:color w:val="000000"/>
                <w:sz w:val="24"/>
              </w:rPr>
              <w:t>3,519,293</w:t>
            </w:r>
          </w:p>
        </w:tc>
        <w:tc>
          <w:tcPr>
            <w:tcW w:w="1915" w:type="dxa"/>
            <w:vAlign w:val="center"/>
          </w:tcPr>
          <w:p w:rsidR="004525AD" w:rsidRDefault="00910D3D">
            <w:pPr>
              <w:jc w:val="right"/>
            </w:pPr>
            <w:r>
              <w:rPr>
                <w:color w:val="000000"/>
                <w:sz w:val="24"/>
              </w:rPr>
              <w:t>126,201,846.98</w:t>
            </w:r>
          </w:p>
        </w:tc>
        <w:tc>
          <w:tcPr>
            <w:tcW w:w="1680" w:type="dxa"/>
            <w:vAlign w:val="center"/>
          </w:tcPr>
          <w:p w:rsidR="004525AD" w:rsidRDefault="00910D3D">
            <w:pPr>
              <w:jc w:val="right"/>
            </w:pPr>
            <w:r>
              <w:rPr>
                <w:color w:val="000000"/>
                <w:sz w:val="24"/>
              </w:rPr>
              <w:t>5.33</w:t>
            </w:r>
          </w:p>
        </w:tc>
      </w:tr>
      <w:tr w:rsidR="004525AD">
        <w:trPr>
          <w:jc w:val="center"/>
        </w:trPr>
        <w:tc>
          <w:tcPr>
            <w:tcW w:w="850" w:type="dxa"/>
            <w:vAlign w:val="center"/>
          </w:tcPr>
          <w:p w:rsidR="004525AD" w:rsidRDefault="00910D3D">
            <w:pPr>
              <w:jc w:val="center"/>
            </w:pPr>
            <w:r>
              <w:rPr>
                <w:color w:val="000000"/>
                <w:sz w:val="24"/>
              </w:rPr>
              <w:t>7</w:t>
            </w:r>
          </w:p>
        </w:tc>
        <w:tc>
          <w:tcPr>
            <w:tcW w:w="1327" w:type="dxa"/>
            <w:vAlign w:val="center"/>
          </w:tcPr>
          <w:p w:rsidR="004525AD" w:rsidRDefault="00910D3D">
            <w:pPr>
              <w:jc w:val="center"/>
            </w:pPr>
            <w:r>
              <w:rPr>
                <w:color w:val="000000"/>
                <w:sz w:val="24"/>
              </w:rPr>
              <w:t>300146</w:t>
            </w:r>
          </w:p>
        </w:tc>
        <w:tc>
          <w:tcPr>
            <w:tcW w:w="1769" w:type="dxa"/>
            <w:vAlign w:val="center"/>
          </w:tcPr>
          <w:p w:rsidR="004525AD" w:rsidRDefault="00910D3D">
            <w:pPr>
              <w:jc w:val="center"/>
            </w:pPr>
            <w:r>
              <w:rPr>
                <w:color w:val="000000"/>
                <w:sz w:val="24"/>
              </w:rPr>
              <w:t>汤臣倍健</w:t>
            </w:r>
          </w:p>
        </w:tc>
        <w:tc>
          <w:tcPr>
            <w:tcW w:w="1327" w:type="dxa"/>
            <w:vAlign w:val="center"/>
          </w:tcPr>
          <w:p w:rsidR="004525AD" w:rsidRDefault="00910D3D">
            <w:pPr>
              <w:jc w:val="right"/>
            </w:pPr>
            <w:r>
              <w:rPr>
                <w:color w:val="000000"/>
                <w:sz w:val="24"/>
              </w:rPr>
              <w:t>6,428,980</w:t>
            </w:r>
          </w:p>
        </w:tc>
        <w:tc>
          <w:tcPr>
            <w:tcW w:w="1915" w:type="dxa"/>
            <w:vAlign w:val="center"/>
          </w:tcPr>
          <w:p w:rsidR="004525AD" w:rsidRDefault="00910D3D">
            <w:pPr>
              <w:jc w:val="right"/>
            </w:pPr>
            <w:r>
              <w:rPr>
                <w:color w:val="000000"/>
                <w:sz w:val="24"/>
              </w:rPr>
              <w:t>124,722,212.00</w:t>
            </w:r>
          </w:p>
        </w:tc>
        <w:tc>
          <w:tcPr>
            <w:tcW w:w="1680" w:type="dxa"/>
            <w:vAlign w:val="center"/>
          </w:tcPr>
          <w:p w:rsidR="004525AD" w:rsidRDefault="00910D3D">
            <w:pPr>
              <w:jc w:val="right"/>
            </w:pPr>
            <w:r>
              <w:rPr>
                <w:color w:val="000000"/>
                <w:sz w:val="24"/>
              </w:rPr>
              <w:t>5.27</w:t>
            </w:r>
          </w:p>
        </w:tc>
      </w:tr>
      <w:tr w:rsidR="004525AD">
        <w:trPr>
          <w:jc w:val="center"/>
        </w:trPr>
        <w:tc>
          <w:tcPr>
            <w:tcW w:w="850" w:type="dxa"/>
            <w:vAlign w:val="center"/>
          </w:tcPr>
          <w:p w:rsidR="004525AD" w:rsidRDefault="00910D3D">
            <w:pPr>
              <w:jc w:val="center"/>
            </w:pPr>
            <w:r>
              <w:rPr>
                <w:color w:val="000000"/>
                <w:sz w:val="24"/>
              </w:rPr>
              <w:lastRenderedPageBreak/>
              <w:t>8</w:t>
            </w:r>
          </w:p>
        </w:tc>
        <w:tc>
          <w:tcPr>
            <w:tcW w:w="1327" w:type="dxa"/>
            <w:vAlign w:val="center"/>
          </w:tcPr>
          <w:p w:rsidR="004525AD" w:rsidRDefault="00910D3D">
            <w:pPr>
              <w:jc w:val="center"/>
            </w:pPr>
            <w:r>
              <w:rPr>
                <w:color w:val="000000"/>
                <w:sz w:val="24"/>
              </w:rPr>
              <w:t>002230</w:t>
            </w:r>
          </w:p>
        </w:tc>
        <w:tc>
          <w:tcPr>
            <w:tcW w:w="1769" w:type="dxa"/>
            <w:vAlign w:val="center"/>
          </w:tcPr>
          <w:p w:rsidR="004525AD" w:rsidRDefault="00910D3D">
            <w:pPr>
              <w:jc w:val="center"/>
            </w:pPr>
            <w:r>
              <w:rPr>
                <w:color w:val="000000"/>
                <w:sz w:val="24"/>
              </w:rPr>
              <w:t>科大讯飞</w:t>
            </w:r>
          </w:p>
        </w:tc>
        <w:tc>
          <w:tcPr>
            <w:tcW w:w="1327" w:type="dxa"/>
            <w:vAlign w:val="center"/>
          </w:tcPr>
          <w:p w:rsidR="004525AD" w:rsidRDefault="00910D3D">
            <w:pPr>
              <w:jc w:val="right"/>
            </w:pPr>
            <w:r>
              <w:rPr>
                <w:color w:val="000000"/>
                <w:sz w:val="24"/>
              </w:rPr>
              <w:t>3,654,960</w:t>
            </w:r>
          </w:p>
        </w:tc>
        <w:tc>
          <w:tcPr>
            <w:tcW w:w="1915" w:type="dxa"/>
            <w:vAlign w:val="center"/>
          </w:tcPr>
          <w:p w:rsidR="004525AD" w:rsidRDefault="00910D3D">
            <w:pPr>
              <w:jc w:val="right"/>
            </w:pPr>
            <w:r>
              <w:rPr>
                <w:color w:val="000000"/>
                <w:sz w:val="24"/>
              </w:rPr>
              <w:t>121,490,870.40</w:t>
            </w:r>
          </w:p>
        </w:tc>
        <w:tc>
          <w:tcPr>
            <w:tcW w:w="1680" w:type="dxa"/>
            <w:vAlign w:val="center"/>
          </w:tcPr>
          <w:p w:rsidR="004525AD" w:rsidRDefault="00910D3D">
            <w:pPr>
              <w:jc w:val="right"/>
            </w:pPr>
            <w:r>
              <w:rPr>
                <w:color w:val="000000"/>
                <w:sz w:val="24"/>
              </w:rPr>
              <w:t>5.13</w:t>
            </w:r>
          </w:p>
        </w:tc>
      </w:tr>
      <w:tr w:rsidR="004525AD">
        <w:trPr>
          <w:jc w:val="center"/>
        </w:trPr>
        <w:tc>
          <w:tcPr>
            <w:tcW w:w="850" w:type="dxa"/>
            <w:vAlign w:val="center"/>
          </w:tcPr>
          <w:p w:rsidR="004525AD" w:rsidRDefault="00910D3D">
            <w:pPr>
              <w:jc w:val="center"/>
            </w:pPr>
            <w:r>
              <w:rPr>
                <w:color w:val="000000"/>
                <w:sz w:val="24"/>
              </w:rPr>
              <w:t>9</w:t>
            </w:r>
          </w:p>
        </w:tc>
        <w:tc>
          <w:tcPr>
            <w:tcW w:w="1327" w:type="dxa"/>
            <w:vAlign w:val="center"/>
          </w:tcPr>
          <w:p w:rsidR="004525AD" w:rsidRDefault="00910D3D">
            <w:pPr>
              <w:jc w:val="center"/>
            </w:pPr>
            <w:r>
              <w:rPr>
                <w:color w:val="000000"/>
                <w:sz w:val="24"/>
              </w:rPr>
              <w:t>600038</w:t>
            </w:r>
          </w:p>
        </w:tc>
        <w:tc>
          <w:tcPr>
            <w:tcW w:w="1769" w:type="dxa"/>
            <w:vAlign w:val="center"/>
          </w:tcPr>
          <w:p w:rsidR="004525AD" w:rsidRDefault="00910D3D">
            <w:pPr>
              <w:jc w:val="center"/>
            </w:pPr>
            <w:r>
              <w:rPr>
                <w:color w:val="000000"/>
                <w:sz w:val="24"/>
              </w:rPr>
              <w:t>中直股份</w:t>
            </w:r>
          </w:p>
        </w:tc>
        <w:tc>
          <w:tcPr>
            <w:tcW w:w="1327" w:type="dxa"/>
            <w:vAlign w:val="center"/>
          </w:tcPr>
          <w:p w:rsidR="004525AD" w:rsidRDefault="00910D3D">
            <w:pPr>
              <w:jc w:val="right"/>
            </w:pPr>
            <w:r>
              <w:rPr>
                <w:color w:val="000000"/>
                <w:sz w:val="24"/>
              </w:rPr>
              <w:t>2,926,952</w:t>
            </w:r>
          </w:p>
        </w:tc>
        <w:tc>
          <w:tcPr>
            <w:tcW w:w="1915" w:type="dxa"/>
            <w:vAlign w:val="center"/>
          </w:tcPr>
          <w:p w:rsidR="004525AD" w:rsidRDefault="00910D3D">
            <w:pPr>
              <w:jc w:val="right"/>
            </w:pPr>
            <w:r>
              <w:rPr>
                <w:color w:val="000000"/>
                <w:sz w:val="24"/>
              </w:rPr>
              <w:t>120,063,571.04</w:t>
            </w:r>
          </w:p>
        </w:tc>
        <w:tc>
          <w:tcPr>
            <w:tcW w:w="1680" w:type="dxa"/>
            <w:vAlign w:val="center"/>
          </w:tcPr>
          <w:p w:rsidR="004525AD" w:rsidRDefault="00910D3D">
            <w:pPr>
              <w:jc w:val="right"/>
            </w:pPr>
            <w:r>
              <w:rPr>
                <w:color w:val="000000"/>
                <w:sz w:val="24"/>
              </w:rPr>
              <w:t>5.07</w:t>
            </w:r>
          </w:p>
        </w:tc>
      </w:tr>
      <w:tr w:rsidR="004525AD">
        <w:trPr>
          <w:jc w:val="center"/>
        </w:trPr>
        <w:tc>
          <w:tcPr>
            <w:tcW w:w="850" w:type="dxa"/>
            <w:vAlign w:val="center"/>
          </w:tcPr>
          <w:p w:rsidR="004525AD" w:rsidRDefault="00910D3D">
            <w:pPr>
              <w:jc w:val="center"/>
            </w:pPr>
            <w:r>
              <w:rPr>
                <w:color w:val="000000"/>
                <w:sz w:val="24"/>
              </w:rPr>
              <w:t>10</w:t>
            </w:r>
          </w:p>
        </w:tc>
        <w:tc>
          <w:tcPr>
            <w:tcW w:w="1327" w:type="dxa"/>
            <w:vAlign w:val="center"/>
          </w:tcPr>
          <w:p w:rsidR="004525AD" w:rsidRDefault="00910D3D">
            <w:pPr>
              <w:jc w:val="center"/>
            </w:pPr>
            <w:r>
              <w:rPr>
                <w:color w:val="000000"/>
                <w:sz w:val="24"/>
              </w:rPr>
              <w:t>600216</w:t>
            </w:r>
          </w:p>
        </w:tc>
        <w:tc>
          <w:tcPr>
            <w:tcW w:w="1769" w:type="dxa"/>
            <w:vAlign w:val="center"/>
          </w:tcPr>
          <w:p w:rsidR="004525AD" w:rsidRDefault="00910D3D">
            <w:pPr>
              <w:jc w:val="center"/>
            </w:pPr>
            <w:r>
              <w:rPr>
                <w:color w:val="000000"/>
                <w:sz w:val="24"/>
              </w:rPr>
              <w:t>浙江医药</w:t>
            </w:r>
          </w:p>
        </w:tc>
        <w:tc>
          <w:tcPr>
            <w:tcW w:w="1327" w:type="dxa"/>
            <w:vAlign w:val="center"/>
          </w:tcPr>
          <w:p w:rsidR="004525AD" w:rsidRDefault="00910D3D">
            <w:pPr>
              <w:jc w:val="right"/>
            </w:pPr>
            <w:r>
              <w:rPr>
                <w:color w:val="000000"/>
                <w:sz w:val="24"/>
              </w:rPr>
              <w:t>10,642,513</w:t>
            </w:r>
          </w:p>
        </w:tc>
        <w:tc>
          <w:tcPr>
            <w:tcW w:w="1915" w:type="dxa"/>
            <w:vAlign w:val="center"/>
          </w:tcPr>
          <w:p w:rsidR="004525AD" w:rsidRDefault="00910D3D">
            <w:pPr>
              <w:jc w:val="right"/>
            </w:pPr>
            <w:r>
              <w:rPr>
                <w:color w:val="000000"/>
                <w:sz w:val="24"/>
              </w:rPr>
              <w:t>108,979,333.12</w:t>
            </w:r>
          </w:p>
        </w:tc>
        <w:tc>
          <w:tcPr>
            <w:tcW w:w="1680" w:type="dxa"/>
            <w:vAlign w:val="center"/>
          </w:tcPr>
          <w:p w:rsidR="004525AD" w:rsidRDefault="00910D3D">
            <w:pPr>
              <w:jc w:val="right"/>
            </w:pPr>
            <w:r>
              <w:rPr>
                <w:color w:val="000000"/>
                <w:sz w:val="24"/>
              </w:rPr>
              <w:t>4.60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8,293,211.80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0.35</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8,293,211.80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525AD">
        <w:trPr>
          <w:jc w:val="center"/>
        </w:trPr>
        <w:tc>
          <w:tcPr>
            <w:tcW w:w="1075" w:type="dxa"/>
            <w:vAlign w:val="center"/>
          </w:tcPr>
          <w:p w:rsidR="004525AD" w:rsidRDefault="00910D3D">
            <w:pPr>
              <w:jc w:val="center"/>
            </w:pPr>
            <w:r>
              <w:rPr>
                <w:color w:val="000000"/>
                <w:sz w:val="24"/>
              </w:rPr>
              <w:t>1</w:t>
            </w:r>
          </w:p>
        </w:tc>
        <w:tc>
          <w:tcPr>
            <w:tcW w:w="1533" w:type="dxa"/>
            <w:vAlign w:val="center"/>
          </w:tcPr>
          <w:p w:rsidR="004525AD" w:rsidRDefault="00910D3D">
            <w:pPr>
              <w:jc w:val="center"/>
            </w:pPr>
            <w:r>
              <w:rPr>
                <w:color w:val="000000"/>
                <w:sz w:val="24"/>
              </w:rPr>
              <w:t>110046</w:t>
            </w:r>
          </w:p>
        </w:tc>
        <w:tc>
          <w:tcPr>
            <w:tcW w:w="1533" w:type="dxa"/>
            <w:vAlign w:val="center"/>
          </w:tcPr>
          <w:p w:rsidR="004525AD" w:rsidRDefault="00910D3D">
            <w:pPr>
              <w:jc w:val="center"/>
            </w:pPr>
            <w:r>
              <w:rPr>
                <w:color w:val="000000"/>
                <w:sz w:val="24"/>
              </w:rPr>
              <w:t>圆通转债</w:t>
            </w:r>
          </w:p>
        </w:tc>
        <w:tc>
          <w:tcPr>
            <w:tcW w:w="1394" w:type="dxa"/>
            <w:vAlign w:val="center"/>
          </w:tcPr>
          <w:p w:rsidR="004525AD" w:rsidRDefault="00910D3D">
            <w:pPr>
              <w:jc w:val="right"/>
            </w:pPr>
            <w:r>
              <w:rPr>
                <w:color w:val="000000"/>
                <w:sz w:val="24"/>
              </w:rPr>
              <w:t>71,660</w:t>
            </w:r>
          </w:p>
        </w:tc>
        <w:tc>
          <w:tcPr>
            <w:tcW w:w="1944" w:type="dxa"/>
            <w:vAlign w:val="center"/>
          </w:tcPr>
          <w:p w:rsidR="004525AD" w:rsidRDefault="00910D3D">
            <w:pPr>
              <w:jc w:val="right"/>
            </w:pPr>
            <w:r>
              <w:rPr>
                <w:color w:val="000000"/>
                <w:sz w:val="24"/>
              </w:rPr>
              <w:t>8,293,211.80</w:t>
            </w:r>
          </w:p>
        </w:tc>
        <w:tc>
          <w:tcPr>
            <w:tcW w:w="1389" w:type="dxa"/>
            <w:vAlign w:val="center"/>
          </w:tcPr>
          <w:p w:rsidR="004525AD" w:rsidRDefault="00910D3D">
            <w:pPr>
              <w:jc w:val="right"/>
            </w:pPr>
            <w:r>
              <w:rPr>
                <w:color w:val="000000"/>
                <w:sz w:val="24"/>
              </w:rPr>
              <w:t>0.35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C27A3B" w:rsidRDefault="00C27A3B" w:rsidP="007C14DF">
      <w:pPr>
        <w:autoSpaceDE w:val="0"/>
        <w:autoSpaceDN w:val="0"/>
        <w:adjustRightInd w:val="0"/>
        <w:spacing w:before="29" w:line="288" w:lineRule="auto"/>
        <w:jc w:val="left"/>
        <w:rPr>
          <w:rFonts w:eastAsiaTheme="minorEastAsia"/>
          <w:b/>
          <w:bCs/>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C27A3B">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777,430.76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111,143.16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215,624.90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1,104,198.82</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4525AD">
        <w:trPr>
          <w:jc w:val="center"/>
        </w:trPr>
        <w:tc>
          <w:tcPr>
            <w:tcW w:w="0" w:type="auto"/>
            <w:vAlign w:val="center"/>
          </w:tcPr>
          <w:p w:rsidR="004525AD" w:rsidRDefault="00910D3D">
            <w:pPr>
              <w:jc w:val="center"/>
            </w:pPr>
            <w:r>
              <w:rPr>
                <w:rFonts w:eastAsiaTheme="minorEastAsia"/>
                <w:color w:val="000000"/>
                <w:sz w:val="24"/>
              </w:rPr>
              <w:t>1</w:t>
            </w:r>
          </w:p>
        </w:tc>
        <w:tc>
          <w:tcPr>
            <w:tcW w:w="0" w:type="auto"/>
            <w:vAlign w:val="center"/>
          </w:tcPr>
          <w:p w:rsidR="004525AD" w:rsidRDefault="00910D3D">
            <w:pPr>
              <w:jc w:val="center"/>
            </w:pPr>
            <w:r>
              <w:rPr>
                <w:rFonts w:eastAsiaTheme="minorEastAsia"/>
                <w:color w:val="000000"/>
                <w:sz w:val="24"/>
              </w:rPr>
              <w:t>110046</w:t>
            </w:r>
          </w:p>
        </w:tc>
        <w:tc>
          <w:tcPr>
            <w:tcW w:w="0" w:type="auto"/>
            <w:vAlign w:val="center"/>
          </w:tcPr>
          <w:p w:rsidR="004525AD" w:rsidRDefault="00910D3D">
            <w:pPr>
              <w:jc w:val="center"/>
            </w:pPr>
            <w:r>
              <w:rPr>
                <w:rFonts w:eastAsiaTheme="minorEastAsia"/>
                <w:color w:val="000000"/>
                <w:sz w:val="24"/>
              </w:rPr>
              <w:t>圆通转债</w:t>
            </w:r>
          </w:p>
        </w:tc>
        <w:tc>
          <w:tcPr>
            <w:tcW w:w="0" w:type="auto"/>
            <w:vAlign w:val="center"/>
          </w:tcPr>
          <w:p w:rsidR="004525AD" w:rsidRDefault="00910D3D">
            <w:pPr>
              <w:jc w:val="right"/>
            </w:pPr>
            <w:r>
              <w:rPr>
                <w:rFonts w:eastAsiaTheme="minorEastAsia"/>
                <w:color w:val="000000"/>
                <w:sz w:val="24"/>
              </w:rPr>
              <w:t>8,293,211.80</w:t>
            </w:r>
          </w:p>
        </w:tc>
        <w:tc>
          <w:tcPr>
            <w:tcW w:w="0" w:type="auto"/>
            <w:vAlign w:val="center"/>
          </w:tcPr>
          <w:p w:rsidR="004525AD" w:rsidRDefault="00910D3D">
            <w:pPr>
              <w:jc w:val="right"/>
            </w:pPr>
            <w:r>
              <w:rPr>
                <w:rFonts w:eastAsiaTheme="minorEastAsia"/>
                <w:color w:val="000000"/>
                <w:sz w:val="24"/>
              </w:rPr>
              <w:t>0.35</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lastRenderedPageBreak/>
        <w:t>5.11.5</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4525AD">
        <w:trPr>
          <w:jc w:val="center"/>
        </w:trPr>
        <w:tc>
          <w:tcPr>
            <w:tcW w:w="1129" w:type="dxa"/>
            <w:vAlign w:val="center"/>
          </w:tcPr>
          <w:p w:rsidR="004525AD" w:rsidRDefault="00910D3D">
            <w:pPr>
              <w:jc w:val="center"/>
            </w:pPr>
            <w:r>
              <w:rPr>
                <w:rFonts w:eastAsiaTheme="minorEastAsia"/>
                <w:color w:val="000000"/>
                <w:sz w:val="24"/>
              </w:rPr>
              <w:t>1</w:t>
            </w:r>
          </w:p>
        </w:tc>
        <w:tc>
          <w:tcPr>
            <w:tcW w:w="1356" w:type="dxa"/>
            <w:vAlign w:val="center"/>
          </w:tcPr>
          <w:p w:rsidR="004525AD" w:rsidRDefault="00910D3D">
            <w:pPr>
              <w:jc w:val="center"/>
            </w:pPr>
            <w:r>
              <w:rPr>
                <w:rFonts w:eastAsiaTheme="minorEastAsia"/>
                <w:color w:val="000000"/>
                <w:sz w:val="24"/>
              </w:rPr>
              <w:t>603707</w:t>
            </w:r>
          </w:p>
        </w:tc>
        <w:tc>
          <w:tcPr>
            <w:tcW w:w="1355" w:type="dxa"/>
            <w:vAlign w:val="center"/>
          </w:tcPr>
          <w:p w:rsidR="004525AD" w:rsidRDefault="00910D3D">
            <w:pPr>
              <w:jc w:val="center"/>
            </w:pPr>
            <w:r>
              <w:rPr>
                <w:rFonts w:eastAsiaTheme="minorEastAsia"/>
                <w:color w:val="000000"/>
                <w:sz w:val="24"/>
              </w:rPr>
              <w:t>健友股份</w:t>
            </w:r>
          </w:p>
        </w:tc>
        <w:tc>
          <w:tcPr>
            <w:tcW w:w="1880" w:type="dxa"/>
            <w:vAlign w:val="center"/>
          </w:tcPr>
          <w:p w:rsidR="004525AD" w:rsidRDefault="00910D3D">
            <w:pPr>
              <w:jc w:val="right"/>
            </w:pPr>
            <w:r>
              <w:rPr>
                <w:rFonts w:eastAsiaTheme="minorEastAsia"/>
                <w:color w:val="000000"/>
                <w:sz w:val="24"/>
              </w:rPr>
              <w:t>19,574,236.40</w:t>
            </w:r>
          </w:p>
        </w:tc>
        <w:tc>
          <w:tcPr>
            <w:tcW w:w="1724" w:type="dxa"/>
            <w:vAlign w:val="center"/>
          </w:tcPr>
          <w:p w:rsidR="004525AD" w:rsidRDefault="00910D3D">
            <w:pPr>
              <w:jc w:val="right"/>
            </w:pPr>
            <w:r>
              <w:rPr>
                <w:rFonts w:eastAsiaTheme="minorEastAsia"/>
                <w:color w:val="000000"/>
                <w:sz w:val="24"/>
              </w:rPr>
              <w:t>0.83</w:t>
            </w:r>
          </w:p>
        </w:tc>
        <w:tc>
          <w:tcPr>
            <w:tcW w:w="1424" w:type="dxa"/>
            <w:vAlign w:val="center"/>
          </w:tcPr>
          <w:p w:rsidR="004525AD" w:rsidRDefault="00910D3D">
            <w:pPr>
              <w:jc w:val="right"/>
            </w:pPr>
            <w:r>
              <w:rPr>
                <w:rFonts w:eastAsiaTheme="minorEastAsia"/>
                <w:color w:val="000000"/>
                <w:sz w:val="24"/>
              </w:rPr>
              <w:t>限售股</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666,848,955.63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195,336.96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9,486,918.18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27,621,156.36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648,714,717.45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195,336.96</w:t>
            </w:r>
          </w:p>
        </w:tc>
      </w:tr>
    </w:tbl>
    <w:p w:rsidR="004525AD" w:rsidRDefault="00910D3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0119DA"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0119DA">
        <w:rPr>
          <w:rFonts w:eastAsiaTheme="minorEastAsia"/>
          <w:color w:val="000000" w:themeColor="text1"/>
          <w:kern w:val="0"/>
          <w:sz w:val="24"/>
          <w:szCs w:val="24"/>
        </w:rPr>
        <w:t xml:space="preserve">§8 </w:t>
      </w:r>
      <w:r w:rsidR="00F139D5" w:rsidRPr="000119DA">
        <w:rPr>
          <w:rFonts w:eastAsiaTheme="minorEastAsia"/>
          <w:color w:val="000000" w:themeColor="text1"/>
          <w:kern w:val="0"/>
          <w:sz w:val="24"/>
          <w:szCs w:val="24"/>
        </w:rPr>
        <w:t xml:space="preserve"> </w:t>
      </w:r>
      <w:r w:rsidRPr="000119DA">
        <w:rPr>
          <w:rFonts w:eastAsiaTheme="minorEastAsia" w:hint="eastAsia"/>
          <w:color w:val="000000" w:themeColor="text1"/>
          <w:kern w:val="0"/>
          <w:sz w:val="24"/>
          <w:szCs w:val="24"/>
        </w:rPr>
        <w:t>影响投资者决策的其他重要信息</w:t>
      </w:r>
    </w:p>
    <w:p w:rsidR="00ED0E09" w:rsidRPr="000119DA" w:rsidRDefault="00ED0E09" w:rsidP="00ED0E09">
      <w:pPr>
        <w:autoSpaceDE w:val="0"/>
        <w:autoSpaceDN w:val="0"/>
        <w:adjustRightInd w:val="0"/>
        <w:spacing w:line="360" w:lineRule="auto"/>
        <w:jc w:val="left"/>
        <w:rPr>
          <w:rFonts w:ascii="宋体" w:hAnsi="宋体"/>
          <w:b/>
          <w:bCs/>
          <w:color w:val="000000"/>
          <w:kern w:val="0"/>
          <w:sz w:val="24"/>
        </w:rPr>
      </w:pPr>
      <w:r w:rsidRPr="000119DA">
        <w:rPr>
          <w:rFonts w:ascii="宋体" w:hAnsi="宋体" w:hint="eastAsia"/>
          <w:b/>
          <w:bCs/>
          <w:color w:val="000000"/>
          <w:kern w:val="0"/>
          <w:sz w:val="24"/>
        </w:rPr>
        <w:t>8.1 影响投资者决策的其他重要信息</w:t>
      </w:r>
    </w:p>
    <w:p w:rsidR="00ED0E09" w:rsidRPr="00C27A3B" w:rsidRDefault="00ED0E09" w:rsidP="00ED0E09">
      <w:pPr>
        <w:spacing w:line="360" w:lineRule="auto"/>
        <w:ind w:firstLineChars="200" w:firstLine="480"/>
        <w:rPr>
          <w:rFonts w:ascii="宋体" w:hAnsi="宋体"/>
          <w:color w:val="000000"/>
          <w:sz w:val="24"/>
        </w:rPr>
      </w:pPr>
      <w:r w:rsidRPr="00C27A3B">
        <w:rPr>
          <w:rFonts w:ascii="宋体" w:hAnsi="宋体" w:hint="eastAsia"/>
          <w:color w:val="000000"/>
          <w:sz w:val="24"/>
        </w:rPr>
        <w:lastRenderedPageBreak/>
        <w:t>根据有关法律法规规定和基金合同的约定，本基金可投资</w:t>
      </w:r>
      <w:proofErr w:type="gramStart"/>
      <w:r w:rsidRPr="00C27A3B">
        <w:rPr>
          <w:rFonts w:ascii="宋体" w:hAnsi="宋体" w:hint="eastAsia"/>
          <w:color w:val="000000"/>
          <w:sz w:val="24"/>
        </w:rPr>
        <w:t>科创板</w:t>
      </w:r>
      <w:proofErr w:type="gramEnd"/>
      <w:r w:rsidRPr="00C27A3B">
        <w:rPr>
          <w:rFonts w:ascii="宋体" w:hAnsi="宋体" w:hint="eastAsia"/>
          <w:color w:val="000000"/>
          <w:sz w:val="24"/>
        </w:rPr>
        <w:t>股票。基金资产投资于</w:t>
      </w:r>
      <w:proofErr w:type="gramStart"/>
      <w:r w:rsidRPr="00C27A3B">
        <w:rPr>
          <w:rFonts w:ascii="宋体" w:hAnsi="宋体" w:hint="eastAsia"/>
          <w:color w:val="000000"/>
          <w:sz w:val="24"/>
        </w:rPr>
        <w:t>科创板</w:t>
      </w:r>
      <w:proofErr w:type="gramEnd"/>
      <w:r w:rsidRPr="00C27A3B">
        <w:rPr>
          <w:rFonts w:ascii="宋体" w:hAnsi="宋体" w:hint="eastAsia"/>
          <w:color w:val="000000"/>
          <w:sz w:val="24"/>
        </w:rPr>
        <w:t>股票，会</w:t>
      </w:r>
      <w:proofErr w:type="gramStart"/>
      <w:r w:rsidRPr="00C27A3B">
        <w:rPr>
          <w:rFonts w:ascii="宋体" w:hAnsi="宋体" w:hint="eastAsia"/>
          <w:color w:val="000000"/>
          <w:sz w:val="24"/>
        </w:rPr>
        <w:t>面临科创板机制</w:t>
      </w:r>
      <w:proofErr w:type="gramEnd"/>
      <w:r w:rsidRPr="00C27A3B">
        <w:rPr>
          <w:rFonts w:ascii="宋体" w:hAnsi="宋体" w:hint="eastAsia"/>
          <w:color w:val="000000"/>
          <w:sz w:val="24"/>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525AD" w:rsidRDefault="00910D3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4525AD" w:rsidRDefault="00910D3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4525AD" w:rsidRDefault="00910D3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4525AD" w:rsidRDefault="00910D3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4525AD" w:rsidRDefault="00910D3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4525AD" w:rsidRDefault="00910D3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4525AD" w:rsidRDefault="00910D3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w:t>
      </w:r>
      <w:bookmarkStart w:id="0" w:name="_GoBack"/>
      <w:bookmarkEnd w:id="0"/>
      <w:r w:rsidRPr="007F52FA">
        <w:rPr>
          <w:rFonts w:eastAsiaTheme="minorEastAsia"/>
          <w:color w:val="000000"/>
          <w:sz w:val="24"/>
        </w:rPr>
        <w:t>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4525AD" w:rsidRDefault="00910D3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387" w:rsidRDefault="001A5387">
      <w:r>
        <w:separator/>
      </w:r>
    </w:p>
  </w:endnote>
  <w:endnote w:type="continuationSeparator" w:id="0">
    <w:p w:rsidR="001A5387" w:rsidRDefault="001A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119DA">
      <w:rPr>
        <w:noProof/>
        <w:kern w:val="0"/>
        <w:szCs w:val="21"/>
      </w:rPr>
      <w:t>6</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0119DA">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387" w:rsidRDefault="001A5387">
      <w:r>
        <w:separator/>
      </w:r>
    </w:p>
  </w:footnote>
  <w:footnote w:type="continuationSeparator" w:id="0">
    <w:p w:rsidR="001A5387" w:rsidRDefault="001A5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19D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387"/>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25AD"/>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0D3D"/>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27A3B"/>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EC23-2A0F-429B-8C4A-7B29F795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222</TotalTime>
  <Pages>13</Pages>
  <Words>1155</Words>
  <Characters>6586</Characters>
  <Application>Microsoft Office Word</Application>
  <DocSecurity>0</DocSecurity>
  <Lines>54</Lines>
  <Paragraphs>15</Paragraphs>
  <ScaleCrop>false</ScaleCrop>
  <Company>TRT. Ltd. Co.</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392</cp:revision>
  <cp:lastPrinted>2007-07-19T00:46:00Z</cp:lastPrinted>
  <dcterms:created xsi:type="dcterms:W3CDTF">2014-01-17T06:19:00Z</dcterms:created>
  <dcterms:modified xsi:type="dcterms:W3CDTF">2019-07-11T03:11:00Z</dcterms:modified>
</cp:coreProperties>
</file>