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交银施罗德强化回报债券型证券投资基金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2019年第2季度报告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2019年6月30日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中信银行股份有限公司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二〇一九年七月十七日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基金托管人中信银行股份有限公司根据本基金合同规定，于2019年7月16日复核了本报告中的财务指标、净值表现和投资组合报告等内容，保证复核内容不存在虚假记载、误导性陈述或者重大遗漏。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本报告期自2019年4月1日起至6月30日止。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交银强化回报债券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519733</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2014年1月28日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12,447,490.34</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本基金在严格控制风险和保持资产流动性的前提下，重点投资于债券资产，力争实现基金资产的长期稳定增值。</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将严谨、规范化的基本面研究分析与积极主动的投资风格相结合，在分析和判断宏观经济运行状况和金融市场运行趋势的基础上，动态调整债券、股票等大类资产比例。本基金以债券投资为核心，重点关注债券组合久期调整、期限结构配置及债券类属配置，并在严谨深入的信用分析基础上，综合考量信用债券的信用评级，以及各类债券的流动性、供求关系和收益率水平等，同时本基金也通过综合运用骑乘操作、套利操作等策略精选个券，提高投资组合收益。此外，在风险可控的前提下，本基金适度关注股票、权证市场的运行状况与相应风险收益特征，有效把握投资机会，适时增强组合收益。</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本基金是一只债券型基金，其风险与预期收益高于货币市场基金，低于混合型基金和股票型基金，属于证券投资基金中中等风险的品种。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交银强化回报债券A/B</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交银强化回报债券C</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下属两级基金的交易代码</w:t>
            </w:r>
          </w:p>
        </w:tc>
        <w:tc>
          <w:tcPr>
            <w:tcW w:type="dxa" w:w="2922"/>
            <w:vAlign w:val="center"/>
          </w:tcPr>
          <w:p w:rsidP="007C14DF" w:rsidR="00C23B30" w:rsidRDefault="00C23B30" w:rsidRPr="007F52FA">
            <w:pPr>
              <w:spacing w:before="29" w:line="288" w:lineRule="auto"/>
              <w:jc w:val="left"/>
              <w:rPr>
                <w:sz w:val="24"/>
              </w:rPr>
            </w:pPr>
            <w:r w:rsidRPr="007F52FA">
              <w:rPr>
                <w:color w:themeColor="text1" w:val="000000"/>
                <w:sz w:val="24"/>
              </w:rPr>
              <w:t>519733</w:t>
            </w:r>
            <w:r w:rsidRPr="007F52FA">
              <w:rPr>
                <w:color w:themeColor="text1" w:val="000000"/>
                <w:sz w:val="24"/>
              </w:rPr>
              <w:t>（前端）、</w:t>
            </w:r>
            <w:r w:rsidRPr="007F52FA">
              <w:rPr>
                <w:color w:themeColor="text1" w:val="000000"/>
                <w:sz w:val="24"/>
              </w:rPr>
              <w:t>519734</w:t>
            </w:r>
            <w:r w:rsidRPr="007F52FA">
              <w:rPr>
                <w:color w:themeColor="text1" w:val="000000"/>
                <w:sz w:val="24"/>
              </w:rPr>
              <w:t>（后端）</w:t>
            </w:r>
          </w:p>
        </w:tc>
        <w:tc>
          <w:tcPr>
            <w:tcW w:type="dxa" w:w="3048"/>
            <w:vAlign w:val="center"/>
          </w:tcPr>
          <w:p w:rsidP="007C14DF" w:rsidR="00C23B30" w:rsidRDefault="00C23B30" w:rsidRPr="007F52FA">
            <w:pPr>
              <w:spacing w:before="29" w:line="288" w:lineRule="auto"/>
              <w:jc w:val="left"/>
              <w:rPr>
                <w:color w:themeColor="text1" w:val="000000"/>
                <w:sz w:val="24"/>
              </w:rPr>
            </w:pPr>
            <w:r w:rsidRPr="007F52FA">
              <w:rPr>
                <w:color w:themeColor="text1" w:val="000000"/>
                <w:sz w:val="24"/>
              </w:rPr>
              <w:t>519735</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10,279,468.34</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2,168,022.00</w:t>
            </w:r>
            <w:r w:rsidRPr="007F52FA">
              <w:rPr>
                <w:color w:val="000000"/>
                <w:kern w:val="0"/>
                <w:sz w:val="24"/>
              </w:rPr>
              <w:t>份</w:t>
            </w:r>
          </w:p>
        </w:tc>
      </w:tr>
    </w:tbl>
    <w:p w:rsidP="007C14DF" w:rsidR="009238DB" w:rsidRDefault="00A6200E"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注：本基金A类基金份额采用前端收费模式，B类基金份额采用后端收费模式，前端交易代码即为A类基金份额交易代码，后端交易代码即为B类基金份额交易代码。</w:t>
      </w:r>
    </w:p>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(2019年4月1日-2019年6月30日)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交银强化回报债券A/B</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交银强化回报债券C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45,826.85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10,021.00</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-62,004.44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-13,224.78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-0.0059</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-0.0059</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10,704,800.71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2,228,668.11</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1.041</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1.028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注：1、本基金A/B类业绩指标不包括持有人认购或交易基金的各项费用，计入费用后的实际收益水平要低于所列数字。 　　</w:t>
      </w:r>
    </w:p>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    2、本期已实现收益指基金本期利息收入、投资收益、其他收入（不含公允价值变动收益）扣除相关费用后的余额，本期利润为本期已实现收益加上本期公允价值变动收益。</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 xml:space="preserve">   </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Year" w:val="1899"/>
          <w:attr w:name="Month" w:val="12"/>
          <w:attr w:name="Day" w:val="30"/>
          <w:attr w:name="IsLunarDate" w:val="False"/>
          <w:attr w:name="IsROCDate" w:val="False"/>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交银强化回报债券A/B</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-0.57%</w:t>
            </w:r>
          </w:p>
        </w:tc>
        <w:tc>
          <w:tcPr>
            <w:vAlign w:val="center"/>
          </w:tcPr>
          <w:p>
            <w:pPr>
              <w:jc w:val="center"/>
            </w:pPr>
            <w:r>
              <w:rPr>
                <w:color w:val="000000"/>
                <w:sz w:val="24"/>
              </w:rPr>
              <w:t>0.15%</w:t>
            </w:r>
          </w:p>
        </w:tc>
        <w:tc>
          <w:tcPr>
            <w:vAlign w:val="center"/>
          </w:tcPr>
          <w:p>
            <w:pPr>
              <w:jc w:val="center"/>
            </w:pPr>
            <w:r>
              <w:rPr>
                <w:color w:val="000000"/>
                <w:sz w:val="24"/>
              </w:rPr>
              <w:t>-0.24%</w:t>
            </w:r>
          </w:p>
        </w:tc>
        <w:tc>
          <w:tcPr>
            <w:vAlign w:val="center"/>
          </w:tcPr>
          <w:p>
            <w:pPr>
              <w:jc w:val="center"/>
            </w:pPr>
            <w:r>
              <w:rPr>
                <w:color w:val="000000"/>
                <w:sz w:val="24"/>
              </w:rPr>
              <w:t>0.06%</w:t>
            </w:r>
          </w:p>
        </w:tc>
        <w:tc>
          <w:tcPr>
            <w:vAlign w:val="center"/>
          </w:tcPr>
          <w:p>
            <w:pPr>
              <w:jc w:val="center"/>
            </w:pPr>
            <w:r>
              <w:rPr>
                <w:color w:val="000000"/>
                <w:sz w:val="24"/>
              </w:rPr>
              <w:t>-0.33%</w:t>
            </w:r>
          </w:p>
        </w:tc>
        <w:tc>
          <w:tcPr>
            <w:vAlign w:val="center"/>
          </w:tcPr>
          <w:p>
            <w:pPr>
              <w:jc w:val="center"/>
            </w:pPr>
            <w:r>
              <w:rPr>
                <w:color w:val="000000"/>
                <w:sz w:val="24"/>
              </w:rPr>
              <w:t>0.09%</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交银强化回报债券C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-0.68%</w:t>
            </w:r>
          </w:p>
        </w:tc>
        <w:tc>
          <w:tcPr>
            <w:vAlign w:val="center"/>
          </w:tcPr>
          <w:p>
            <w:pPr>
              <w:jc w:val="center"/>
            </w:pPr>
            <w:r>
              <w:rPr>
                <w:color w:val="000000"/>
                <w:sz w:val="24"/>
              </w:rPr>
              <w:t>0.15%</w:t>
            </w:r>
          </w:p>
        </w:tc>
        <w:tc>
          <w:tcPr>
            <w:vAlign w:val="center"/>
          </w:tcPr>
          <w:p>
            <w:pPr>
              <w:jc w:val="center"/>
            </w:pPr>
            <w:r>
              <w:rPr>
                <w:color w:val="000000"/>
                <w:sz w:val="24"/>
              </w:rPr>
              <w:t>-0.24%</w:t>
            </w:r>
          </w:p>
        </w:tc>
        <w:tc>
          <w:tcPr>
            <w:vAlign w:val="center"/>
          </w:tcPr>
          <w:p>
            <w:pPr>
              <w:jc w:val="center"/>
            </w:pPr>
            <w:r>
              <w:rPr>
                <w:color w:val="000000"/>
                <w:sz w:val="24"/>
              </w:rPr>
              <w:t>0.06%</w:t>
            </w:r>
          </w:p>
        </w:tc>
        <w:tc>
          <w:tcPr>
            <w:vAlign w:val="center"/>
          </w:tcPr>
          <w:p>
            <w:pPr>
              <w:jc w:val="center"/>
            </w:pPr>
            <w:r>
              <w:rPr>
                <w:color w:val="000000"/>
                <w:sz w:val="24"/>
              </w:rPr>
              <w:t>-0.44%</w:t>
            </w:r>
          </w:p>
        </w:tc>
        <w:tc>
          <w:tcPr>
            <w:vAlign w:val="center"/>
          </w:tcPr>
          <w:p>
            <w:pPr>
              <w:jc w:val="center"/>
            </w:pPr>
            <w:r>
              <w:rPr>
                <w:color w:val="000000"/>
                <w:sz w:val="24"/>
              </w:rPr>
              <w:t>0.09%</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交银施罗德强化回报债券型证券投资基金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2014年1月28日</w:t>
      </w:r>
      <w:r w:rsidR="009A045B" w:rsidRPr="007F52FA">
        <w:rPr>
          <w:rFonts w:ascii="Times New Roman" w:hAnsi="Times New Roman"/>
          <w:sz w:val="24"/>
          <w:szCs w:val="24"/>
        </w:rPr>
        <w:t>至</w:t>
      </w:r>
      <w:r w:rsidRPr="007F52FA">
        <w:rPr>
          <w:rFonts w:ascii="Times New Roman" w:hAnsi="Times New Roman"/>
          <w:sz w:val="24"/>
          <w:szCs w:val="24"/>
        </w:rPr>
        <w:t>2019年6月30日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交银强化回报债券A/B</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交银强化回报债券C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凌超</w:t>
            </w:r>
          </w:p>
        </w:tc>
        <w:tc>
          <w:tcPr>
            <w:vAlign w:val="center"/>
          </w:tcPr>
          <w:p>
            <w:pPr>
              <w:jc w:val="center"/>
            </w:pPr>
            <w:r>
              <w:rPr>
                <w:color w:val="000000"/>
                <w:sz w:val="24"/>
              </w:rPr>
              <w:t>交银定期支付月月丰债券、交银增强收益债券、交银强化回报债券、交银增利增强债券、交银稳固收益债券的基金经理，公司固定收益(公募)投资副总监</w:t>
            </w:r>
          </w:p>
        </w:tc>
        <w:tc>
          <w:tcPr>
            <w:vAlign w:val="center"/>
          </w:tcPr>
          <w:p>
            <w:pPr>
              <w:jc w:val="center"/>
            </w:pPr>
            <w:r>
              <w:rPr>
                <w:color w:val="000000"/>
                <w:sz w:val="24"/>
              </w:rPr>
              <w:t>2018-02-13</w:t>
            </w:r>
          </w:p>
        </w:tc>
        <w:tc>
          <w:tcPr>
            <w:vAlign w:val="center"/>
          </w:tcPr>
          <w:p>
            <w:pPr>
              <w:jc w:val="center"/>
            </w:pPr>
            <w:r>
              <w:rPr>
                <w:color w:val="000000"/>
                <w:sz w:val="24"/>
              </w:rPr>
              <w:t>-</w:t>
            </w:r>
          </w:p>
        </w:tc>
        <w:tc>
          <w:tcPr>
            <w:vAlign w:val="center"/>
          </w:tcPr>
          <w:p>
            <w:pPr>
              <w:jc w:val="center"/>
            </w:pPr>
            <w:r>
              <w:rPr>
                <w:color w:val="000000"/>
                <w:sz w:val="24"/>
              </w:rPr>
              <w:t>13年</w:t>
            </w:r>
          </w:p>
        </w:tc>
        <w:tc>
          <w:tcPr>
            <w:vAlign w:val="center"/>
          </w:tcPr>
          <w:p>
            <w:pPr>
              <w:jc w:val="both"/>
            </w:pPr>
            <w:r>
              <w:rPr>
                <w:color w:val="000000"/>
                <w:sz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IsROCDate" w:val="False"/>
          <w:attr w:name="IsLunarDate" w:val="False"/>
          <w:attr w:name="Day" w:val="30"/>
          <w:attr w:name="Month" w:val="12"/>
          <w:attr w:name="Year" w:val="1899"/>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未发现异常交易行为。本报告期内，本公司管理的所有投资组合参与的交易所公开竞价同日反向交易成交较少的单边交易量超过该证券当日总成交量5%的情况有1次，是投资组合因投资策略需要而发生同日反向交易，未发现不公平交易和利益输送的情况。本基金与本公司管理的其他投资组合在不同时间窗下（如日内、3日内、5日内）同向交易的交易价差未发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随着海外风险事件再度升温，经济预期逐步回落。五月，个别银行信用风险暴露影响信用利差有所扩大。从经济基本面看，三月春节错位令市场对于经济的预期高涨，市场利率一路走高。此后，经济环比数据自然回落，并伴随着中观行业订单季节性下降，地产销量逐步走低。五月，中美贸易争端升温，经济预期进一步回落，市场利率明显回落，并维持震荡。五月受个别银行信用风险暴露影响，银行间流动性分化，存单收益率上行，信用债收益率一度走高，信用利差明显走扩。随着跨季资金流动性维持宽松，短端收益率下行，中高等级信用债收益率也出现回落，但中低等级信用债成交依然不多。</w:t>
      </w:r>
    </w:p>
    <w:p>
      <w:pPr>
        <w:spacing w:before="29" w:line="288" w:lineRule="auto"/>
        <w:ind w:firstLine="480" w:firstLineChars="200"/>
        <w:rPr>
          <w:color w:val="000000"/>
          <w:sz w:val="24"/>
        </w:rPr>
      </w:pPr>
      <w:r>
        <w:rPr>
          <w:color w:val="000000"/>
          <w:sz w:val="24"/>
        </w:rPr>
        <w:t>受经济环比回落，中美贸易争端再度升温等事件影响，权益市场自四月中下旬震荡下行。行业层面看，部分消费及金融有一定绝对收益，TMT及强周期等板块均有明显跌幅。</w:t>
      </w:r>
    </w:p>
    <w:p>
      <w:pPr>
        <w:spacing w:before="29" w:line="288" w:lineRule="auto"/>
        <w:ind w:firstLine="480" w:firstLineChars="200"/>
        <w:rPr>
          <w:color w:val="000000"/>
          <w:sz w:val="24"/>
        </w:rPr>
      </w:pPr>
      <w:r>
        <w:rPr>
          <w:color w:val="000000"/>
          <w:sz w:val="24"/>
        </w:rPr>
        <w:t>我们认为，经济环比回落，叠加中美贸易不确定性的加强，债券市场存在结构性一定的配置价值。因此在组合操作中，维持短久期利率底仓仓位，并通过长端利率债波段操作增厚组合债券部分收益。权益方面，组合维持较低仓位，适时参与市场反弹获得一定收益。</w:t>
      </w:r>
    </w:p>
    <w:p w:rsidP="007C14DF" w:rsidR="00952A72" w:rsidRDefault="00323F25" w:rsidRPr="007F52FA">
      <w:pPr>
        <w:spacing w:before="29" w:line="288" w:lineRule="auto"/>
        <w:ind w:firstLine="480" w:firstLineChars="200"/>
        <w:rPr>
          <w:color w:val="000000"/>
          <w:sz w:val="24"/>
        </w:rPr>
      </w:pPr>
      <w:r w:rsidRPr="007F52FA">
        <w:rPr>
          <w:color w:val="000000"/>
          <w:sz w:val="24"/>
        </w:rPr>
        <w:t>展望2019年三季度，从高频数据看，我们认为经济基本面面临下行压力，因此对于债券市场我们维持谨慎乐观的看法，维持中短久期配置，适时进行长债波段操作以赚取超额收益。权益方面，我们将密切关注市场的走势变化，灵活积极地去配置相关行业与个股，争取为组合获得更好收益。</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 主要财务指标” 及“3.2.1本报告期基金份额净值增长率及其与同期业绩比较基准收益率的比较”部分披露。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本基金本报告期内连续六十个工作日出现基金资产净值低于5000万元的情形，截至本报告期末，本基金基金资产净值仍低于5000万元。</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261,648.00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1.80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261,648.00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1.80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10,701,215.02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73.61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10,701,215.02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73.61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1,600,000.00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11.01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1,818,820.42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12.51</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156,189.94</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14,537,873.38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1A5E45" w:rsidR="005F69E7" w:rsidRDefault="001A5E45" w:rsidRPr="005F69E7">
      <w:pPr>
        <w:jc w:val="right"/>
        <w:rPr>
          <w:sz w:val="24"/>
        </w:rPr>
      </w:pPr>
      <w:r w:rsidRPr="001A5E45">
        <w:rPr>
          <w:rFonts w:hint="eastAsia"/>
          <w:sz w:val="24"/>
        </w:rPr>
        <w:t/>
      </w:r>
      <w:r w:rsidRPr="001A5E45">
        <w:rPr>
          <w:rFonts w:hint="eastAsia"/>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left w:type="dxa" w:w="113"/>
          <w:right w:type="dxa" w:w="113"/>
        </w:tblCellMar>
        <w:tblLook w:firstColumn="0" w:firstRow="0" w:lastColumn="0" w:lastRow="0" w:noHBand="0" w:noVBand="0" w:val="0000"/>
      </w:tblPr>
      <w:tblGrid>
        <w:gridCol w:w="772"/>
        <w:gridCol w:w="3525"/>
        <w:gridCol w:w="2897"/>
        <w:gridCol w:w="1674"/>
      </w:tblGrid>
      <w:tr w:rsidR="005F458B" w:rsidRPr="007F52FA" w:rsidTr="004D7E11">
        <w:trPr>
          <w:trHeight w:val="390"/>
          <w:jc w:val="center"/>
        </w:trPr>
        <w:tc>
          <w:tcPr>
            <w:tcW w:type="dxa" w:w="772"/>
            <w:tcBorders>
              <w:top w:color="000000" w:space="0" w:sz="4" w:val="single"/>
              <w:left w:color="000000" w:space="0" w:sz="4" w:val="single"/>
              <w:bottom w:color="000000" w:space="0" w:sz="4" w:val="single"/>
              <w:right w:color="000000" w:space="0" w:sz="4" w:val="single"/>
            </w:tcBorders>
            <w:vAlign w:val="center"/>
          </w:tcPr>
          <w:p w:rsidP="007C14DF" w:rsidR="005F458B" w:rsidRDefault="005F458B" w:rsidRPr="007F52FA">
            <w:pPr>
              <w:adjustRightInd w:val="0"/>
              <w:snapToGrid w:val="0"/>
              <w:spacing w:before="29" w:line="288" w:lineRule="auto"/>
              <w:jc w:val="center"/>
              <w:rPr>
                <w:sz w:val="24"/>
              </w:rPr>
            </w:pPr>
            <w:r w:rsidRPr="007F52FA">
              <w:rPr>
                <w:sz w:val="24"/>
              </w:rPr>
              <w:t>代码</w:t>
            </w:r>
            <w:r w:rsidR="00FA0527" w:rsidRPr="007F52FA">
              <w:rPr>
                <w:sz w:val="24"/>
              </w:rPr>
              <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行业类别</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1A5E45" w:rsidRPr="007F52FA">
            <w:pPr>
              <w:adjustRightInd w:val="0"/>
              <w:snapToGrid w:val="0"/>
              <w:spacing w:before="29" w:line="288" w:lineRule="auto"/>
              <w:jc w:val="center"/>
              <w:rPr>
                <w:sz w:val="24"/>
              </w:rPr>
            </w:pPr>
            <w:r>
              <w:rPr>
                <w:sz w:val="24"/>
              </w:rPr>
              <w:t>公允价值</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占基金资产净值比例（％）</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A</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农、林、牧、渔业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utoSpaceDE w:val="0"/>
              <w:autoSpaceDN w:val="0"/>
              <w:adjustRightInd w:val="0"/>
              <w:spacing w:before="29" w:line="288" w:lineRule="auto"/>
              <w:ind w:left="15"/>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B</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采矿业</w:t>
            </w:r>
          </w:p>
        </w:tc>
        <w:tc>
          <w:tcPr>
            <w:tcW w:type="dxa" w:w="2897"/>
            <w:tcBorders>
              <w:top w:color="000000" w:space="0" w:sz="4" w:val="single"/>
              <w:left w:color="auto" w:space="0" w:sz="4" w:val="single"/>
              <w:bottom w:color="000000" w:space="0" w:sz="4" w:val="single"/>
              <w:right w:color="000000" w:space="0" w:sz="4" w:val="single"/>
            </w:tcBorders>
            <w:vAlign w:val="center"/>
          </w:tcPr>
          <w:p w:rsidP="00DF744A"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DF744A"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C</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制造业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261,648.00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2.02</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D</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电力、热力、燃气及水生产和供应业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E</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建筑业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F</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批发和零售业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
            </w:r>
            <w:r w:rsidRPr="007F52FA">
              <w:rPr>
                <w:sz w:val="24"/>
              </w:rPr>
              <w:lastRenderedPageBreak/>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lastRenderedPageBreak/>
              <w:t>G</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交通运输、仓储和邮政业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H</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sz w:val="24"/>
              </w:rPr>
            </w:pPr>
            <w:r w:rsidRPr="007F52FA">
              <w:rPr>
                <w:sz w:val="24"/>
              </w:rPr>
              <w:t>住宿和餐饮业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240CA0">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sz w:val="24"/>
              </w:rPr>
            </w:pPr>
            <w:r w:rsidRPr="007F52FA">
              <w:rPr>
                <w:sz w:val="24"/>
              </w:rPr>
              <w:t>I</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240CA0" w:rsidR="005F458B" w:rsidRDefault="005F458B" w:rsidRPr="007F52FA">
            <w:pPr>
              <w:adjustRightInd w:val="0"/>
              <w:snapToGrid w:val="0"/>
              <w:spacing w:before="29" w:line="288" w:lineRule="auto"/>
              <w:rPr>
                <w:sz w:val="24"/>
              </w:rPr>
            </w:pPr>
            <w:r w:rsidRPr="007F52FA">
              <w:rPr>
                <w:sz w:val="24"/>
              </w:rPr>
              <w:t>信息传输、软件和信息技术服务业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J</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金融业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K</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房地产业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L</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租赁和商务服务业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M</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科学研究和技术服务业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lastRenderedPageBreak/>
              <w:t>N</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水利、环境和公共设施管理业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O</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居民服务、修理和其他服务业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P</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教育</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Q</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卫生和社会工作</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R</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文化、体育和娱乐业</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r w:rsidRPr="007F52FA">
              <w:rPr>
                <w:color w:val="000000"/>
                <w:sz w:val="24"/>
              </w:rPr>
              <w:t>S</w:t>
            </w: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综合</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w:t>
            </w:r>
          </w:p>
        </w:tc>
      </w:tr>
      <w:tr w:rsidR="005F458B" w:rsidRPr="007F52FA" w:rsidTr="004D7E11">
        <w:trPr>
          <w:trHeight w:val="285"/>
          <w:jc w:val="center"/>
        </w:trPr>
        <w:tc>
          <w:tcPr>
            <w:tcW w:type="dxa" w:w="772"/>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adjustRightInd w:val="0"/>
              <w:snapToGrid w:val="0"/>
              <w:spacing w:before="29" w:line="288" w:lineRule="auto"/>
              <w:jc w:val="center"/>
              <w:rPr>
                <w:color w:val="000000"/>
                <w:sz w:val="24"/>
              </w:rPr>
            </w:pPr>
          </w:p>
        </w:tc>
        <w:tc>
          <w:tcPr>
            <w:tcW w:type="dxa" w:w="3525"/>
            <w:tcBorders>
              <w:top w:color="000000" w:space="0" w:sz="4" w:val="single"/>
              <w:left w:color="000000" w:space="0" w:sz="4" w:val="single"/>
              <w:bottom w:color="000000" w:space="0" w:sz="4" w:val="single"/>
              <w:right w:color="auto" w:space="0" w:sz="4" w:val="single"/>
            </w:tcBorders>
            <w:tcMar>
              <w:top w:type="dxa" w:w="15"/>
              <w:bottom w:type="dxa" w:w="0"/>
            </w:tcMar>
            <w:vAlign w:val="center"/>
          </w:tcPr>
          <w:p w:rsidP="007C14DF" w:rsidR="005F458B" w:rsidRDefault="005F458B" w:rsidRPr="007F52FA">
            <w:pPr>
              <w:adjustRightInd w:val="0"/>
              <w:snapToGrid w:val="0"/>
              <w:spacing w:before="29" w:line="288" w:lineRule="auto"/>
              <w:rPr>
                <w:color w:val="000000"/>
                <w:sz w:val="24"/>
              </w:rPr>
            </w:pPr>
            <w:r w:rsidRPr="007F52FA">
              <w:rPr>
                <w:color w:val="000000"/>
                <w:sz w:val="24"/>
              </w:rPr>
              <w:t>合计</w:t>
            </w:r>
          </w:p>
        </w:tc>
        <w:tc>
          <w:tcPr>
            <w:tcW w:type="dxa" w:w="2897"/>
            <w:tcBorders>
              <w:top w:color="000000" w:space="0" w:sz="4" w:val="single"/>
              <w:left w:color="auto" w:space="0" w:sz="4" w:val="single"/>
              <w:bottom w:color="000000" w:space="0" w:sz="4" w:val="single"/>
              <w:right w:color="000000" w:space="0" w:sz="4" w:val="single"/>
            </w:tcBorders>
            <w:vAlign w:val="center"/>
          </w:tcPr>
          <w:p w:rsidP="007C14DF" w:rsidR="005F458B" w:rsidRDefault="005F458B" w:rsidRPr="007F52FA">
            <w:pPr>
              <w:spacing w:before="29" w:line="288" w:lineRule="auto"/>
              <w:jc w:val="right"/>
              <w:rPr>
                <w:sz w:val="24"/>
              </w:rPr>
            </w:pPr>
            <w:r w:rsidRPr="007F52FA">
              <w:rPr>
                <w:sz w:val="24"/>
              </w:rPr>
              <w:t>261,648.00</w:t>
            </w:r>
          </w:p>
        </w:tc>
        <w:tc>
          <w:tcPr>
            <w:tcW w:type="dxa" w:w="1674"/>
            <w:tcBorders>
              <w:top w:color="000000" w:space="0" w:sz="4" w:val="single"/>
              <w:left w:color="000000" w:space="0" w:sz="4" w:val="single"/>
              <w:bottom w:color="000000" w:space="0" w:sz="4" w:val="single"/>
              <w:right w:color="000000" w:space="0" w:sz="4" w:val="single"/>
            </w:tcBorders>
            <w:tcMar>
              <w:top w:type="dxa" w:w="15"/>
              <w:bottom w:type="dxa" w:w="0"/>
            </w:tcMar>
            <w:vAlign w:val="center"/>
          </w:tcPr>
          <w:p w:rsidP="007C14DF" w:rsidR="005F458B" w:rsidRDefault="005F458B" w:rsidRPr="007F52FA">
            <w:pPr>
              <w:spacing w:before="29" w:line="288" w:lineRule="auto"/>
              <w:jc w:val="right"/>
              <w:rPr>
                <w:sz w:val="24"/>
              </w:rPr>
            </w:pPr>
            <w:r w:rsidRPr="007F52FA">
              <w:rPr>
                <w:sz w:val="24"/>
              </w:rPr>
              <w:t>2.02</w:t>
            </w:r>
          </w:p>
        </w:tc>
      </w:tr>
    </w:tbl>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850"/>
        <w:gridCol w:w="1327"/>
        <w:gridCol w:w="1769"/>
        <w:gridCol w:w="1327"/>
        <w:gridCol w:w="1915"/>
        <w:gridCol w:w="1680"/>
      </w:tblGrid>
      <w:tr w:rsidR="000871DB" w:rsidRPr="007F52FA" w:rsidTr="00481DB2">
        <w:trPr>
          <w:jc w:val="center"/>
        </w:trPr>
        <w:tc>
          <w:tcPr>
            <w:tcW w:type="dxa" w:w="817"/>
            <w:vAlign w:val="center"/>
          </w:tcPr>
          <w:p w:rsidP="007C14DF" w:rsidR="000871DB" w:rsidRDefault="000871DB" w:rsidRPr="007F52FA">
            <w:pPr>
              <w:spacing w:before="29" w:line="288" w:lineRule="auto"/>
              <w:ind w:left="17"/>
              <w:jc w:val="center"/>
              <w:rPr>
                <w:color w:val="000000"/>
                <w:sz w:val="24"/>
              </w:rPr>
            </w:pPr>
            <w:r w:rsidRPr="007F52FA">
              <w:rPr>
                <w:color w:val="000000"/>
                <w:sz w:val="24"/>
              </w:rPr>
              <w:t>序号</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股票代码</w:t>
            </w:r>
          </w:p>
        </w:tc>
        <w:tc>
          <w:tcPr>
            <w:tcW w:type="dxa" w:w="1701"/>
            <w:vAlign w:val="center"/>
          </w:tcPr>
          <w:p w:rsidP="007C14DF" w:rsidR="000871DB" w:rsidRDefault="000871DB" w:rsidRPr="007F52FA">
            <w:pPr>
              <w:spacing w:before="29" w:line="288" w:lineRule="auto"/>
              <w:ind w:left="17"/>
              <w:jc w:val="center"/>
              <w:rPr>
                <w:color w:val="000000"/>
                <w:sz w:val="24"/>
              </w:rPr>
            </w:pPr>
            <w:r w:rsidRPr="007F52FA">
              <w:rPr>
                <w:color w:val="000000"/>
                <w:sz w:val="24"/>
              </w:rPr>
              <w:t>股票名称</w:t>
            </w:r>
          </w:p>
        </w:tc>
        <w:tc>
          <w:tcPr>
            <w:tcW w:type="dxa" w:w="1276"/>
            <w:vAlign w:val="center"/>
          </w:tcPr>
          <w:p w:rsidP="007C14DF" w:rsidR="000871DB" w:rsidRDefault="000871DB" w:rsidRPr="007F52FA">
            <w:pPr>
              <w:spacing w:before="29" w:line="288" w:lineRule="auto"/>
              <w:ind w:left="17"/>
              <w:jc w:val="center"/>
              <w:rPr>
                <w:color w:val="000000"/>
                <w:sz w:val="24"/>
              </w:rPr>
            </w:pPr>
            <w:r w:rsidRPr="007F52FA">
              <w:rPr>
                <w:color w:val="000000"/>
                <w:sz w:val="24"/>
              </w:rPr>
              <w:t>数量</w:t>
            </w:r>
            <w:r w:rsidR="00C44F1F" w:rsidRPr="007F52FA">
              <w:rPr>
                <w:sz w:val="24"/>
              </w:rPr>
              <w:t>（</w:t>
            </w:r>
            <w:r w:rsidRPr="007F52FA">
              <w:rPr>
                <w:color w:val="000000"/>
                <w:sz w:val="24"/>
              </w:rPr>
              <w:t>股</w:t>
            </w:r>
            <w:r w:rsidR="00C44F1F" w:rsidRPr="007F52FA">
              <w:rPr>
                <w:sz w:val="24"/>
              </w:rPr>
              <w:t>）</w:t>
            </w:r>
          </w:p>
        </w:tc>
        <w:tc>
          <w:tcPr>
            <w:tcW w:type="dxa" w:w="1842"/>
            <w:vAlign w:val="center"/>
          </w:tcPr>
          <w:p w:rsidP="007C14DF" w:rsidR="000871DB" w:rsidRDefault="000871DB" w:rsidRPr="007F52FA">
            <w:pPr>
              <w:autoSpaceDE w:val="0"/>
              <w:autoSpaceDN w:val="0"/>
              <w:adjustRightInd w:val="0"/>
              <w:spacing w:before="29" w:line="288" w:lineRule="auto"/>
              <w:ind w:left="17"/>
              <w:jc w:val="center"/>
              <w:rPr>
                <w:color w:val="000000"/>
                <w:sz w:val="24"/>
              </w:rPr>
            </w:pPr>
            <w:r w:rsidRPr="007F52FA">
              <w:rPr>
                <w:color w:val="000000"/>
                <w:sz w:val="24"/>
              </w:rPr>
              <w:t>公允价值</w:t>
            </w:r>
            <w:r w:rsidR="002D3BDD" w:rsidRPr="007F52FA">
              <w:rPr>
                <w:color w:val="000000"/>
                <w:kern w:val="0"/>
                <w:sz w:val="24"/>
              </w:rPr>
              <w:t>(</w:t>
            </w:r>
            <w:r w:rsidR="00C44F1F" w:rsidRPr="007F52FA">
              <w:rPr>
                <w:sz w:val="24"/>
              </w:rPr>
              <w:t>元</w:t>
            </w:r>
            <w:r w:rsidR="002D3BDD" w:rsidRPr="007F52FA">
              <w:rPr>
                <w:color w:val="000000"/>
                <w:kern w:val="0"/>
                <w:sz w:val="24"/>
              </w:rPr>
              <w:t>)</w:t>
            </w:r>
          </w:p>
        </w:tc>
        <w:tc>
          <w:tcPr>
            <w:tcW w:type="dxa" w:w="1616"/>
            <w:vAlign w:val="center"/>
          </w:tcPr>
          <w:p w:rsidP="007C14DF" w:rsidR="000871DB" w:rsidRDefault="000871DB" w:rsidRPr="007F52FA">
            <w:pPr>
              <w:spacing w:before="29" w:line="288" w:lineRule="auto"/>
              <w:ind w:left="17"/>
              <w:jc w:val="center"/>
              <w:rPr>
                <w:color w:val="000000"/>
                <w:sz w:val="24"/>
              </w:rPr>
            </w:pPr>
            <w:r w:rsidRPr="007F52FA">
              <w:rPr>
                <w:color w:val="000000"/>
                <w:sz w:val="24"/>
              </w:rPr>
              <w:t>占基金资产净值比例</w:t>
            </w:r>
            <w:r w:rsidR="00C44F1F" w:rsidRPr="007F52FA">
              <w:rPr>
                <w:sz w:val="24"/>
              </w:rPr>
              <w:t>（</w:t>
            </w:r>
            <w:r w:rsidRPr="007F52FA">
              <w:rPr>
                <w:color w:val="000000"/>
                <w:sz w:val="24"/>
              </w:rPr>
              <w:t>％</w:t>
            </w:r>
            <w:r w:rsidR="00C44F1F" w:rsidRPr="007F52FA">
              <w:rPr>
                <w:sz w:val="24"/>
              </w:rPr>
              <w:t>）</w:t>
            </w:r>
          </w:p>
        </w:tc>
      </w:tr>
      <w:tr>
        <w:tc>
          <w:tcPr>
            <w:vAlign w:val="center"/>
          </w:tcPr>
          <w:p>
            <w:pPr>
              <w:jc w:val="center"/>
            </w:pPr>
            <w:r>
              <w:rPr>
                <w:color w:val="000000"/>
                <w:sz w:val="24"/>
              </w:rPr>
              <w:t>1</w:t>
            </w:r>
          </w:p>
        </w:tc>
        <w:tc>
          <w:tcPr>
            <w:vAlign w:val="center"/>
          </w:tcPr>
          <w:p>
            <w:pPr>
              <w:jc w:val="center"/>
            </w:pPr>
            <w:r>
              <w:rPr>
                <w:color w:val="000000"/>
                <w:sz w:val="24"/>
              </w:rPr>
              <w:t>000661</w:t>
            </w:r>
          </w:p>
        </w:tc>
        <w:tc>
          <w:tcPr>
            <w:vAlign w:val="center"/>
          </w:tcPr>
          <w:p>
            <w:pPr>
              <w:jc w:val="center"/>
            </w:pPr>
            <w:r>
              <w:rPr>
                <w:color w:val="000000"/>
                <w:sz w:val="24"/>
              </w:rPr>
              <w:t>长春高新</w:t>
            </w:r>
          </w:p>
        </w:tc>
        <w:tc>
          <w:tcPr>
            <w:vAlign w:val="center"/>
          </w:tcPr>
          <w:p>
            <w:pPr>
              <w:jc w:val="right"/>
            </w:pPr>
            <w:r>
              <w:rPr>
                <w:color w:val="000000"/>
                <w:sz w:val="24"/>
              </w:rPr>
              <w:t>600</w:t>
            </w:r>
          </w:p>
        </w:tc>
        <w:tc>
          <w:tcPr>
            <w:vAlign w:val="center"/>
          </w:tcPr>
          <w:p>
            <w:pPr>
              <w:jc w:val="right"/>
            </w:pPr>
            <w:r>
              <w:rPr>
                <w:color w:val="000000"/>
                <w:sz w:val="24"/>
              </w:rPr>
              <w:t>202,800.00</w:t>
            </w:r>
          </w:p>
        </w:tc>
        <w:tc>
          <w:tcPr>
            <w:vAlign w:val="center"/>
          </w:tcPr>
          <w:p>
            <w:pPr>
              <w:jc w:val="right"/>
            </w:pPr>
            <w:r>
              <w:rPr>
                <w:color w:val="000000"/>
                <w:sz w:val="24"/>
              </w:rPr>
              <w:t>1.57</w:t>
            </w:r>
          </w:p>
        </w:tc>
      </w:tr>
      <w:tr>
        <w:tc>
          <w:tcPr>
            <w:vAlign w:val="center"/>
          </w:tcPr>
          <w:p>
            <w:pPr>
              <w:jc w:val="center"/>
            </w:pPr>
            <w:r>
              <w:rPr>
                <w:color w:val="000000"/>
                <w:sz w:val="24"/>
              </w:rPr>
              <w:t>2</w:t>
            </w:r>
          </w:p>
        </w:tc>
        <w:tc>
          <w:tcPr>
            <w:vAlign w:val="center"/>
          </w:tcPr>
          <w:p>
            <w:pPr>
              <w:jc w:val="center"/>
            </w:pPr>
            <w:r>
              <w:rPr>
                <w:color w:val="000000"/>
                <w:sz w:val="24"/>
              </w:rPr>
              <w:t>002821</w:t>
            </w:r>
          </w:p>
        </w:tc>
        <w:tc>
          <w:tcPr>
            <w:vAlign w:val="center"/>
          </w:tcPr>
          <w:p>
            <w:pPr>
              <w:jc w:val="center"/>
            </w:pPr>
            <w:r>
              <w:rPr>
                <w:color w:val="000000"/>
                <w:sz w:val="24"/>
              </w:rPr>
              <w:t>凯莱英</w:t>
            </w:r>
          </w:p>
        </w:tc>
        <w:tc>
          <w:tcPr>
            <w:vAlign w:val="center"/>
          </w:tcPr>
          <w:p>
            <w:pPr>
              <w:jc w:val="right"/>
            </w:pPr>
            <w:r>
              <w:rPr>
                <w:color w:val="000000"/>
                <w:sz w:val="24"/>
              </w:rPr>
              <w:t>600</w:t>
            </w:r>
          </w:p>
        </w:tc>
        <w:tc>
          <w:tcPr>
            <w:vAlign w:val="center"/>
          </w:tcPr>
          <w:p>
            <w:pPr>
              <w:jc w:val="right"/>
            </w:pPr>
            <w:r>
              <w:rPr>
                <w:color w:val="000000"/>
                <w:sz w:val="24"/>
              </w:rPr>
              <w:t>58,848.00</w:t>
            </w:r>
          </w:p>
        </w:tc>
        <w:tc>
          <w:tcPr>
            <w:vAlign w:val="center"/>
          </w:tcPr>
          <w:p>
            <w:pPr>
              <w:jc w:val="right"/>
            </w:pPr>
            <w:r>
              <w:rPr>
                <w:color w:val="000000"/>
                <w:sz w:val="24"/>
              </w:rPr>
              <w:t>0.46</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255,731.40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1.98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7,849,689.12</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60.69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7,849,689.12</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60.69</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2,595,794.50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20.07</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10,701,215.02</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82.74</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108602</w:t>
            </w:r>
          </w:p>
        </w:tc>
        <w:tc>
          <w:tcPr>
            <w:vAlign w:val="center"/>
          </w:tcPr>
          <w:p>
            <w:pPr>
              <w:jc w:val="center"/>
            </w:pPr>
            <w:r>
              <w:rPr>
                <w:color w:val="000000"/>
                <w:sz w:val="24"/>
              </w:rPr>
              <w:t>国开1704</w:t>
            </w:r>
          </w:p>
        </w:tc>
        <w:tc>
          <w:tcPr>
            <w:vAlign w:val="center"/>
          </w:tcPr>
          <w:p>
            <w:pPr>
              <w:jc w:val="right"/>
            </w:pPr>
            <w:r>
              <w:rPr>
                <w:color w:val="000000"/>
                <w:sz w:val="24"/>
              </w:rPr>
              <w:t>77,712</w:t>
            </w:r>
          </w:p>
        </w:tc>
        <w:tc>
          <w:tcPr>
            <w:vAlign w:val="center"/>
          </w:tcPr>
          <w:p>
            <w:pPr>
              <w:jc w:val="right"/>
            </w:pPr>
            <w:r>
              <w:rPr>
                <w:color w:val="000000"/>
                <w:sz w:val="24"/>
              </w:rPr>
              <w:t>7,849,689.12</w:t>
            </w:r>
          </w:p>
        </w:tc>
        <w:tc>
          <w:tcPr>
            <w:vAlign w:val="center"/>
          </w:tcPr>
          <w:p>
            <w:pPr>
              <w:jc w:val="right"/>
            </w:pPr>
            <w:r>
              <w:rPr>
                <w:color w:val="000000"/>
                <w:sz w:val="24"/>
              </w:rPr>
              <w:t>60.69</w:t>
            </w:r>
          </w:p>
        </w:tc>
      </w:tr>
      <w:tr>
        <w:tc>
          <w:tcPr>
            <w:vAlign w:val="center"/>
          </w:tcPr>
          <w:p>
            <w:pPr>
              <w:jc w:val="center"/>
            </w:pPr>
            <w:r>
              <w:rPr>
                <w:color w:val="000000"/>
                <w:sz w:val="24"/>
              </w:rPr>
              <w:t>2</w:t>
            </w:r>
          </w:p>
        </w:tc>
        <w:tc>
          <w:tcPr>
            <w:vAlign w:val="center"/>
          </w:tcPr>
          <w:p>
            <w:pPr>
              <w:jc w:val="center"/>
            </w:pPr>
            <w:r>
              <w:rPr>
                <w:color w:val="000000"/>
                <w:sz w:val="24"/>
              </w:rPr>
              <w:t>132006</w:t>
            </w:r>
          </w:p>
        </w:tc>
        <w:tc>
          <w:tcPr>
            <w:vAlign w:val="center"/>
          </w:tcPr>
          <w:p>
            <w:pPr>
              <w:jc w:val="center"/>
            </w:pPr>
            <w:r>
              <w:rPr>
                <w:color w:val="000000"/>
                <w:sz w:val="24"/>
              </w:rPr>
              <w:t>16皖新EB</w:t>
            </w:r>
          </w:p>
        </w:tc>
        <w:tc>
          <w:tcPr>
            <w:vAlign w:val="center"/>
          </w:tcPr>
          <w:p>
            <w:pPr>
              <w:jc w:val="right"/>
            </w:pPr>
            <w:r>
              <w:rPr>
                <w:color w:val="000000"/>
                <w:sz w:val="24"/>
              </w:rPr>
              <w:t>7,070</w:t>
            </w:r>
          </w:p>
        </w:tc>
        <w:tc>
          <w:tcPr>
            <w:vAlign w:val="center"/>
          </w:tcPr>
          <w:p>
            <w:pPr>
              <w:jc w:val="right"/>
            </w:pPr>
            <w:r>
              <w:rPr>
                <w:color w:val="000000"/>
                <w:sz w:val="24"/>
              </w:rPr>
              <w:t>740,087.60</w:t>
            </w:r>
          </w:p>
        </w:tc>
        <w:tc>
          <w:tcPr>
            <w:vAlign w:val="center"/>
          </w:tcPr>
          <w:p>
            <w:pPr>
              <w:jc w:val="right"/>
            </w:pPr>
            <w:r>
              <w:rPr>
                <w:color w:val="000000"/>
                <w:sz w:val="24"/>
              </w:rPr>
              <w:t>5.72</w:t>
            </w:r>
          </w:p>
        </w:tc>
      </w:tr>
      <w:tr>
        <w:tc>
          <w:tcPr>
            <w:vAlign w:val="center"/>
          </w:tcPr>
          <w:p>
            <w:pPr>
              <w:jc w:val="center"/>
            </w:pPr>
            <w:r>
              <w:rPr>
                <w:color w:val="000000"/>
                <w:sz w:val="24"/>
              </w:rPr>
              <w:t>3</w:t>
            </w:r>
          </w:p>
        </w:tc>
        <w:tc>
          <w:tcPr>
            <w:vAlign w:val="center"/>
          </w:tcPr>
          <w:p>
            <w:pPr>
              <w:jc w:val="center"/>
            </w:pPr>
            <w:r>
              <w:rPr>
                <w:color w:val="000000"/>
                <w:sz w:val="24"/>
              </w:rPr>
              <w:t>132015</w:t>
            </w:r>
          </w:p>
        </w:tc>
        <w:tc>
          <w:tcPr>
            <w:vAlign w:val="center"/>
          </w:tcPr>
          <w:p>
            <w:pPr>
              <w:jc w:val="center"/>
            </w:pPr>
            <w:r>
              <w:rPr>
                <w:color w:val="000000"/>
                <w:sz w:val="24"/>
              </w:rPr>
              <w:t>18中油EB</w:t>
            </w:r>
          </w:p>
        </w:tc>
        <w:tc>
          <w:tcPr>
            <w:vAlign w:val="center"/>
          </w:tcPr>
          <w:p>
            <w:pPr>
              <w:jc w:val="right"/>
            </w:pPr>
            <w:r>
              <w:rPr>
                <w:color w:val="000000"/>
                <w:sz w:val="24"/>
              </w:rPr>
              <w:t>5,770</w:t>
            </w:r>
          </w:p>
        </w:tc>
        <w:tc>
          <w:tcPr>
            <w:vAlign w:val="center"/>
          </w:tcPr>
          <w:p>
            <w:pPr>
              <w:jc w:val="right"/>
            </w:pPr>
            <w:r>
              <w:rPr>
                <w:color w:val="000000"/>
                <w:sz w:val="24"/>
              </w:rPr>
              <w:t>564,825.30</w:t>
            </w:r>
          </w:p>
        </w:tc>
        <w:tc>
          <w:tcPr>
            <w:vAlign w:val="center"/>
          </w:tcPr>
          <w:p>
            <w:pPr>
              <w:jc w:val="right"/>
            </w:pPr>
            <w:r>
              <w:rPr>
                <w:color w:val="000000"/>
                <w:sz w:val="24"/>
              </w:rPr>
              <w:t>4.37</w:t>
            </w:r>
          </w:p>
        </w:tc>
      </w:tr>
      <w:tr>
        <w:tc>
          <w:tcPr>
            <w:vAlign w:val="center"/>
          </w:tcPr>
          <w:p>
            <w:pPr>
              <w:jc w:val="center"/>
            </w:pPr>
            <w:r>
              <w:rPr>
                <w:color w:val="000000"/>
                <w:sz w:val="24"/>
              </w:rPr>
              <w:t>4</w:t>
            </w:r>
          </w:p>
        </w:tc>
        <w:tc>
          <w:tcPr>
            <w:vAlign w:val="center"/>
          </w:tcPr>
          <w:p>
            <w:pPr>
              <w:jc w:val="center"/>
            </w:pPr>
            <w:r>
              <w:rPr>
                <w:color w:val="000000"/>
                <w:sz w:val="24"/>
              </w:rPr>
              <w:t>132011</w:t>
            </w:r>
          </w:p>
        </w:tc>
        <w:tc>
          <w:tcPr>
            <w:vAlign w:val="center"/>
          </w:tcPr>
          <w:p>
            <w:pPr>
              <w:jc w:val="center"/>
            </w:pPr>
            <w:r>
              <w:rPr>
                <w:color w:val="000000"/>
                <w:sz w:val="24"/>
              </w:rPr>
              <w:t>17浙报EB</w:t>
            </w:r>
          </w:p>
        </w:tc>
        <w:tc>
          <w:tcPr>
            <w:vAlign w:val="center"/>
          </w:tcPr>
          <w:p>
            <w:pPr>
              <w:jc w:val="right"/>
            </w:pPr>
            <w:r>
              <w:rPr>
                <w:color w:val="000000"/>
                <w:sz w:val="24"/>
              </w:rPr>
              <w:t>4,910</w:t>
            </w:r>
          </w:p>
        </w:tc>
        <w:tc>
          <w:tcPr>
            <w:vAlign w:val="center"/>
          </w:tcPr>
          <w:p>
            <w:pPr>
              <w:jc w:val="right"/>
            </w:pPr>
            <w:r>
              <w:rPr>
                <w:color w:val="000000"/>
                <w:sz w:val="24"/>
              </w:rPr>
              <w:t>463,504.00</w:t>
            </w:r>
          </w:p>
        </w:tc>
        <w:tc>
          <w:tcPr>
            <w:vAlign w:val="center"/>
          </w:tcPr>
          <w:p>
            <w:pPr>
              <w:jc w:val="right"/>
            </w:pPr>
            <w:r>
              <w:rPr>
                <w:color w:val="000000"/>
                <w:sz w:val="24"/>
              </w:rPr>
              <w:t>3.58</w:t>
            </w:r>
          </w:p>
        </w:tc>
      </w:tr>
      <w:tr>
        <w:tc>
          <w:tcPr>
            <w:vAlign w:val="center"/>
          </w:tcPr>
          <w:p>
            <w:pPr>
              <w:jc w:val="center"/>
            </w:pPr>
            <w:r>
              <w:rPr>
                <w:color w:val="000000"/>
                <w:sz w:val="24"/>
              </w:rPr>
              <w:t>5</w:t>
            </w:r>
          </w:p>
        </w:tc>
        <w:tc>
          <w:tcPr>
            <w:vAlign w:val="center"/>
          </w:tcPr>
          <w:p>
            <w:pPr>
              <w:jc w:val="center"/>
            </w:pPr>
            <w:r>
              <w:rPr>
                <w:color w:val="000000"/>
                <w:sz w:val="24"/>
              </w:rPr>
              <w:t>120002</w:t>
            </w:r>
          </w:p>
        </w:tc>
        <w:tc>
          <w:tcPr>
            <w:vAlign w:val="center"/>
          </w:tcPr>
          <w:p>
            <w:pPr>
              <w:jc w:val="center"/>
            </w:pPr>
            <w:r>
              <w:rPr>
                <w:color w:val="000000"/>
                <w:sz w:val="24"/>
              </w:rPr>
              <w:t>18中原EB</w:t>
            </w:r>
          </w:p>
        </w:tc>
        <w:tc>
          <w:tcPr>
            <w:vAlign w:val="center"/>
          </w:tcPr>
          <w:p>
            <w:pPr>
              <w:jc w:val="right"/>
            </w:pPr>
            <w:r>
              <w:rPr>
                <w:color w:val="000000"/>
                <w:sz w:val="24"/>
              </w:rPr>
              <w:t>4,160</w:t>
            </w:r>
          </w:p>
        </w:tc>
        <w:tc>
          <w:tcPr>
            <w:vAlign w:val="center"/>
          </w:tcPr>
          <w:p>
            <w:pPr>
              <w:jc w:val="right"/>
            </w:pPr>
            <w:r>
              <w:rPr>
                <w:color w:val="000000"/>
                <w:sz w:val="24"/>
              </w:rPr>
              <w:t>452,483.20</w:t>
            </w:r>
          </w:p>
        </w:tc>
        <w:tc>
          <w:tcPr>
            <w:vAlign w:val="center"/>
          </w:tcPr>
          <w:p>
            <w:pPr>
              <w:jc w:val="right"/>
            </w:pPr>
            <w:r>
              <w:rPr>
                <w:color w:val="000000"/>
                <w:sz w:val="24"/>
              </w:rPr>
              <w:t>3.50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7C14DF" w:rsidR="009238DB" w:rsidRDefault="00C260A2" w:rsidRPr="007F52FA">
      <w:pPr>
        <w:autoSpaceDE w:val="0"/>
        <w:autoSpaceDN w:val="0"/>
        <w:adjustRightInd w:val="0"/>
        <w:spacing w:before="29" w:line="288" w:lineRule="auto"/>
        <w:jc w:val="left"/>
        <w:rPr>
          <w:color w:val="000000"/>
          <w:sz w:val="24"/>
        </w:rPr>
      </w:pPr>
      <w:r w:rsidRPr="007F52FA">
        <w:rPr>
          <w:color w:val="000000"/>
          <w:sz w:val="24"/>
        </w:rPr>
        <w:t>本基金本报告期末未持有资产支持证券。</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5.11.1报告期内本基金投资的前十名证券的发行主体未被监管部门立案调查，在本报告编制日前一年内本基金投资的前十名证券的发行主体未受到公开谴责和处罚。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384E65">
        <w:rPr>
          <w:kern w:val="0"/>
          <w:sz w:val="24"/>
        </w:rPr>
        <w:t>5.11.2本基金投资的前十名股票中，没有超出基金合同规定的备选股票库之外的股票。</w:t>
      </w:r>
    </w:p>
    <w:p w:rsidP="007C14DF" w:rsidR="001D5CD0" w:rsidRDefault="001D5CD0" w:rsidRPr="007F52FA">
      <w:pPr>
        <w:autoSpaceDE w:val="0"/>
        <w:autoSpaceDN w:val="0"/>
        <w:adjustRightInd w:val="0"/>
        <w:spacing w:before="29" w:line="288" w:lineRule="auto"/>
        <w:rPr>
          <w:kern w:val="0"/>
          <w:sz w:val="24"/>
        </w:rPr>
      </w:pPr>
      <w:r w:rsidRPr="007F52FA">
        <w:rPr>
          <w:kern w:val="0"/>
          <w:sz w:val="24"/>
        </w:rPr>
        <w:t>5.11.3</w:t>
      </w:r>
      <w:r w:rsidR="00E84F32" w:rsidRPr="007F52FA">
        <w:rPr>
          <w:kern w:val="0"/>
          <w:sz w:val="24"/>
        </w:rPr>
        <w:t>其他</w:t>
      </w:r>
      <w:r w:rsidRPr="007F52FA">
        <w:rPr>
          <w:kern w:val="0"/>
          <w:sz w:val="24"/>
        </w:rPr>
        <w:t>资产构成</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24,321.31</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57,247.60</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74,421.67</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199.36</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156,189.94</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pPr>
        <w:autoSpaceDE w:val="0"/>
        <w:autoSpaceDN w:val="0"/>
        <w:adjustRightInd w:val="0"/>
        <w:spacing w:before="29" w:line="288" w:lineRule="auto"/>
        <w:jc w:val="left"/>
        <w:rPr>
          <w:kern w:val="0"/>
          <w:sz w:val="24"/>
        </w:rPr>
      </w:pPr>
      <w:r w:rsidRPr="007F52FA">
        <w:rPr>
          <w:kern w:val="0"/>
          <w:sz w:val="24"/>
        </w:rPr>
        <w:t>5.11.4</w:t>
      </w:r>
      <w:r w:rsidRPr="007F52FA">
        <w:rPr>
          <w:kern w:val="0"/>
          <w:sz w:val="24"/>
        </w:rPr>
        <w:t>报告期末持有的处于转股期的可转换债券明细</w:t>
      </w:r>
    </w:p>
    <w:p w:rsidP="009765C1" w:rsidR="009765C1" w:rsidRDefault="009765C1" w:rsidRPr="007F52FA">
      <w:pPr>
        <w:autoSpaceDE w:val="0"/>
        <w:autoSpaceDN w:val="0"/>
        <w:adjustRightInd w:val="0"/>
        <w:spacing w:before="29" w:line="288" w:lineRule="auto"/>
        <w:jc w:val="right"/>
        <w:rPr>
          <w:kern w:val="0"/>
          <w:sz w:val="24"/>
        </w:rPr>
      </w:pPr>
      <w:r w:rsidRPr="009765C1">
        <w:rPr>
          <w:rFonts w:hint="eastAsia"/>
          <w:kern w:val="0"/>
          <w:sz w:val="24"/>
        </w:rPr>
        <w:t/>
      </w:r>
      <w:r w:rsidRPr="009765C1">
        <w:rPr>
          <w:rFonts w:hint="eastAsia"/>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162"/>
        <w:gridCol w:w="2639"/>
        <w:gridCol w:w="1813"/>
        <w:gridCol w:w="1783"/>
        <w:gridCol w:w="1845"/>
      </w:tblGrid>
      <w:tr w:rsidR="001D5CD0" w:rsidRPr="007F52FA" w:rsidTr="00837861">
        <w:trPr>
          <w:jc w:val="center"/>
        </w:trPr>
        <w:tc>
          <w:tcPr>
            <w:tcW w:type="dxa" w:w="944"/>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序号</w:t>
            </w:r>
          </w:p>
        </w:tc>
        <w:tc>
          <w:tcPr>
            <w:tcW w:type="dxa" w:w="2568"/>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债券代码</w:t>
            </w:r>
          </w:p>
        </w:tc>
        <w:tc>
          <w:tcPr>
            <w:tcW w:type="dxa" w:w="1665"/>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债券名称</w:t>
            </w:r>
          </w:p>
        </w:tc>
        <w:tc>
          <w:tcPr>
            <w:tcW w:type="dxa" w:w="1727"/>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公允价值</w:t>
            </w:r>
          </w:p>
        </w:tc>
        <w:tc>
          <w:tcPr>
            <w:tcW w:type="dxa" w:w="1609"/>
            <w:vAlign w:val="center"/>
          </w:tcPr>
          <w:p w:rsidP="007C14DF" w:rsidR="001D5CD0" w:rsidRDefault="001D5CD0" w:rsidRPr="007F52FA">
            <w:pPr>
              <w:spacing w:before="29" w:line="288" w:lineRule="auto"/>
              <w:ind w:left="17"/>
              <w:jc w:val="center"/>
              <w:rPr>
                <w:rFonts w:eastAsiaTheme="minorEastAsia"/>
                <w:color w:val="000000"/>
                <w:sz w:val="24"/>
              </w:rPr>
            </w:pPr>
            <w:r w:rsidRPr="007F52FA">
              <w:rPr>
                <w:rFonts w:eastAsiaTheme="minorEastAsia"/>
                <w:color w:val="000000"/>
                <w:sz w:val="24"/>
              </w:rPr>
              <w:t>占基金资产净值比例</w:t>
            </w:r>
            <w:r w:rsidR="002A7669" w:rsidRPr="007F52FA">
              <w:rPr>
                <w:color w:val="000000"/>
                <w:kern w:val="0"/>
                <w:sz w:val="24"/>
              </w:rPr>
              <w:t>（</w:t>
            </w:r>
            <w:r w:rsidR="00BC5D75" w:rsidRPr="007F52FA">
              <w:rPr>
                <w:color w:val="000000"/>
                <w:kern w:val="0"/>
                <w:sz w:val="24"/>
              </w:rPr>
              <w:t>％</w:t>
            </w:r>
            <w:r w:rsidR="002A7669" w:rsidRPr="007F52FA">
              <w:rPr>
                <w:color w:val="000000"/>
                <w:kern w:val="0"/>
                <w:sz w:val="24"/>
              </w:rPr>
              <w:t>）</w:t>
            </w:r>
          </w:p>
        </w:tc>
      </w:tr>
      <w:tr>
        <w:tc>
          <w:tcPr>
            <w:vAlign w:val="center"/>
          </w:tcPr>
          <w:p>
            <w:pPr>
              <w:jc w:val="center"/>
            </w:pPr>
            <w:r>
              <w:rPr>
                <w:rFonts w:eastAsiaTheme="minorEastAsia"/>
                <w:color w:val="000000"/>
                <w:sz w:val="24"/>
              </w:rPr>
              <w:t>1</w:t>
            </w:r>
          </w:p>
        </w:tc>
        <w:tc>
          <w:tcPr>
            <w:vAlign w:val="center"/>
          </w:tcPr>
          <w:p>
            <w:pPr>
              <w:jc w:val="center"/>
            </w:pPr>
            <w:r>
              <w:rPr>
                <w:rFonts w:eastAsiaTheme="minorEastAsia"/>
                <w:color w:val="000000"/>
                <w:sz w:val="24"/>
              </w:rPr>
              <w:t>132006</w:t>
            </w:r>
          </w:p>
        </w:tc>
        <w:tc>
          <w:tcPr>
            <w:vAlign w:val="center"/>
          </w:tcPr>
          <w:p>
            <w:pPr>
              <w:jc w:val="center"/>
            </w:pPr>
            <w:r>
              <w:rPr>
                <w:rFonts w:eastAsiaTheme="minorEastAsia"/>
                <w:color w:val="000000"/>
                <w:sz w:val="24"/>
              </w:rPr>
              <w:t>16皖新EB</w:t>
            </w:r>
          </w:p>
        </w:tc>
        <w:tc>
          <w:tcPr>
            <w:vAlign w:val="center"/>
          </w:tcPr>
          <w:p>
            <w:pPr>
              <w:jc w:val="right"/>
            </w:pPr>
            <w:r>
              <w:rPr>
                <w:rFonts w:eastAsiaTheme="minorEastAsia"/>
                <w:color w:val="000000"/>
                <w:sz w:val="24"/>
              </w:rPr>
              <w:t>740,087.60</w:t>
            </w:r>
          </w:p>
        </w:tc>
        <w:tc>
          <w:tcPr>
            <w:vAlign w:val="center"/>
          </w:tcPr>
          <w:p>
            <w:pPr>
              <w:jc w:val="right"/>
            </w:pPr>
            <w:r>
              <w:rPr>
                <w:rFonts w:eastAsiaTheme="minorEastAsia"/>
                <w:color w:val="000000"/>
                <w:sz w:val="24"/>
              </w:rPr>
              <w:t>5.72</w:t>
            </w:r>
          </w:p>
        </w:tc>
      </w:tr>
      <w:tr>
        <w:tc>
          <w:tcPr>
            <w:vAlign w:val="center"/>
          </w:tcPr>
          <w:p>
            <w:pPr>
              <w:jc w:val="center"/>
            </w:pPr>
            <w:r>
              <w:rPr>
                <w:rFonts w:eastAsiaTheme="minorEastAsia"/>
                <w:color w:val="000000"/>
                <w:sz w:val="24"/>
              </w:rPr>
              <w:t>2</w:t>
            </w:r>
          </w:p>
        </w:tc>
        <w:tc>
          <w:tcPr>
            <w:vAlign w:val="center"/>
          </w:tcPr>
          <w:p>
            <w:pPr>
              <w:jc w:val="center"/>
            </w:pPr>
            <w:r>
              <w:rPr>
                <w:rFonts w:eastAsiaTheme="minorEastAsia"/>
                <w:color w:val="000000"/>
                <w:sz w:val="24"/>
              </w:rPr>
              <w:t>132015</w:t>
            </w:r>
          </w:p>
        </w:tc>
        <w:tc>
          <w:tcPr>
            <w:vAlign w:val="center"/>
          </w:tcPr>
          <w:p>
            <w:pPr>
              <w:jc w:val="center"/>
            </w:pPr>
            <w:r>
              <w:rPr>
                <w:rFonts w:eastAsiaTheme="minorEastAsia"/>
                <w:color w:val="000000"/>
                <w:sz w:val="24"/>
              </w:rPr>
              <w:t>18中油EB</w:t>
            </w:r>
          </w:p>
        </w:tc>
        <w:tc>
          <w:tcPr>
            <w:vAlign w:val="center"/>
          </w:tcPr>
          <w:p>
            <w:pPr>
              <w:jc w:val="right"/>
            </w:pPr>
            <w:r>
              <w:rPr>
                <w:rFonts w:eastAsiaTheme="minorEastAsia"/>
                <w:color w:val="000000"/>
                <w:sz w:val="24"/>
              </w:rPr>
              <w:t>564,825.30</w:t>
            </w:r>
          </w:p>
        </w:tc>
        <w:tc>
          <w:tcPr>
            <w:vAlign w:val="center"/>
          </w:tcPr>
          <w:p>
            <w:pPr>
              <w:jc w:val="right"/>
            </w:pPr>
            <w:r>
              <w:rPr>
                <w:rFonts w:eastAsiaTheme="minorEastAsia"/>
                <w:color w:val="000000"/>
                <w:sz w:val="24"/>
              </w:rPr>
              <w:t>4.37</w:t>
            </w:r>
          </w:p>
        </w:tc>
      </w:tr>
      <w:tr>
        <w:tc>
          <w:tcPr>
            <w:vAlign w:val="center"/>
          </w:tcPr>
          <w:p>
            <w:pPr>
              <w:jc w:val="center"/>
            </w:pPr>
            <w:r>
              <w:rPr>
                <w:rFonts w:eastAsiaTheme="minorEastAsia"/>
                <w:color w:val="000000"/>
                <w:sz w:val="24"/>
              </w:rPr>
              <w:t>3</w:t>
            </w:r>
          </w:p>
        </w:tc>
        <w:tc>
          <w:tcPr>
            <w:vAlign w:val="center"/>
          </w:tcPr>
          <w:p>
            <w:pPr>
              <w:jc w:val="center"/>
            </w:pPr>
            <w:r>
              <w:rPr>
                <w:rFonts w:eastAsiaTheme="minorEastAsia"/>
                <w:color w:val="000000"/>
                <w:sz w:val="24"/>
              </w:rPr>
              <w:t>132011</w:t>
            </w:r>
          </w:p>
        </w:tc>
        <w:tc>
          <w:tcPr>
            <w:vAlign w:val="center"/>
          </w:tcPr>
          <w:p>
            <w:pPr>
              <w:jc w:val="center"/>
            </w:pPr>
            <w:r>
              <w:rPr>
                <w:rFonts w:eastAsiaTheme="minorEastAsia"/>
                <w:color w:val="000000"/>
                <w:sz w:val="24"/>
              </w:rPr>
              <w:t>17浙报EB</w:t>
            </w:r>
          </w:p>
        </w:tc>
        <w:tc>
          <w:tcPr>
            <w:vAlign w:val="center"/>
          </w:tcPr>
          <w:p>
            <w:pPr>
              <w:jc w:val="right"/>
            </w:pPr>
            <w:r>
              <w:rPr>
                <w:rFonts w:eastAsiaTheme="minorEastAsia"/>
                <w:color w:val="000000"/>
                <w:sz w:val="24"/>
              </w:rPr>
              <w:t>463,504.00</w:t>
            </w:r>
          </w:p>
        </w:tc>
        <w:tc>
          <w:tcPr>
            <w:vAlign w:val="center"/>
          </w:tcPr>
          <w:p>
            <w:pPr>
              <w:jc w:val="right"/>
            </w:pPr>
            <w:r>
              <w:rPr>
                <w:rFonts w:eastAsiaTheme="minorEastAsia"/>
                <w:color w:val="000000"/>
                <w:sz w:val="24"/>
              </w:rPr>
              <w:t>3.58</w:t>
            </w:r>
          </w:p>
        </w:tc>
      </w:tr>
    </w:tbl>
    <w:p w:rsidP="007C14DF" w:rsidR="001D5CD0" w:rsidRDefault="001D5CD0"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Pr="007F52FA">
        <w:rPr>
          <w:rFonts w:eastAsiaTheme="minorEastAsia"/>
          <w:bCs/>
          <w:sz w:val="24"/>
        </w:rPr>
        <w:t>报告期末前十名股票中存在流通受限情况的说明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本基金本报告期末前十名股票中不存在流通受限情况。</w:t>
      </w:r>
    </w:p>
    <w:p w:rsidP="007C14DF" w:rsidR="001D5CD0" w:rsidRDefault="001D5CD0" w:rsidRPr="007F52FA">
      <w:pPr>
        <w:spacing w:before="29" w:line="288" w:lineRule="auto"/>
        <w:rPr>
          <w:rFonts w:eastAsiaTheme="minorEastAsia"/>
          <w:sz w:val="24"/>
        </w:rPr>
      </w:pPr>
    </w:p>
    <w:p w:rsidP="007C14DF" w:rsidR="001D5CD0" w:rsidRDefault="001D5CD0" w:rsidRPr="007F52FA">
      <w:pPr>
        <w:spacing w:before="29" w:line="288" w:lineRule="auto"/>
        <w:rPr>
          <w:rFonts w:eastAsiaTheme="minorEastAsia"/>
          <w:color w:val="000000"/>
          <w:kern w:val="0"/>
          <w:sz w:val="24"/>
        </w:rPr>
      </w:pPr>
      <w:r w:rsidRPr="007F52FA">
        <w:rPr>
          <w:rFonts w:eastAsiaTheme="minorEastAsia"/>
          <w:color w:val="000000"/>
          <w:kern w:val="0"/>
          <w:sz w:val="24"/>
        </w:rPr>
        <w:t/>
      </w:r>
      <w:r w:rsidRPr="007F52FA">
        <w:rPr>
          <w:rFonts w:eastAsiaTheme="minorEastAsia"/>
          <w:kern w:val="0"/>
          <w:sz w:val="24"/>
        </w:rPr>
        <w:t>5.11.6</w:t>
      </w:r>
      <w:r w:rsidRPr="007F52FA">
        <w:rPr>
          <w:rFonts w:eastAsiaTheme="minorEastAsia"/>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交银强化回报债券A/B</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交银强化回报债券C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10,876,947.86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2,864,917.48</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130,857.86</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154,109.51</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728,337.38</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851,004.99</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10,279,468.34</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2,168,022.00</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 xml:space="preserve">注：1、如果本报告期间发生转换入、红利再投业务，则总申购份额中包含该业务； </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pPr>
        <w:autoSpaceDE w:val="0"/>
        <w:autoSpaceDN w:val="0"/>
        <w:adjustRightInd w:val="0"/>
        <w:spacing w:before="29" w:line="288" w:lineRule="auto"/>
        <w:jc w:val="left"/>
        <w:rPr>
          <w:color w:val="000000"/>
          <w:sz w:val="24"/>
        </w:rPr>
      </w:pPr>
      <w:r>
        <w:rPr>
          <w:color w:val="000000"/>
          <w:sz w:val="24"/>
        </w:rPr>
        <w:t>本报告期内未发生基金管理人运用固有资金投资本基金的情况。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	</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影响投资者决策的其他重要信息</w:t>
      </w:r>
    </w:p>
    <w:p w:rsidP="00ED0E09" w:rsidR="00ED0E09" w:rsidRDefault="00ED0E09">
      <w:pPr>
        <w:spacing w:line="360" w:lineRule="auto"/>
        <w:ind w:firstLine="420" w:firstLineChars="200"/>
        <w:rPr>
          <w:rFonts w:ascii="宋体" w:hAnsi="宋体"/>
          <w:color w:val="000000"/>
          <w:szCs w:val="21"/>
        </w:rPr>
      </w:pPr>
      <w:r>
        <w:rPr>
          <w:rFonts w:ascii="宋体" w:hAnsi="宋体" w:hint="eastAsia"/>
          <w:color w:val="000000"/>
          <w:szCs w:val="21"/>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P="007C14DF" w:rsidR="00BB1033" w:rsidRDefault="00BB1033" w:rsidRPr="007F52FA">
      <w:pPr>
        <w:spacing w:before="29" w:line="288" w:lineRule="auto"/>
        <w:ind w:firstLine="480" w:firstLineChars="200"/>
        <w:rPr>
          <w:rFonts w:eastAsiaTheme="minorEastAsia"/>
          <w:color w:val="000000"/>
          <w:sz w:val="24"/>
        </w:rPr>
      </w:pPr>
    </w:p>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1、中国证监会准予交银施罗德强化回报债券型证券投资基金募集注册的文件；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2、《交银施罗德强化回报债券型证券投资基金基金合同》；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3、《交银施罗德强化回报债券型证券投资基金招募说明书》；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4、《交银施罗德强化回报债券型证券投资基金托管协议》；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5、关于募集交银施罗德强化回报债券型证券投资基金之法律意见书；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8、报告期内交银施罗德强化回报债券型证券投资基金在指定报刊上各项公告的原稿。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F08" w:rsidRDefault="00CE3F08">
      <w:r>
        <w:separator/>
      </w:r>
    </w:p>
  </w:endnote>
  <w:endnote w:type="continuationSeparator" w:id="0">
    <w:p w:rsidR="00CE3F08" w:rsidRDefault="00CE3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187122">
      <w:rPr>
        <w:noProof/>
        <w:kern w:val="0"/>
        <w:szCs w:val="21"/>
      </w:rPr>
      <w:t>26</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187122">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CE3F08" w:rsidRDefault="00CE3F08">
      <w:r>
        <w:separator/>
      </w:r>
    </w:p>
  </w:footnote>
  <w:footnote w:id="0" w:type="continuationSeparator">
    <w:p w:rsidR="00CE3F08" w:rsidRDefault="00CE3F08">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交银施罗德强化回报债券型证券投资基金2019年第2季度报告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71DB"/>
    <w:rsid w:val="000922C5"/>
    <w:rsid w:val="0009314F"/>
    <w:rsid w:val="00093A23"/>
    <w:rsid w:val="0009582E"/>
    <w:rsid w:val="000A08FC"/>
    <w:rsid w:val="000A15F1"/>
    <w:rsid w:val="000A1617"/>
    <w:rsid w:val="000A2988"/>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61C4"/>
    <w:rsid w:val="008F6228"/>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21A756-3F40-4048-9F43-4670680D0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214</TotalTime>
  <Pages>27</Pages>
  <Words>4288</Words>
  <Characters>24444</Characters>
  <Application>Microsoft Office Word</Application>
  <DocSecurity>0</DocSecurity>
  <Lines>203</Lines>
  <Paragraphs>57</Paragraphs>
  <ScaleCrop>false</ScaleCrop>
  <Company>TRT. Ltd. Co.</Company>
  <LinksUpToDate>false</LinksUpToDate>
  <CharactersWithSpaces>28675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2019-07-04T03:19:00Z</dcterms:modified>
  <cp:revision>389</cp:revision>
</cp:coreProperties>
</file>