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交银施罗德股息优化混合型证券投资基金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33193" w:rsidRDefault="00EB4AF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33193" w:rsidRDefault="00EB4AF2">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33193" w:rsidRDefault="00EB4AF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33193" w:rsidRDefault="00EB4AF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33193" w:rsidRDefault="00EB4AF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交银股息优化混合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004868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004868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93,268,185.67</w:t>
            </w:r>
            <w:r w:rsidRPr="00414345">
              <w:rPr>
                <w:color w:val="000000"/>
                <w:kern w:val="0"/>
                <w:sz w:val="24"/>
                <w:szCs w:val="24"/>
              </w:rPr>
              <w:t>份</w:t>
            </w:r>
          </w:p>
        </w:tc>
      </w:tr>
      <w:tr w:rsidR="001B2F35" w:rsidRPr="00414345" w:rsidTr="008A3E7E">
        <w:trPr>
          <w:jc w:val="center"/>
        </w:trPr>
        <w:tc>
          <w:tcPr>
            <w:tcW w:w="3023" w:type="dxa"/>
            <w:tcBorders>
              <w:bottom w:val="single" w:sz="4" w:space="0" w:color="auto"/>
            </w:tcBorders>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tcBorders>
              <w:bottom w:val="single" w:sz="4" w:space="0" w:color="auto"/>
            </w:tcBorders>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本基金主要投资于具有稳定股息收益的优质成长性上市公司，以稳健收益为目标，追求长期的资产增值。</w:t>
            </w:r>
          </w:p>
        </w:tc>
      </w:tr>
      <w:tr w:rsidR="001B2F35" w:rsidRPr="00414345" w:rsidTr="008A3E7E">
        <w:trPr>
          <w:jc w:val="center"/>
        </w:trPr>
        <w:tc>
          <w:tcPr>
            <w:tcW w:w="3023" w:type="dxa"/>
            <w:tcBorders>
              <w:bottom w:val="single" w:sz="4" w:space="0" w:color="auto"/>
            </w:tcBorders>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tcBorders>
              <w:bottom w:val="single" w:sz="4" w:space="0" w:color="auto"/>
            </w:tcBorders>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B2F35" w:rsidRPr="00414345" w:rsidTr="008A3E7E">
        <w:trPr>
          <w:jc w:val="center"/>
        </w:trPr>
        <w:tc>
          <w:tcPr>
            <w:tcW w:w="3023" w:type="dxa"/>
            <w:tcBorders>
              <w:top w:val="single" w:sz="4" w:space="0" w:color="auto"/>
            </w:tcBorders>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tcBorders>
              <w:top w:val="single" w:sz="4" w:space="0" w:color="auto"/>
            </w:tcBorders>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B4AF2" w:rsidRPr="00414345" w:rsidTr="00EB4AF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EB4AF2" w:rsidRPr="00414345" w:rsidTr="00EB4AF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10,011,297.05</w:t>
            </w:r>
          </w:p>
        </w:tc>
      </w:tr>
      <w:tr w:rsidR="00EB4AF2" w:rsidRPr="00414345" w:rsidTr="00EB4AF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5,543,039.81</w:t>
            </w:r>
          </w:p>
        </w:tc>
      </w:tr>
      <w:tr w:rsidR="00EB4AF2" w:rsidRPr="00414345" w:rsidTr="00EB4AF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0.0558</w:t>
            </w:r>
          </w:p>
        </w:tc>
      </w:tr>
      <w:tr w:rsidR="00EB4AF2" w:rsidRPr="00414345" w:rsidTr="00EB4AF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114,709,715.95</w:t>
            </w:r>
          </w:p>
        </w:tc>
      </w:tr>
      <w:tr w:rsidR="00EB4AF2" w:rsidRPr="00414345" w:rsidTr="00EB4AF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1.2299</w:t>
            </w:r>
          </w:p>
        </w:tc>
      </w:tr>
    </w:tbl>
    <w:p w:rsidR="00833193" w:rsidRDefault="00EB4AF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33193">
        <w:trPr>
          <w:jc w:val="center"/>
        </w:trPr>
        <w:tc>
          <w:tcPr>
            <w:tcW w:w="1701" w:type="dxa"/>
            <w:vAlign w:val="center"/>
          </w:tcPr>
          <w:p w:rsidR="00833193" w:rsidRDefault="00EB4AF2">
            <w:pPr>
              <w:jc w:val="left"/>
            </w:pPr>
            <w:r>
              <w:rPr>
                <w:color w:val="000000"/>
                <w:sz w:val="24"/>
                <w:szCs w:val="24"/>
              </w:rPr>
              <w:t>过去三个月</w:t>
            </w:r>
          </w:p>
        </w:tc>
        <w:tc>
          <w:tcPr>
            <w:tcW w:w="1045" w:type="dxa"/>
            <w:vAlign w:val="center"/>
          </w:tcPr>
          <w:p w:rsidR="00833193" w:rsidRDefault="00EB4AF2">
            <w:pPr>
              <w:jc w:val="center"/>
            </w:pPr>
            <w:r>
              <w:rPr>
                <w:color w:val="000000"/>
                <w:sz w:val="24"/>
                <w:szCs w:val="24"/>
              </w:rPr>
              <w:t>4.62%</w:t>
            </w:r>
          </w:p>
        </w:tc>
        <w:tc>
          <w:tcPr>
            <w:tcW w:w="1344" w:type="dxa"/>
            <w:vAlign w:val="center"/>
          </w:tcPr>
          <w:p w:rsidR="00833193" w:rsidRDefault="00EB4AF2">
            <w:pPr>
              <w:jc w:val="center"/>
            </w:pPr>
            <w:r>
              <w:rPr>
                <w:color w:val="000000"/>
                <w:sz w:val="24"/>
                <w:szCs w:val="24"/>
              </w:rPr>
              <w:t>1.83%</w:t>
            </w:r>
          </w:p>
        </w:tc>
        <w:tc>
          <w:tcPr>
            <w:tcW w:w="1194" w:type="dxa"/>
            <w:vAlign w:val="center"/>
          </w:tcPr>
          <w:p w:rsidR="00833193" w:rsidRDefault="00EB4AF2">
            <w:pPr>
              <w:jc w:val="center"/>
            </w:pPr>
            <w:r>
              <w:rPr>
                <w:color w:val="000000"/>
                <w:sz w:val="24"/>
                <w:szCs w:val="24"/>
              </w:rPr>
              <w:t>-0.30%</w:t>
            </w:r>
          </w:p>
        </w:tc>
        <w:tc>
          <w:tcPr>
            <w:tcW w:w="1492" w:type="dxa"/>
            <w:vAlign w:val="center"/>
          </w:tcPr>
          <w:p w:rsidR="00833193" w:rsidRDefault="00EB4AF2">
            <w:pPr>
              <w:jc w:val="center"/>
            </w:pPr>
            <w:r>
              <w:rPr>
                <w:color w:val="000000"/>
                <w:sz w:val="24"/>
                <w:szCs w:val="24"/>
              </w:rPr>
              <w:t>0.91%</w:t>
            </w:r>
          </w:p>
        </w:tc>
        <w:tc>
          <w:tcPr>
            <w:tcW w:w="1194" w:type="dxa"/>
            <w:vAlign w:val="center"/>
          </w:tcPr>
          <w:p w:rsidR="00833193" w:rsidRDefault="00EB4AF2">
            <w:pPr>
              <w:jc w:val="center"/>
            </w:pPr>
            <w:r>
              <w:rPr>
                <w:color w:val="000000"/>
                <w:sz w:val="24"/>
                <w:szCs w:val="24"/>
              </w:rPr>
              <w:t>4.92%</w:t>
            </w:r>
          </w:p>
        </w:tc>
        <w:tc>
          <w:tcPr>
            <w:tcW w:w="898" w:type="dxa"/>
            <w:vAlign w:val="center"/>
          </w:tcPr>
          <w:p w:rsidR="00833193" w:rsidRDefault="00EB4AF2">
            <w:pPr>
              <w:jc w:val="center"/>
            </w:pPr>
            <w:r>
              <w:rPr>
                <w:rFonts w:hint="eastAsia"/>
                <w:color w:val="000000"/>
                <w:sz w:val="24"/>
                <w:szCs w:val="24"/>
              </w:rPr>
              <w:t>0.92%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交银施罗德股息优化混合型证券投资基金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E808C4">
        <w:trPr>
          <w:jc w:val="center"/>
        </w:trPr>
        <w:tc>
          <w:tcPr>
            <w:tcW w:w="851" w:type="dxa"/>
            <w:vMerge/>
            <w:tcBorders>
              <w:bottom w:val="single" w:sz="4" w:space="0" w:color="auto"/>
            </w:tcBorders>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tcBorders>
              <w:bottom w:val="single" w:sz="4" w:space="0" w:color="auto"/>
            </w:tcBorders>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tcBorders>
              <w:bottom w:val="single" w:sz="4" w:space="0" w:color="auto"/>
            </w:tcBorders>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tcBorders>
              <w:bottom w:val="single" w:sz="4" w:space="0" w:color="auto"/>
            </w:tcBorders>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tcBorders>
              <w:bottom w:val="single" w:sz="4" w:space="0" w:color="auto"/>
            </w:tcBorders>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tcBorders>
              <w:bottom w:val="single" w:sz="4" w:space="0" w:color="auto"/>
            </w:tcBorders>
            <w:vAlign w:val="center"/>
          </w:tcPr>
          <w:p w:rsidR="004061AC" w:rsidRPr="00414345" w:rsidRDefault="004061AC" w:rsidP="00C15CAC">
            <w:pPr>
              <w:widowControl/>
              <w:spacing w:before="29" w:line="288" w:lineRule="auto"/>
              <w:jc w:val="left"/>
              <w:rPr>
                <w:color w:val="000000"/>
                <w:kern w:val="0"/>
                <w:sz w:val="24"/>
                <w:szCs w:val="24"/>
              </w:rPr>
            </w:pPr>
          </w:p>
        </w:tc>
      </w:tr>
      <w:tr w:rsidR="00833193" w:rsidTr="00E808C4">
        <w:trPr>
          <w:jc w:val="center"/>
        </w:trPr>
        <w:tc>
          <w:tcPr>
            <w:tcW w:w="846" w:type="dxa"/>
            <w:tcBorders>
              <w:bottom w:val="single" w:sz="4" w:space="0" w:color="auto"/>
            </w:tcBorders>
            <w:vAlign w:val="center"/>
          </w:tcPr>
          <w:p w:rsidR="00833193" w:rsidRDefault="00EB4AF2">
            <w:pPr>
              <w:jc w:val="center"/>
            </w:pPr>
            <w:r>
              <w:rPr>
                <w:color w:val="000000"/>
                <w:sz w:val="24"/>
                <w:szCs w:val="24"/>
              </w:rPr>
              <w:t>韩威俊</w:t>
            </w:r>
          </w:p>
        </w:tc>
        <w:tc>
          <w:tcPr>
            <w:tcW w:w="845" w:type="dxa"/>
            <w:tcBorders>
              <w:bottom w:val="single" w:sz="4" w:space="0" w:color="auto"/>
            </w:tcBorders>
            <w:vAlign w:val="center"/>
          </w:tcPr>
          <w:p w:rsidR="00833193" w:rsidRDefault="00EB4AF2">
            <w:pPr>
              <w:jc w:val="center"/>
            </w:pPr>
            <w:r>
              <w:rPr>
                <w:color w:val="000000"/>
                <w:sz w:val="24"/>
                <w:szCs w:val="24"/>
              </w:rPr>
              <w:t>交银趋势混合、交银策略回报灵活配置混合、交银消费新驱</w:t>
            </w:r>
            <w:r>
              <w:rPr>
                <w:color w:val="000000"/>
                <w:sz w:val="24"/>
                <w:szCs w:val="24"/>
              </w:rPr>
              <w:lastRenderedPageBreak/>
              <w:t>动股票、交银股息优化混合、交银品质升级混合的基金经理</w:t>
            </w:r>
          </w:p>
        </w:tc>
        <w:tc>
          <w:tcPr>
            <w:tcW w:w="1549" w:type="dxa"/>
            <w:tcBorders>
              <w:bottom w:val="single" w:sz="4" w:space="0" w:color="auto"/>
            </w:tcBorders>
            <w:vAlign w:val="center"/>
          </w:tcPr>
          <w:p w:rsidR="00833193" w:rsidRDefault="00EB4AF2">
            <w:pPr>
              <w:jc w:val="center"/>
            </w:pPr>
            <w:r>
              <w:rPr>
                <w:color w:val="000000"/>
                <w:sz w:val="24"/>
                <w:szCs w:val="24"/>
              </w:rPr>
              <w:lastRenderedPageBreak/>
              <w:t>2017-08-25</w:t>
            </w:r>
          </w:p>
        </w:tc>
        <w:tc>
          <w:tcPr>
            <w:tcW w:w="1548" w:type="dxa"/>
            <w:tcBorders>
              <w:bottom w:val="single" w:sz="4" w:space="0" w:color="auto"/>
            </w:tcBorders>
            <w:vAlign w:val="center"/>
          </w:tcPr>
          <w:p w:rsidR="00833193" w:rsidRDefault="00EB4AF2">
            <w:pPr>
              <w:jc w:val="center"/>
            </w:pPr>
            <w:r>
              <w:rPr>
                <w:color w:val="000000"/>
                <w:sz w:val="24"/>
                <w:szCs w:val="24"/>
              </w:rPr>
              <w:t>-</w:t>
            </w:r>
          </w:p>
        </w:tc>
        <w:tc>
          <w:tcPr>
            <w:tcW w:w="1407" w:type="dxa"/>
            <w:tcBorders>
              <w:bottom w:val="single" w:sz="4" w:space="0" w:color="auto"/>
            </w:tcBorders>
            <w:vAlign w:val="center"/>
          </w:tcPr>
          <w:p w:rsidR="00833193" w:rsidRDefault="00EB4AF2">
            <w:pPr>
              <w:jc w:val="center"/>
            </w:pPr>
            <w:r>
              <w:rPr>
                <w:color w:val="000000"/>
                <w:sz w:val="24"/>
                <w:szCs w:val="24"/>
              </w:rPr>
              <w:t>13</w:t>
            </w:r>
            <w:r>
              <w:rPr>
                <w:color w:val="000000"/>
                <w:sz w:val="24"/>
                <w:szCs w:val="24"/>
              </w:rPr>
              <w:t>年</w:t>
            </w:r>
          </w:p>
        </w:tc>
        <w:tc>
          <w:tcPr>
            <w:tcW w:w="2673" w:type="dxa"/>
            <w:tcBorders>
              <w:bottom w:val="single" w:sz="4" w:space="0" w:color="auto"/>
            </w:tcBorders>
            <w:vAlign w:val="center"/>
          </w:tcPr>
          <w:p w:rsidR="00833193" w:rsidRDefault="00EB4AF2">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33193" w:rsidRDefault="00EB4AF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33193" w:rsidRDefault="00EB4AF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33193" w:rsidRDefault="00EB4AF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33193" w:rsidRDefault="00EB4AF2">
      <w:pPr>
        <w:spacing w:before="29" w:line="288" w:lineRule="auto"/>
        <w:ind w:firstLineChars="200" w:firstLine="480"/>
        <w:rPr>
          <w:color w:val="000000"/>
          <w:sz w:val="24"/>
          <w:szCs w:val="24"/>
        </w:rPr>
      </w:pPr>
      <w:r>
        <w:rPr>
          <w:color w:val="000000"/>
          <w:sz w:val="24"/>
          <w:szCs w:val="24"/>
        </w:rPr>
        <w:t>回顾</w:t>
      </w:r>
      <w:r>
        <w:rPr>
          <w:color w:val="000000"/>
          <w:sz w:val="24"/>
          <w:szCs w:val="24"/>
        </w:rPr>
        <w:t>2019</w:t>
      </w:r>
      <w:r>
        <w:rPr>
          <w:color w:val="000000"/>
          <w:sz w:val="24"/>
          <w:szCs w:val="24"/>
        </w:rPr>
        <w:t>年二季度，中美贸易战持续发酵，整个市场成交量大幅下滑，市场观望情绪明显提升。由于人民币贬值影响，外资在四至五月出现比较明显的流出，整个市场向集中度较高的龙头白马大幅集中。</w:t>
      </w:r>
    </w:p>
    <w:p w:rsidR="00833193" w:rsidRDefault="00EB4AF2">
      <w:pPr>
        <w:spacing w:before="29" w:line="288" w:lineRule="auto"/>
        <w:ind w:firstLineChars="200" w:firstLine="480"/>
        <w:rPr>
          <w:color w:val="000000"/>
          <w:sz w:val="24"/>
          <w:szCs w:val="24"/>
        </w:rPr>
      </w:pPr>
      <w:r>
        <w:rPr>
          <w:color w:val="000000"/>
          <w:sz w:val="24"/>
          <w:szCs w:val="24"/>
        </w:rPr>
        <w:t>本基金在</w:t>
      </w:r>
      <w:r>
        <w:rPr>
          <w:color w:val="000000"/>
          <w:sz w:val="24"/>
          <w:szCs w:val="24"/>
        </w:rPr>
        <w:t>2019</w:t>
      </w:r>
      <w:r>
        <w:rPr>
          <w:color w:val="000000"/>
          <w:sz w:val="24"/>
          <w:szCs w:val="24"/>
        </w:rPr>
        <w:t>年二季度基本上围绕着消费白马龙头作为底仓的配置思路，个股持仓比例有所提升，主要增持二季度业绩较好并且存在上调盈利预测可能性的个股，获得了比较明显的相对收益和绝对收益。</w:t>
      </w:r>
    </w:p>
    <w:p w:rsidR="00833193" w:rsidRDefault="00EB4AF2">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三季度，预计市场流动性会出现比较明显的改善，特别是长端利率水平可能会有比较明显的下降。随着海外进入降息周期以后，人民币贬值压力也会有所降低，国内货币政策调整的空间也将变大，整个市场的流动性呈现较为宽松的状态。但是，由于宏观经济增速放缓以及各行业增速的放缓，全市场基本面开始出现一定的向下压力，在一定程度上对冲了流动性宽松。</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本基金在三季度拟将保持消费白马和地产作为底仓的配置思路，同时考虑适当减持纯靠估值提升的个股。</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108,575,405.23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90.91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108,575,405.23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90.91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10,757,160.36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93,143.34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119,425,708.93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65,976.75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92,825,015.51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2,841,447.00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33,869.94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10,251,353.67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1,999,530.00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535,105.76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23,106.60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108,575,405.23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94.65</w:t>
            </w:r>
          </w:p>
        </w:tc>
      </w:tr>
    </w:tbl>
    <w:p w:rsidR="00E808C4" w:rsidRDefault="00E808C4"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33193">
        <w:trPr>
          <w:jc w:val="center"/>
        </w:trPr>
        <w:tc>
          <w:tcPr>
            <w:tcW w:w="855" w:type="dxa"/>
            <w:vAlign w:val="center"/>
          </w:tcPr>
          <w:p w:rsidR="00833193" w:rsidRDefault="00EB4AF2">
            <w:pPr>
              <w:jc w:val="center"/>
            </w:pPr>
            <w:r>
              <w:rPr>
                <w:color w:val="000000"/>
                <w:sz w:val="24"/>
                <w:szCs w:val="24"/>
              </w:rPr>
              <w:t>1</w:t>
            </w:r>
          </w:p>
        </w:tc>
        <w:tc>
          <w:tcPr>
            <w:tcW w:w="1334" w:type="dxa"/>
            <w:vAlign w:val="center"/>
          </w:tcPr>
          <w:p w:rsidR="00833193" w:rsidRDefault="00EB4AF2">
            <w:pPr>
              <w:jc w:val="center"/>
            </w:pPr>
            <w:r>
              <w:rPr>
                <w:color w:val="000000"/>
                <w:sz w:val="24"/>
                <w:szCs w:val="24"/>
              </w:rPr>
              <w:t>603369</w:t>
            </w:r>
          </w:p>
        </w:tc>
        <w:tc>
          <w:tcPr>
            <w:tcW w:w="1777" w:type="dxa"/>
            <w:vAlign w:val="center"/>
          </w:tcPr>
          <w:p w:rsidR="00833193" w:rsidRDefault="00EB4AF2">
            <w:pPr>
              <w:jc w:val="center"/>
            </w:pPr>
            <w:r>
              <w:rPr>
                <w:color w:val="000000"/>
                <w:sz w:val="24"/>
                <w:szCs w:val="24"/>
              </w:rPr>
              <w:t>今世缘</w:t>
            </w:r>
          </w:p>
        </w:tc>
        <w:tc>
          <w:tcPr>
            <w:tcW w:w="1334" w:type="dxa"/>
            <w:vAlign w:val="center"/>
          </w:tcPr>
          <w:p w:rsidR="00833193" w:rsidRDefault="00EB4AF2">
            <w:pPr>
              <w:jc w:val="right"/>
            </w:pPr>
            <w:r>
              <w:rPr>
                <w:color w:val="000000"/>
                <w:sz w:val="24"/>
                <w:szCs w:val="24"/>
              </w:rPr>
              <w:t>400,500</w:t>
            </w:r>
          </w:p>
        </w:tc>
        <w:tc>
          <w:tcPr>
            <w:tcW w:w="1924" w:type="dxa"/>
            <w:vAlign w:val="center"/>
          </w:tcPr>
          <w:p w:rsidR="00833193" w:rsidRDefault="00EB4AF2">
            <w:pPr>
              <w:jc w:val="right"/>
            </w:pPr>
            <w:r>
              <w:rPr>
                <w:color w:val="000000"/>
                <w:sz w:val="24"/>
                <w:szCs w:val="24"/>
              </w:rPr>
              <w:t>11,169,945.00</w:t>
            </w:r>
          </w:p>
        </w:tc>
        <w:tc>
          <w:tcPr>
            <w:tcW w:w="1644" w:type="dxa"/>
            <w:vAlign w:val="center"/>
          </w:tcPr>
          <w:p w:rsidR="00833193" w:rsidRDefault="00EB4AF2">
            <w:pPr>
              <w:jc w:val="right"/>
            </w:pPr>
            <w:r>
              <w:rPr>
                <w:color w:val="000000"/>
                <w:sz w:val="24"/>
                <w:szCs w:val="24"/>
              </w:rPr>
              <w:t>9.74</w:t>
            </w:r>
          </w:p>
        </w:tc>
      </w:tr>
      <w:tr w:rsidR="00833193">
        <w:trPr>
          <w:jc w:val="center"/>
        </w:trPr>
        <w:tc>
          <w:tcPr>
            <w:tcW w:w="855" w:type="dxa"/>
            <w:vAlign w:val="center"/>
          </w:tcPr>
          <w:p w:rsidR="00833193" w:rsidRDefault="00EB4AF2">
            <w:pPr>
              <w:jc w:val="center"/>
            </w:pPr>
            <w:r>
              <w:rPr>
                <w:color w:val="000000"/>
                <w:sz w:val="24"/>
                <w:szCs w:val="24"/>
              </w:rPr>
              <w:t>2</w:t>
            </w:r>
          </w:p>
        </w:tc>
        <w:tc>
          <w:tcPr>
            <w:tcW w:w="1334" w:type="dxa"/>
            <w:vAlign w:val="center"/>
          </w:tcPr>
          <w:p w:rsidR="00833193" w:rsidRDefault="00EB4AF2">
            <w:pPr>
              <w:jc w:val="center"/>
            </w:pPr>
            <w:r>
              <w:rPr>
                <w:color w:val="000000"/>
                <w:sz w:val="24"/>
                <w:szCs w:val="24"/>
              </w:rPr>
              <w:t>000858</w:t>
            </w:r>
          </w:p>
        </w:tc>
        <w:tc>
          <w:tcPr>
            <w:tcW w:w="1777" w:type="dxa"/>
            <w:vAlign w:val="center"/>
          </w:tcPr>
          <w:p w:rsidR="00833193" w:rsidRDefault="00EB4AF2">
            <w:pPr>
              <w:jc w:val="center"/>
            </w:pPr>
            <w:r>
              <w:rPr>
                <w:color w:val="000000"/>
                <w:sz w:val="24"/>
                <w:szCs w:val="24"/>
              </w:rPr>
              <w:t>五粮液</w:t>
            </w:r>
          </w:p>
        </w:tc>
        <w:tc>
          <w:tcPr>
            <w:tcW w:w="1334" w:type="dxa"/>
            <w:vAlign w:val="center"/>
          </w:tcPr>
          <w:p w:rsidR="00833193" w:rsidRDefault="00EB4AF2">
            <w:pPr>
              <w:jc w:val="right"/>
            </w:pPr>
            <w:r>
              <w:rPr>
                <w:color w:val="000000"/>
                <w:sz w:val="24"/>
                <w:szCs w:val="24"/>
              </w:rPr>
              <w:t>89,725</w:t>
            </w:r>
          </w:p>
        </w:tc>
        <w:tc>
          <w:tcPr>
            <w:tcW w:w="1924" w:type="dxa"/>
            <w:vAlign w:val="center"/>
          </w:tcPr>
          <w:p w:rsidR="00833193" w:rsidRDefault="00EB4AF2">
            <w:pPr>
              <w:jc w:val="right"/>
            </w:pPr>
            <w:r>
              <w:rPr>
                <w:color w:val="000000"/>
                <w:sz w:val="24"/>
                <w:szCs w:val="24"/>
              </w:rPr>
              <w:t>10,583,063.75</w:t>
            </w:r>
          </w:p>
        </w:tc>
        <w:tc>
          <w:tcPr>
            <w:tcW w:w="1644" w:type="dxa"/>
            <w:vAlign w:val="center"/>
          </w:tcPr>
          <w:p w:rsidR="00833193" w:rsidRDefault="00EB4AF2">
            <w:pPr>
              <w:jc w:val="right"/>
            </w:pPr>
            <w:r>
              <w:rPr>
                <w:color w:val="000000"/>
                <w:sz w:val="24"/>
                <w:szCs w:val="24"/>
              </w:rPr>
              <w:t>9.23</w:t>
            </w:r>
          </w:p>
        </w:tc>
      </w:tr>
      <w:tr w:rsidR="00833193">
        <w:trPr>
          <w:jc w:val="center"/>
        </w:trPr>
        <w:tc>
          <w:tcPr>
            <w:tcW w:w="855" w:type="dxa"/>
            <w:vAlign w:val="center"/>
          </w:tcPr>
          <w:p w:rsidR="00833193" w:rsidRDefault="00EB4AF2">
            <w:pPr>
              <w:jc w:val="center"/>
            </w:pPr>
            <w:r>
              <w:rPr>
                <w:color w:val="000000"/>
                <w:sz w:val="24"/>
                <w:szCs w:val="24"/>
              </w:rPr>
              <w:t>3</w:t>
            </w:r>
          </w:p>
        </w:tc>
        <w:tc>
          <w:tcPr>
            <w:tcW w:w="1334" w:type="dxa"/>
            <w:vAlign w:val="center"/>
          </w:tcPr>
          <w:p w:rsidR="00833193" w:rsidRDefault="00EB4AF2">
            <w:pPr>
              <w:jc w:val="center"/>
            </w:pPr>
            <w:r>
              <w:rPr>
                <w:color w:val="000000"/>
                <w:sz w:val="24"/>
                <w:szCs w:val="24"/>
              </w:rPr>
              <w:t>600559</w:t>
            </w:r>
          </w:p>
        </w:tc>
        <w:tc>
          <w:tcPr>
            <w:tcW w:w="1777" w:type="dxa"/>
            <w:vAlign w:val="center"/>
          </w:tcPr>
          <w:p w:rsidR="00833193" w:rsidRDefault="00EB4AF2">
            <w:pPr>
              <w:jc w:val="center"/>
            </w:pPr>
            <w:r>
              <w:rPr>
                <w:color w:val="000000"/>
                <w:sz w:val="24"/>
                <w:szCs w:val="24"/>
              </w:rPr>
              <w:t>老白干酒</w:t>
            </w:r>
          </w:p>
        </w:tc>
        <w:tc>
          <w:tcPr>
            <w:tcW w:w="1334" w:type="dxa"/>
            <w:vAlign w:val="center"/>
          </w:tcPr>
          <w:p w:rsidR="00833193" w:rsidRDefault="00EB4AF2">
            <w:pPr>
              <w:jc w:val="right"/>
            </w:pPr>
            <w:r>
              <w:rPr>
                <w:color w:val="000000"/>
                <w:sz w:val="24"/>
                <w:szCs w:val="24"/>
              </w:rPr>
              <w:t>798,362</w:t>
            </w:r>
          </w:p>
        </w:tc>
        <w:tc>
          <w:tcPr>
            <w:tcW w:w="1924" w:type="dxa"/>
            <w:vAlign w:val="center"/>
          </w:tcPr>
          <w:p w:rsidR="00833193" w:rsidRDefault="00EB4AF2">
            <w:pPr>
              <w:jc w:val="right"/>
            </w:pPr>
            <w:r>
              <w:rPr>
                <w:color w:val="000000"/>
                <w:sz w:val="24"/>
                <w:szCs w:val="24"/>
              </w:rPr>
              <w:t>10,450,558.58</w:t>
            </w:r>
          </w:p>
        </w:tc>
        <w:tc>
          <w:tcPr>
            <w:tcW w:w="1644" w:type="dxa"/>
            <w:vAlign w:val="center"/>
          </w:tcPr>
          <w:p w:rsidR="00833193" w:rsidRDefault="00EB4AF2">
            <w:pPr>
              <w:jc w:val="right"/>
            </w:pPr>
            <w:r>
              <w:rPr>
                <w:color w:val="000000"/>
                <w:sz w:val="24"/>
                <w:szCs w:val="24"/>
              </w:rPr>
              <w:t>9.11</w:t>
            </w:r>
          </w:p>
        </w:tc>
      </w:tr>
      <w:tr w:rsidR="00833193">
        <w:trPr>
          <w:jc w:val="center"/>
        </w:trPr>
        <w:tc>
          <w:tcPr>
            <w:tcW w:w="855" w:type="dxa"/>
            <w:vAlign w:val="center"/>
          </w:tcPr>
          <w:p w:rsidR="00833193" w:rsidRDefault="00EB4AF2">
            <w:pPr>
              <w:jc w:val="center"/>
            </w:pPr>
            <w:r>
              <w:rPr>
                <w:color w:val="000000"/>
                <w:sz w:val="24"/>
                <w:szCs w:val="24"/>
              </w:rPr>
              <w:t>4</w:t>
            </w:r>
          </w:p>
        </w:tc>
        <w:tc>
          <w:tcPr>
            <w:tcW w:w="1334" w:type="dxa"/>
            <w:vAlign w:val="center"/>
          </w:tcPr>
          <w:p w:rsidR="00833193" w:rsidRDefault="00EB4AF2">
            <w:pPr>
              <w:jc w:val="center"/>
            </w:pPr>
            <w:r>
              <w:rPr>
                <w:color w:val="000000"/>
                <w:sz w:val="24"/>
                <w:szCs w:val="24"/>
              </w:rPr>
              <w:t>600519</w:t>
            </w:r>
          </w:p>
        </w:tc>
        <w:tc>
          <w:tcPr>
            <w:tcW w:w="1777" w:type="dxa"/>
            <w:vAlign w:val="center"/>
          </w:tcPr>
          <w:p w:rsidR="00833193" w:rsidRDefault="00EB4AF2">
            <w:pPr>
              <w:jc w:val="center"/>
            </w:pPr>
            <w:r>
              <w:rPr>
                <w:color w:val="000000"/>
                <w:sz w:val="24"/>
                <w:szCs w:val="24"/>
              </w:rPr>
              <w:t>贵州茅台</w:t>
            </w:r>
          </w:p>
        </w:tc>
        <w:tc>
          <w:tcPr>
            <w:tcW w:w="1334" w:type="dxa"/>
            <w:vAlign w:val="center"/>
          </w:tcPr>
          <w:p w:rsidR="00833193" w:rsidRDefault="00EB4AF2">
            <w:pPr>
              <w:jc w:val="right"/>
            </w:pPr>
            <w:r>
              <w:rPr>
                <w:color w:val="000000"/>
                <w:sz w:val="24"/>
                <w:szCs w:val="24"/>
              </w:rPr>
              <w:t>10,577</w:t>
            </w:r>
          </w:p>
        </w:tc>
        <w:tc>
          <w:tcPr>
            <w:tcW w:w="1924" w:type="dxa"/>
            <w:vAlign w:val="center"/>
          </w:tcPr>
          <w:p w:rsidR="00833193" w:rsidRDefault="00EB4AF2">
            <w:pPr>
              <w:jc w:val="right"/>
            </w:pPr>
            <w:r>
              <w:rPr>
                <w:color w:val="000000"/>
                <w:sz w:val="24"/>
                <w:szCs w:val="24"/>
              </w:rPr>
              <w:t>10,407,768.00</w:t>
            </w:r>
          </w:p>
        </w:tc>
        <w:tc>
          <w:tcPr>
            <w:tcW w:w="1644" w:type="dxa"/>
            <w:vAlign w:val="center"/>
          </w:tcPr>
          <w:p w:rsidR="00833193" w:rsidRDefault="00EB4AF2">
            <w:pPr>
              <w:jc w:val="right"/>
            </w:pPr>
            <w:r>
              <w:rPr>
                <w:color w:val="000000"/>
                <w:sz w:val="24"/>
                <w:szCs w:val="24"/>
              </w:rPr>
              <w:t>9.07</w:t>
            </w:r>
          </w:p>
        </w:tc>
      </w:tr>
      <w:tr w:rsidR="00833193">
        <w:trPr>
          <w:jc w:val="center"/>
        </w:trPr>
        <w:tc>
          <w:tcPr>
            <w:tcW w:w="855" w:type="dxa"/>
            <w:vAlign w:val="center"/>
          </w:tcPr>
          <w:p w:rsidR="00833193" w:rsidRDefault="00EB4AF2">
            <w:pPr>
              <w:jc w:val="center"/>
            </w:pPr>
            <w:r>
              <w:rPr>
                <w:color w:val="000000"/>
                <w:sz w:val="24"/>
                <w:szCs w:val="24"/>
              </w:rPr>
              <w:t>5</w:t>
            </w:r>
          </w:p>
        </w:tc>
        <w:tc>
          <w:tcPr>
            <w:tcW w:w="1334" w:type="dxa"/>
            <w:vAlign w:val="center"/>
          </w:tcPr>
          <w:p w:rsidR="00833193" w:rsidRDefault="00EB4AF2">
            <w:pPr>
              <w:jc w:val="center"/>
            </w:pPr>
            <w:r>
              <w:rPr>
                <w:color w:val="000000"/>
                <w:sz w:val="24"/>
                <w:szCs w:val="24"/>
              </w:rPr>
              <w:t>300146</w:t>
            </w:r>
          </w:p>
        </w:tc>
        <w:tc>
          <w:tcPr>
            <w:tcW w:w="1777" w:type="dxa"/>
            <w:vAlign w:val="center"/>
          </w:tcPr>
          <w:p w:rsidR="00833193" w:rsidRDefault="00EB4AF2">
            <w:pPr>
              <w:jc w:val="center"/>
            </w:pPr>
            <w:r>
              <w:rPr>
                <w:color w:val="000000"/>
                <w:sz w:val="24"/>
                <w:szCs w:val="24"/>
              </w:rPr>
              <w:t>汤臣倍健</w:t>
            </w:r>
          </w:p>
        </w:tc>
        <w:tc>
          <w:tcPr>
            <w:tcW w:w="1334" w:type="dxa"/>
            <w:vAlign w:val="center"/>
          </w:tcPr>
          <w:p w:rsidR="00833193" w:rsidRDefault="00EB4AF2">
            <w:pPr>
              <w:jc w:val="right"/>
            </w:pPr>
            <w:r>
              <w:rPr>
                <w:color w:val="000000"/>
                <w:sz w:val="24"/>
                <w:szCs w:val="24"/>
              </w:rPr>
              <w:t>530,631</w:t>
            </w:r>
          </w:p>
        </w:tc>
        <w:tc>
          <w:tcPr>
            <w:tcW w:w="1924" w:type="dxa"/>
            <w:vAlign w:val="center"/>
          </w:tcPr>
          <w:p w:rsidR="00833193" w:rsidRDefault="00EB4AF2">
            <w:pPr>
              <w:jc w:val="right"/>
            </w:pPr>
            <w:r>
              <w:rPr>
                <w:color w:val="000000"/>
                <w:sz w:val="24"/>
                <w:szCs w:val="24"/>
              </w:rPr>
              <w:t>10,294,241.40</w:t>
            </w:r>
          </w:p>
        </w:tc>
        <w:tc>
          <w:tcPr>
            <w:tcW w:w="1644" w:type="dxa"/>
            <w:vAlign w:val="center"/>
          </w:tcPr>
          <w:p w:rsidR="00833193" w:rsidRDefault="00EB4AF2">
            <w:pPr>
              <w:jc w:val="right"/>
            </w:pPr>
            <w:r>
              <w:rPr>
                <w:color w:val="000000"/>
                <w:sz w:val="24"/>
                <w:szCs w:val="24"/>
              </w:rPr>
              <w:t>8.97</w:t>
            </w:r>
          </w:p>
        </w:tc>
      </w:tr>
      <w:tr w:rsidR="00833193">
        <w:trPr>
          <w:jc w:val="center"/>
        </w:trPr>
        <w:tc>
          <w:tcPr>
            <w:tcW w:w="855" w:type="dxa"/>
            <w:vAlign w:val="center"/>
          </w:tcPr>
          <w:p w:rsidR="00833193" w:rsidRDefault="00EB4AF2">
            <w:pPr>
              <w:jc w:val="center"/>
            </w:pPr>
            <w:r>
              <w:rPr>
                <w:color w:val="000000"/>
                <w:sz w:val="24"/>
                <w:szCs w:val="24"/>
              </w:rPr>
              <w:t>6</w:t>
            </w:r>
          </w:p>
        </w:tc>
        <w:tc>
          <w:tcPr>
            <w:tcW w:w="1334" w:type="dxa"/>
            <w:vAlign w:val="center"/>
          </w:tcPr>
          <w:p w:rsidR="00833193" w:rsidRDefault="00EB4AF2">
            <w:pPr>
              <w:jc w:val="center"/>
            </w:pPr>
            <w:r>
              <w:rPr>
                <w:color w:val="000000"/>
                <w:sz w:val="24"/>
                <w:szCs w:val="24"/>
              </w:rPr>
              <w:t>000651</w:t>
            </w:r>
          </w:p>
        </w:tc>
        <w:tc>
          <w:tcPr>
            <w:tcW w:w="1777" w:type="dxa"/>
            <w:vAlign w:val="center"/>
          </w:tcPr>
          <w:p w:rsidR="00833193" w:rsidRDefault="00EB4AF2">
            <w:pPr>
              <w:jc w:val="center"/>
            </w:pPr>
            <w:r>
              <w:rPr>
                <w:color w:val="000000"/>
                <w:sz w:val="24"/>
                <w:szCs w:val="24"/>
              </w:rPr>
              <w:t>格力电器</w:t>
            </w:r>
          </w:p>
        </w:tc>
        <w:tc>
          <w:tcPr>
            <w:tcW w:w="1334" w:type="dxa"/>
            <w:vAlign w:val="center"/>
          </w:tcPr>
          <w:p w:rsidR="00833193" w:rsidRDefault="00EB4AF2">
            <w:pPr>
              <w:jc w:val="right"/>
            </w:pPr>
            <w:r>
              <w:rPr>
                <w:color w:val="000000"/>
                <w:sz w:val="24"/>
                <w:szCs w:val="24"/>
              </w:rPr>
              <w:t>187,100</w:t>
            </w:r>
          </w:p>
        </w:tc>
        <w:tc>
          <w:tcPr>
            <w:tcW w:w="1924" w:type="dxa"/>
            <w:vAlign w:val="center"/>
          </w:tcPr>
          <w:p w:rsidR="00833193" w:rsidRDefault="00EB4AF2">
            <w:pPr>
              <w:jc w:val="right"/>
            </w:pPr>
            <w:r>
              <w:rPr>
                <w:color w:val="000000"/>
                <w:sz w:val="24"/>
                <w:szCs w:val="24"/>
              </w:rPr>
              <w:t>10,290,500.00</w:t>
            </w:r>
          </w:p>
        </w:tc>
        <w:tc>
          <w:tcPr>
            <w:tcW w:w="1644" w:type="dxa"/>
            <w:vAlign w:val="center"/>
          </w:tcPr>
          <w:p w:rsidR="00833193" w:rsidRDefault="00EB4AF2">
            <w:pPr>
              <w:jc w:val="right"/>
            </w:pPr>
            <w:r>
              <w:rPr>
                <w:color w:val="000000"/>
                <w:sz w:val="24"/>
                <w:szCs w:val="24"/>
              </w:rPr>
              <w:t>8.97</w:t>
            </w:r>
          </w:p>
        </w:tc>
      </w:tr>
      <w:tr w:rsidR="00833193">
        <w:trPr>
          <w:jc w:val="center"/>
        </w:trPr>
        <w:tc>
          <w:tcPr>
            <w:tcW w:w="855" w:type="dxa"/>
            <w:vAlign w:val="center"/>
          </w:tcPr>
          <w:p w:rsidR="00833193" w:rsidRDefault="00EB4AF2">
            <w:pPr>
              <w:jc w:val="center"/>
            </w:pPr>
            <w:r>
              <w:rPr>
                <w:color w:val="000000"/>
                <w:sz w:val="24"/>
                <w:szCs w:val="24"/>
              </w:rPr>
              <w:t>7</w:t>
            </w:r>
          </w:p>
        </w:tc>
        <w:tc>
          <w:tcPr>
            <w:tcW w:w="1334" w:type="dxa"/>
            <w:vAlign w:val="center"/>
          </w:tcPr>
          <w:p w:rsidR="00833193" w:rsidRDefault="00EB4AF2">
            <w:pPr>
              <w:jc w:val="center"/>
            </w:pPr>
            <w:r>
              <w:rPr>
                <w:color w:val="000000"/>
                <w:sz w:val="24"/>
                <w:szCs w:val="24"/>
              </w:rPr>
              <w:t>601155</w:t>
            </w:r>
          </w:p>
        </w:tc>
        <w:tc>
          <w:tcPr>
            <w:tcW w:w="1777" w:type="dxa"/>
            <w:vAlign w:val="center"/>
          </w:tcPr>
          <w:p w:rsidR="00833193" w:rsidRDefault="00EB4AF2">
            <w:pPr>
              <w:jc w:val="center"/>
            </w:pPr>
            <w:r>
              <w:rPr>
                <w:color w:val="000000"/>
                <w:sz w:val="24"/>
                <w:szCs w:val="24"/>
              </w:rPr>
              <w:t>新城控股</w:t>
            </w:r>
          </w:p>
        </w:tc>
        <w:tc>
          <w:tcPr>
            <w:tcW w:w="1334" w:type="dxa"/>
            <w:vAlign w:val="center"/>
          </w:tcPr>
          <w:p w:rsidR="00833193" w:rsidRDefault="00EB4AF2">
            <w:pPr>
              <w:jc w:val="right"/>
            </w:pPr>
            <w:r>
              <w:rPr>
                <w:color w:val="000000"/>
                <w:sz w:val="24"/>
                <w:szCs w:val="24"/>
              </w:rPr>
              <w:t>257,507</w:t>
            </w:r>
          </w:p>
        </w:tc>
        <w:tc>
          <w:tcPr>
            <w:tcW w:w="1924" w:type="dxa"/>
            <w:vAlign w:val="center"/>
          </w:tcPr>
          <w:p w:rsidR="00833193" w:rsidRDefault="00EB4AF2">
            <w:pPr>
              <w:jc w:val="right"/>
            </w:pPr>
            <w:r>
              <w:rPr>
                <w:color w:val="000000"/>
                <w:sz w:val="24"/>
                <w:szCs w:val="24"/>
              </w:rPr>
              <w:t>10,251,353.67</w:t>
            </w:r>
          </w:p>
        </w:tc>
        <w:tc>
          <w:tcPr>
            <w:tcW w:w="1644" w:type="dxa"/>
            <w:vAlign w:val="center"/>
          </w:tcPr>
          <w:p w:rsidR="00833193" w:rsidRDefault="00EB4AF2">
            <w:pPr>
              <w:jc w:val="right"/>
            </w:pPr>
            <w:r>
              <w:rPr>
                <w:color w:val="000000"/>
                <w:sz w:val="24"/>
                <w:szCs w:val="24"/>
              </w:rPr>
              <w:t>8.94</w:t>
            </w:r>
          </w:p>
        </w:tc>
      </w:tr>
      <w:tr w:rsidR="00833193">
        <w:trPr>
          <w:jc w:val="center"/>
        </w:trPr>
        <w:tc>
          <w:tcPr>
            <w:tcW w:w="855" w:type="dxa"/>
            <w:vAlign w:val="center"/>
          </w:tcPr>
          <w:p w:rsidR="00833193" w:rsidRDefault="00EB4AF2">
            <w:pPr>
              <w:jc w:val="center"/>
            </w:pPr>
            <w:r>
              <w:rPr>
                <w:color w:val="000000"/>
                <w:sz w:val="24"/>
                <w:szCs w:val="24"/>
              </w:rPr>
              <w:t>8</w:t>
            </w:r>
          </w:p>
        </w:tc>
        <w:tc>
          <w:tcPr>
            <w:tcW w:w="1334" w:type="dxa"/>
            <w:vAlign w:val="center"/>
          </w:tcPr>
          <w:p w:rsidR="00833193" w:rsidRDefault="00EB4AF2">
            <w:pPr>
              <w:jc w:val="center"/>
            </w:pPr>
            <w:r>
              <w:rPr>
                <w:color w:val="000000"/>
                <w:sz w:val="24"/>
                <w:szCs w:val="24"/>
              </w:rPr>
              <w:t>600887</w:t>
            </w:r>
          </w:p>
        </w:tc>
        <w:tc>
          <w:tcPr>
            <w:tcW w:w="1777" w:type="dxa"/>
            <w:vAlign w:val="center"/>
          </w:tcPr>
          <w:p w:rsidR="00833193" w:rsidRDefault="00EB4AF2">
            <w:pPr>
              <w:jc w:val="center"/>
            </w:pPr>
            <w:r>
              <w:rPr>
                <w:color w:val="000000"/>
                <w:sz w:val="24"/>
                <w:szCs w:val="24"/>
              </w:rPr>
              <w:t>伊利股份</w:t>
            </w:r>
          </w:p>
        </w:tc>
        <w:tc>
          <w:tcPr>
            <w:tcW w:w="1334" w:type="dxa"/>
            <w:vAlign w:val="center"/>
          </w:tcPr>
          <w:p w:rsidR="00833193" w:rsidRDefault="00EB4AF2">
            <w:pPr>
              <w:jc w:val="right"/>
            </w:pPr>
            <w:r>
              <w:rPr>
                <w:color w:val="000000"/>
                <w:sz w:val="24"/>
                <w:szCs w:val="24"/>
              </w:rPr>
              <w:t>305,241</w:t>
            </w:r>
          </w:p>
        </w:tc>
        <w:tc>
          <w:tcPr>
            <w:tcW w:w="1924" w:type="dxa"/>
            <w:vAlign w:val="center"/>
          </w:tcPr>
          <w:p w:rsidR="00833193" w:rsidRDefault="00EB4AF2">
            <w:pPr>
              <w:jc w:val="right"/>
            </w:pPr>
            <w:r>
              <w:rPr>
                <w:color w:val="000000"/>
                <w:sz w:val="24"/>
                <w:szCs w:val="24"/>
              </w:rPr>
              <w:t>10,198,101.81</w:t>
            </w:r>
          </w:p>
        </w:tc>
        <w:tc>
          <w:tcPr>
            <w:tcW w:w="1644" w:type="dxa"/>
            <w:vAlign w:val="center"/>
          </w:tcPr>
          <w:p w:rsidR="00833193" w:rsidRDefault="00EB4AF2">
            <w:pPr>
              <w:jc w:val="right"/>
            </w:pPr>
            <w:r>
              <w:rPr>
                <w:color w:val="000000"/>
                <w:sz w:val="24"/>
                <w:szCs w:val="24"/>
              </w:rPr>
              <w:t>8.89</w:t>
            </w:r>
          </w:p>
        </w:tc>
      </w:tr>
      <w:tr w:rsidR="00833193">
        <w:trPr>
          <w:jc w:val="center"/>
        </w:trPr>
        <w:tc>
          <w:tcPr>
            <w:tcW w:w="855" w:type="dxa"/>
            <w:vAlign w:val="center"/>
          </w:tcPr>
          <w:p w:rsidR="00833193" w:rsidRDefault="00EB4AF2">
            <w:pPr>
              <w:jc w:val="center"/>
            </w:pPr>
            <w:r>
              <w:rPr>
                <w:color w:val="000000"/>
                <w:sz w:val="24"/>
                <w:szCs w:val="24"/>
              </w:rPr>
              <w:t>9</w:t>
            </w:r>
          </w:p>
        </w:tc>
        <w:tc>
          <w:tcPr>
            <w:tcW w:w="1334" w:type="dxa"/>
            <w:vAlign w:val="center"/>
          </w:tcPr>
          <w:p w:rsidR="00833193" w:rsidRDefault="00EB4AF2">
            <w:pPr>
              <w:jc w:val="center"/>
            </w:pPr>
            <w:r>
              <w:rPr>
                <w:color w:val="000000"/>
                <w:sz w:val="24"/>
                <w:szCs w:val="24"/>
              </w:rPr>
              <w:t>603886</w:t>
            </w:r>
          </w:p>
        </w:tc>
        <w:tc>
          <w:tcPr>
            <w:tcW w:w="1777" w:type="dxa"/>
            <w:vAlign w:val="center"/>
          </w:tcPr>
          <w:p w:rsidR="00833193" w:rsidRDefault="00EB4AF2">
            <w:pPr>
              <w:jc w:val="center"/>
            </w:pPr>
            <w:r>
              <w:rPr>
                <w:color w:val="000000"/>
                <w:sz w:val="24"/>
                <w:szCs w:val="24"/>
              </w:rPr>
              <w:t>元祖股份</w:t>
            </w:r>
          </w:p>
        </w:tc>
        <w:tc>
          <w:tcPr>
            <w:tcW w:w="1334" w:type="dxa"/>
            <w:vAlign w:val="center"/>
          </w:tcPr>
          <w:p w:rsidR="00833193" w:rsidRDefault="00EB4AF2">
            <w:pPr>
              <w:jc w:val="right"/>
            </w:pPr>
            <w:r>
              <w:rPr>
                <w:color w:val="000000"/>
                <w:sz w:val="24"/>
                <w:szCs w:val="24"/>
              </w:rPr>
              <w:t>372,485</w:t>
            </w:r>
          </w:p>
        </w:tc>
        <w:tc>
          <w:tcPr>
            <w:tcW w:w="1924" w:type="dxa"/>
            <w:vAlign w:val="center"/>
          </w:tcPr>
          <w:p w:rsidR="00833193" w:rsidRDefault="00EB4AF2">
            <w:pPr>
              <w:jc w:val="right"/>
            </w:pPr>
            <w:r>
              <w:rPr>
                <w:color w:val="000000"/>
                <w:sz w:val="24"/>
                <w:szCs w:val="24"/>
              </w:rPr>
              <w:t>9,867,127.65</w:t>
            </w:r>
          </w:p>
        </w:tc>
        <w:tc>
          <w:tcPr>
            <w:tcW w:w="1644" w:type="dxa"/>
            <w:vAlign w:val="center"/>
          </w:tcPr>
          <w:p w:rsidR="00833193" w:rsidRDefault="00EB4AF2">
            <w:pPr>
              <w:jc w:val="right"/>
            </w:pPr>
            <w:r>
              <w:rPr>
                <w:color w:val="000000"/>
                <w:sz w:val="24"/>
                <w:szCs w:val="24"/>
              </w:rPr>
              <w:t>8.60</w:t>
            </w:r>
          </w:p>
        </w:tc>
      </w:tr>
      <w:tr w:rsidR="00833193">
        <w:trPr>
          <w:jc w:val="center"/>
        </w:trPr>
        <w:tc>
          <w:tcPr>
            <w:tcW w:w="855" w:type="dxa"/>
            <w:vAlign w:val="center"/>
          </w:tcPr>
          <w:p w:rsidR="00833193" w:rsidRDefault="00EB4AF2">
            <w:pPr>
              <w:jc w:val="center"/>
            </w:pPr>
            <w:r>
              <w:rPr>
                <w:color w:val="000000"/>
                <w:sz w:val="24"/>
                <w:szCs w:val="24"/>
              </w:rPr>
              <w:t>10</w:t>
            </w:r>
          </w:p>
        </w:tc>
        <w:tc>
          <w:tcPr>
            <w:tcW w:w="1334" w:type="dxa"/>
            <w:vAlign w:val="center"/>
          </w:tcPr>
          <w:p w:rsidR="00833193" w:rsidRDefault="00EB4AF2">
            <w:pPr>
              <w:jc w:val="center"/>
            </w:pPr>
            <w:r>
              <w:rPr>
                <w:color w:val="000000"/>
                <w:sz w:val="24"/>
                <w:szCs w:val="24"/>
              </w:rPr>
              <w:t>000661</w:t>
            </w:r>
          </w:p>
        </w:tc>
        <w:tc>
          <w:tcPr>
            <w:tcW w:w="1777" w:type="dxa"/>
            <w:vAlign w:val="center"/>
          </w:tcPr>
          <w:p w:rsidR="00833193" w:rsidRDefault="00EB4AF2">
            <w:pPr>
              <w:jc w:val="center"/>
            </w:pPr>
            <w:r>
              <w:rPr>
                <w:color w:val="000000"/>
                <w:sz w:val="24"/>
                <w:szCs w:val="24"/>
              </w:rPr>
              <w:t>长春高新</w:t>
            </w:r>
          </w:p>
        </w:tc>
        <w:tc>
          <w:tcPr>
            <w:tcW w:w="1334" w:type="dxa"/>
            <w:vAlign w:val="center"/>
          </w:tcPr>
          <w:p w:rsidR="00833193" w:rsidRDefault="00EB4AF2">
            <w:pPr>
              <w:jc w:val="right"/>
            </w:pPr>
            <w:r>
              <w:rPr>
                <w:color w:val="000000"/>
                <w:sz w:val="24"/>
                <w:szCs w:val="24"/>
              </w:rPr>
              <w:t>17,100</w:t>
            </w:r>
          </w:p>
        </w:tc>
        <w:tc>
          <w:tcPr>
            <w:tcW w:w="1924" w:type="dxa"/>
            <w:vAlign w:val="center"/>
          </w:tcPr>
          <w:p w:rsidR="00833193" w:rsidRDefault="00EB4AF2">
            <w:pPr>
              <w:jc w:val="right"/>
            </w:pPr>
            <w:r>
              <w:rPr>
                <w:color w:val="000000"/>
                <w:sz w:val="24"/>
                <w:szCs w:val="24"/>
              </w:rPr>
              <w:t>5,779,800.00</w:t>
            </w:r>
          </w:p>
        </w:tc>
        <w:tc>
          <w:tcPr>
            <w:tcW w:w="1644" w:type="dxa"/>
            <w:vAlign w:val="center"/>
          </w:tcPr>
          <w:p w:rsidR="00833193" w:rsidRDefault="00EB4AF2">
            <w:pPr>
              <w:jc w:val="right"/>
            </w:pPr>
            <w:r>
              <w:rPr>
                <w:color w:val="000000"/>
                <w:sz w:val="24"/>
                <w:szCs w:val="24"/>
              </w:rPr>
              <w:t>5.04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E808C4" w:rsidRDefault="00E808C4"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E808C4" w:rsidRDefault="00E808C4" w:rsidP="00C15CAC">
      <w:pPr>
        <w:autoSpaceDE w:val="0"/>
        <w:autoSpaceDN w:val="0"/>
        <w:adjustRightInd w:val="0"/>
        <w:spacing w:before="29" w:line="288" w:lineRule="auto"/>
        <w:jc w:val="left"/>
        <w:rPr>
          <w:b/>
          <w:bCs/>
          <w:color w:val="000000"/>
          <w:kern w:val="0"/>
          <w:sz w:val="24"/>
          <w:szCs w:val="24"/>
        </w:rPr>
      </w:pPr>
    </w:p>
    <w:p w:rsidR="004061AC" w:rsidRDefault="008A3E7E"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5.6</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E808C4" w:rsidRDefault="00E808C4" w:rsidP="00C15CAC">
      <w:pPr>
        <w:autoSpaceDE w:val="0"/>
        <w:autoSpaceDN w:val="0"/>
        <w:adjustRightInd w:val="0"/>
        <w:spacing w:before="29" w:line="288" w:lineRule="auto"/>
        <w:jc w:val="left"/>
        <w:rPr>
          <w:b/>
          <w:bCs/>
          <w:color w:val="000000"/>
          <w:kern w:val="0"/>
          <w:sz w:val="24"/>
          <w:szCs w:val="24"/>
        </w:rPr>
      </w:pPr>
      <w:bookmarkStart w:id="0" w:name="_GoBack"/>
      <w:bookmarkEnd w:id="0"/>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70,895.43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1,729.13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20,518.78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93,143.34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E808C4" w:rsidRDefault="00E808C4" w:rsidP="00C15CAC">
      <w:pPr>
        <w:autoSpaceDE w:val="0"/>
        <w:autoSpaceDN w:val="0"/>
        <w:adjustRightInd w:val="0"/>
        <w:spacing w:before="29" w:line="288" w:lineRule="auto"/>
        <w:jc w:val="left"/>
        <w:rPr>
          <w:bCs/>
          <w:color w:val="000000"/>
          <w:kern w:val="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117,810,214.32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8,095,853.64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32,637,882.29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93,268,185.67</w:t>
            </w:r>
          </w:p>
        </w:tc>
      </w:tr>
    </w:tbl>
    <w:p w:rsidR="00833193" w:rsidRDefault="00EB4AF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E808C4">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E808C4" w:rsidRDefault="003C50AD" w:rsidP="003C50AD">
      <w:pPr>
        <w:spacing w:line="360" w:lineRule="auto"/>
        <w:ind w:firstLineChars="200" w:firstLine="480"/>
        <w:rPr>
          <w:rFonts w:ascii="宋体" w:hAnsi="宋体"/>
          <w:color w:val="000000"/>
          <w:sz w:val="24"/>
          <w:szCs w:val="24"/>
        </w:rPr>
      </w:pPr>
      <w:r w:rsidRPr="00E808C4">
        <w:rPr>
          <w:rFonts w:ascii="宋体" w:hAnsi="宋体"/>
          <w:color w:val="000000"/>
          <w:sz w:val="24"/>
          <w:szCs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33193" w:rsidRDefault="00EB4AF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、中国证监会准予交银施罗德股息优化混合型证券投资基金募集注册的文件；</w:t>
      </w:r>
      <w:r>
        <w:rPr>
          <w:color w:val="000000"/>
          <w:sz w:val="24"/>
          <w:szCs w:val="24"/>
        </w:rPr>
        <w:t xml:space="preserve"> </w:t>
      </w:r>
    </w:p>
    <w:p w:rsidR="00833193" w:rsidRDefault="00EB4AF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、《交银施罗德股息优化混合型证券投资基金基金合同》；</w:t>
      </w:r>
      <w:r>
        <w:rPr>
          <w:color w:val="000000"/>
          <w:sz w:val="24"/>
          <w:szCs w:val="24"/>
        </w:rPr>
        <w:t xml:space="preserve"> </w:t>
      </w:r>
    </w:p>
    <w:p w:rsidR="00833193" w:rsidRDefault="00EB4AF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、《交银施罗德股息优化混合型证券投资基金招募说明书》；</w:t>
      </w:r>
      <w:r>
        <w:rPr>
          <w:color w:val="000000"/>
          <w:sz w:val="24"/>
          <w:szCs w:val="24"/>
        </w:rPr>
        <w:t xml:space="preserve"> </w:t>
      </w:r>
    </w:p>
    <w:p w:rsidR="00833193" w:rsidRDefault="00EB4AF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、《交银施罗德股息优化混合型证券投资基金托管协议》；</w:t>
      </w:r>
      <w:r>
        <w:rPr>
          <w:color w:val="000000"/>
          <w:sz w:val="24"/>
          <w:szCs w:val="24"/>
        </w:rPr>
        <w:t xml:space="preserve"> </w:t>
      </w:r>
    </w:p>
    <w:p w:rsidR="00833193" w:rsidRDefault="00EB4AF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、关于申请募集注册交银施罗德股息优化混合型证券投资基金的法律意见书；</w:t>
      </w:r>
      <w:r>
        <w:rPr>
          <w:color w:val="000000"/>
          <w:sz w:val="24"/>
          <w:szCs w:val="24"/>
        </w:rPr>
        <w:t xml:space="preserve"> </w:t>
      </w:r>
    </w:p>
    <w:p w:rsidR="00833193" w:rsidRDefault="00EB4AF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833193" w:rsidRDefault="00EB4AF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、报告期内交银施罗德股息优化混合型证券投资基金在指定报刊上各项公告的原稿。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33193" w:rsidRDefault="00EB4AF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7F2" w:rsidRDefault="002757F2" w:rsidP="00876D65">
      <w:r>
        <w:separator/>
      </w:r>
    </w:p>
  </w:endnote>
  <w:endnote w:type="continuationSeparator" w:id="0">
    <w:p w:rsidR="002757F2" w:rsidRDefault="002757F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8A3E7E">
      <w:rPr>
        <w:noProof/>
        <w:kern w:val="0"/>
        <w:szCs w:val="21"/>
      </w:rPr>
      <w:t>11</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8A3E7E">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7F2" w:rsidRDefault="002757F2" w:rsidP="00876D65">
      <w:r>
        <w:separator/>
      </w:r>
    </w:p>
  </w:footnote>
  <w:footnote w:type="continuationSeparator" w:id="0">
    <w:p w:rsidR="002757F2" w:rsidRDefault="002757F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交银施罗德股息优化混合型证券投资基金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57F2"/>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3193"/>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3E7E"/>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228A"/>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08C4"/>
    <w:rsid w:val="00E84C7E"/>
    <w:rsid w:val="00E85E4B"/>
    <w:rsid w:val="00E8670B"/>
    <w:rsid w:val="00EA1826"/>
    <w:rsid w:val="00EA70F1"/>
    <w:rsid w:val="00EB2516"/>
    <w:rsid w:val="00EB2C07"/>
    <w:rsid w:val="00EB4AF2"/>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E3DD1-3889-4E57-945E-5003B22C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1818</TotalTime>
  <Pages>11</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593</cp:revision>
  <dcterms:created xsi:type="dcterms:W3CDTF">2012-10-16T06:07:00Z</dcterms:created>
  <dcterms:modified xsi:type="dcterms:W3CDTF">2019-07-12T10:22:00Z</dcterms:modified>
</cp:coreProperties>
</file>