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交银施罗德定期支付双息平衡混合型证券投资基金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交银定期支付双息平衡混合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519732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519732</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2013年9月4日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511,134,592.80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50%×中证红利指数收益率+50%×中债综合全价指数收益率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本基金是一只混合型基金，在证券投资基金中属于较高风险的品种，其长期平均风险和预期收益高于货币市场基金和债券型基金，低于股票型基金。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25,606,293.45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-9,322,543.66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-0.0165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1,593,347,577.19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3.117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-0.16%</w:t>
            </w:r>
          </w:p>
        </w:tc>
        <w:tc>
          <w:tcPr>
            <w:vAlign w:val="center"/>
          </w:tcPr>
          <w:p>
            <w:pPr>
              <w:jc w:val="center"/>
            </w:pPr>
            <w:r>
              <w:rPr>
                <w:color w:val="000000"/>
                <w:sz w:val="24"/>
                <w:szCs w:val="24"/>
              </w:rPr>
              <w:t>1.22%</w:t>
            </w:r>
          </w:p>
        </w:tc>
        <w:tc>
          <w:tcPr>
            <w:vAlign w:val="center"/>
          </w:tcPr>
          <w:p>
            <w:pPr>
              <w:jc w:val="center"/>
            </w:pPr>
            <w:r>
              <w:rPr>
                <w:color w:val="000000"/>
                <w:sz w:val="24"/>
                <w:szCs w:val="24"/>
              </w:rPr>
              <w:t>-3.57%</w:t>
            </w:r>
          </w:p>
        </w:tc>
        <w:tc>
          <w:tcPr>
            <w:vAlign w:val="center"/>
          </w:tcPr>
          <w:p>
            <w:pPr>
              <w:jc w:val="center"/>
            </w:pPr>
            <w:r>
              <w:rPr>
                <w:color w:val="000000"/>
                <w:sz w:val="24"/>
                <w:szCs w:val="24"/>
              </w:rPr>
              <w:t>0.69%</w:t>
            </w:r>
          </w:p>
        </w:tc>
        <w:tc>
          <w:tcPr>
            <w:vAlign w:val="center"/>
          </w:tcPr>
          <w:p>
            <w:pPr>
              <w:jc w:val="center"/>
            </w:pPr>
            <w:r>
              <w:rPr>
                <w:color w:val="000000"/>
                <w:sz w:val="24"/>
                <w:szCs w:val="24"/>
              </w:rPr>
              <w:t>3.41%</w:t>
            </w:r>
          </w:p>
        </w:tc>
        <w:tc>
          <w:tcPr>
            <w:vAlign w:val="center"/>
          </w:tcPr>
          <w:p>
            <w:pPr>
              <w:jc w:val="center"/>
            </w:pPr>
            <w:r>
              <w:rPr>
                <w:color w:val="000000"/>
                <w:sz w:val="24"/>
                <w:szCs w:val="24"/>
              </w:rPr>
              <w:t>0.53%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交银施罗德定期支付双息平衡混合型证券投资基金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2013年9月4日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杨浩</w:t>
            </w:r>
          </w:p>
        </w:tc>
        <w:tc>
          <w:tcPr>
            <w:vAlign w:val="center"/>
          </w:tcPr>
          <w:p>
            <w:pPr>
              <w:jc w:val="center"/>
            </w:pPr>
            <w:r>
              <w:rPr>
                <w:color w:val="000000"/>
                <w:sz w:val="24"/>
                <w:szCs w:val="24"/>
              </w:rPr>
              <w:t>交银定期支付双息平衡混合、交银新生活力灵活配置混合的基金经理</w:t>
            </w:r>
          </w:p>
        </w:tc>
        <w:tc>
          <w:tcPr>
            <w:vAlign w:val="center"/>
          </w:tcPr>
          <w:p>
            <w:pPr>
              <w:jc w:val="center"/>
            </w:pPr>
            <w:r>
              <w:rPr>
                <w:color w:val="000000"/>
                <w:sz w:val="24"/>
                <w:szCs w:val="24"/>
              </w:rPr>
              <w:t>2015-08-15</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杨浩先生，北京邮电大学通信与信息系统专业硕士。2010年加入交银施罗德基金管理有限公司，历任行业分析师。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第二季度，经济政策相较非常宽松的一季度有所调整，个别银行信用风险暴露对信用环境产生一定负面影响，一季度大幅上涨的高风险偏好资产回落，创业板回撤较大。而以沪深300，上证50为代表的蓝筹核心资产则表现得相当强势。</w:t>
      </w:r>
    </w:p>
    <w:p>
      <w:pPr>
        <w:spacing w:before="29" w:line="288" w:lineRule="auto"/>
        <w:ind w:firstLine="480" w:firstLineChars="200"/>
        <w:rPr>
          <w:color w:val="000000"/>
          <w:sz w:val="24"/>
          <w:szCs w:val="24"/>
        </w:rPr>
      </w:pPr>
      <w:r>
        <w:rPr>
          <w:color w:val="000000"/>
          <w:sz w:val="24"/>
          <w:szCs w:val="24"/>
        </w:rPr>
        <w:t>国内存量经济的环境和全球化分工受阻，使得需求端投资逻辑受到阻碍，供给端——产业链议价能力、竞争格局优秀的存量创新成为主要的投资逻辑，蓝筹核心资产因其强大的资源禀赋在供给端表现优异，部分成长核心资产也因为出色的运营能力在供给端表现出色。在消费升级大背景下，蓝筹核心资产表现得更加优秀。这个观点被市场认识的较为充分，在季度末，该类资产估值达到较高位置，机构持仓重，我们认为短期需要对性价比重新评估。而六月底的中美高层对话后，新的国内政策变化可能需要关注是否有新的投资判断催化剂出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我们在一季报中指出：“从长期的角度，国内外政治经济的新常态仍然需要得到产业界和资本界的清醒认识，放弃对数量型发展模式的复辟预期，探索质量型发展模式的具象仍然任重道远。”这个中长期观点在一次次的获得验证，我们始终坚持这个观点。但在投资实践的过程中，我们仍然需要不断的学习。在这个季度中，我们投资的一个标的出现重大的基本面变化，短期内给净值和规模造成波动，我们迅速的组织研究力量去重新给该标的客观的评估，并做出新的组合管理决策。经历此风波后，我们进一步升华了投资框架。剥开专业术语和商业模型的外衣，将企业是否真正为客户持续创造价值放在第一优先级上。我们将使用新的研究框架指导我们的投资组合管理，持仓结构上看，我们持有政企软件、互联网服务、民生消费以及高端制造四个方向比较多。我们将继续寻找具备新时代背景的优秀公司投资，持续稳健地为持有人服务。</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1,103,558,709.44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68.40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1,103,558,709.44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68.40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99,490,000.00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99,490,000.00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403,160,133.20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24.99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7,115,431.62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1,613,324,274.26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363,431.25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238,212,016.07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14.95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36,183,219.00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10,086,768.00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396,332,358.11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33,869.94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30,992,204.43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80,704,252.80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5.07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139,167,485.95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36,186,002.94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135,297,100.95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1,103,558,709.44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69.26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10,136,015</w:t>
            </w:r>
          </w:p>
        </w:tc>
        <w:tc>
          <w:tcPr>
            <w:vAlign w:val="center"/>
          </w:tcPr>
          <w:p>
            <w:pPr>
              <w:jc w:val="right"/>
            </w:pPr>
            <w:r>
              <w:rPr>
                <w:color w:val="000000"/>
                <w:sz w:val="24"/>
                <w:szCs w:val="24"/>
              </w:rPr>
              <w:t>139,167,485.95</w:t>
            </w:r>
          </w:p>
        </w:tc>
        <w:tc>
          <w:tcPr>
            <w:vAlign w:val="center"/>
          </w:tcPr>
          <w:p>
            <w:pPr>
              <w:jc w:val="right"/>
            </w:pPr>
            <w:r>
              <w:rPr>
                <w:color w:val="000000"/>
                <w:sz w:val="24"/>
                <w:szCs w:val="24"/>
              </w:rPr>
              <w:t>8.73</w:t>
            </w:r>
          </w:p>
        </w:tc>
      </w:tr>
      <w:tr>
        <w:tc>
          <w:tcPr>
            <w:vAlign w:val="center"/>
          </w:tcPr>
          <w:p>
            <w:pPr>
              <w:jc w:val="center"/>
            </w:pPr>
            <w:r>
              <w:rPr>
                <w:color w:val="000000"/>
                <w:sz w:val="24"/>
                <w:szCs w:val="24"/>
              </w:rPr>
              <w:t>2</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3,295,347</w:t>
            </w:r>
          </w:p>
        </w:tc>
        <w:tc>
          <w:tcPr>
            <w:vAlign w:val="center"/>
          </w:tcPr>
          <w:p>
            <w:pPr>
              <w:jc w:val="right"/>
            </w:pPr>
            <w:r>
              <w:rPr>
                <w:color w:val="000000"/>
                <w:sz w:val="24"/>
                <w:szCs w:val="24"/>
              </w:rPr>
              <w:t>135,273,994.35</w:t>
            </w:r>
          </w:p>
        </w:tc>
        <w:tc>
          <w:tcPr>
            <w:vAlign w:val="center"/>
          </w:tcPr>
          <w:p>
            <w:pPr>
              <w:jc w:val="right"/>
            </w:pPr>
            <w:r>
              <w:rPr>
                <w:color w:val="000000"/>
                <w:sz w:val="24"/>
                <w:szCs w:val="24"/>
              </w:rPr>
              <w:t>8.49</w:t>
            </w:r>
          </w:p>
        </w:tc>
      </w:tr>
      <w:tr>
        <w:tc>
          <w:tcPr>
            <w:vAlign w:val="center"/>
          </w:tcPr>
          <w:p>
            <w:pPr>
              <w:jc w:val="center"/>
            </w:pPr>
            <w:r>
              <w:rPr>
                <w:color w:val="000000"/>
                <w:sz w:val="24"/>
                <w:szCs w:val="24"/>
              </w:rPr>
              <w:t>3</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5,944,580</w:t>
            </w:r>
          </w:p>
        </w:tc>
        <w:tc>
          <w:tcPr>
            <w:vAlign w:val="center"/>
          </w:tcPr>
          <w:p>
            <w:pPr>
              <w:jc w:val="right"/>
            </w:pPr>
            <w:r>
              <w:rPr>
                <w:color w:val="000000"/>
                <w:sz w:val="24"/>
                <w:szCs w:val="24"/>
              </w:rPr>
              <w:t>105,991,861.40</w:t>
            </w:r>
          </w:p>
        </w:tc>
        <w:tc>
          <w:tcPr>
            <w:vAlign w:val="center"/>
          </w:tcPr>
          <w:p>
            <w:pPr>
              <w:jc w:val="right"/>
            </w:pPr>
            <w:r>
              <w:rPr>
                <w:color w:val="000000"/>
                <w:sz w:val="24"/>
                <w:szCs w:val="24"/>
              </w:rPr>
              <w:t>6.65</w:t>
            </w:r>
          </w:p>
        </w:tc>
      </w:tr>
      <w:tr>
        <w:tc>
          <w:tcPr>
            <w:vAlign w:val="center"/>
          </w:tcPr>
          <w:p>
            <w:pPr>
              <w:jc w:val="center"/>
            </w:pPr>
            <w:r>
              <w:rPr>
                <w:color w:val="000000"/>
                <w:sz w:val="24"/>
                <w:szCs w:val="24"/>
              </w:rPr>
              <w:t>4</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7,472,616</w:t>
            </w:r>
          </w:p>
        </w:tc>
        <w:tc>
          <w:tcPr>
            <w:vAlign w:val="center"/>
          </w:tcPr>
          <w:p>
            <w:pPr>
              <w:jc w:val="right"/>
            </w:pPr>
            <w:r>
              <w:rPr>
                <w:color w:val="000000"/>
                <w:sz w:val="24"/>
                <w:szCs w:val="24"/>
              </w:rPr>
              <w:t>80,704,252.80</w:t>
            </w:r>
          </w:p>
        </w:tc>
        <w:tc>
          <w:tcPr>
            <w:vAlign w:val="center"/>
          </w:tcPr>
          <w:p>
            <w:pPr>
              <w:jc w:val="right"/>
            </w:pPr>
            <w:r>
              <w:rPr>
                <w:color w:val="000000"/>
                <w:sz w:val="24"/>
                <w:szCs w:val="24"/>
              </w:rPr>
              <w:t>5.07</w:t>
            </w:r>
          </w:p>
        </w:tc>
      </w:tr>
      <w:tr>
        <w:tc>
          <w:tcPr>
            <w:vAlign w:val="center"/>
          </w:tcPr>
          <w:p>
            <w:pPr>
              <w:jc w:val="center"/>
            </w:pPr>
            <w:r>
              <w:rPr>
                <w:color w:val="000000"/>
                <w:sz w:val="24"/>
                <w:szCs w:val="24"/>
              </w:rPr>
              <w:t>5</w:t>
            </w:r>
          </w:p>
        </w:tc>
        <w:tc>
          <w:tcPr>
            <w:vAlign w:val="center"/>
          </w:tcPr>
          <w:p>
            <w:pPr>
              <w:jc w:val="center"/>
            </w:pPr>
            <w:r>
              <w:rPr>
                <w:color w:val="000000"/>
                <w:sz w:val="24"/>
                <w:szCs w:val="24"/>
              </w:rPr>
              <w:t>002410</w:t>
            </w:r>
          </w:p>
        </w:tc>
        <w:tc>
          <w:tcPr>
            <w:vAlign w:val="center"/>
          </w:tcPr>
          <w:p>
            <w:pPr>
              <w:jc w:val="center"/>
            </w:pPr>
            <w:r>
              <w:rPr>
                <w:color w:val="000000"/>
                <w:sz w:val="24"/>
                <w:szCs w:val="24"/>
              </w:rPr>
              <w:t>广联达</w:t>
            </w:r>
          </w:p>
        </w:tc>
        <w:tc>
          <w:tcPr>
            <w:vAlign w:val="center"/>
          </w:tcPr>
          <w:p>
            <w:pPr>
              <w:jc w:val="right"/>
            </w:pPr>
            <w:r>
              <w:rPr>
                <w:color w:val="000000"/>
                <w:sz w:val="24"/>
                <w:szCs w:val="24"/>
              </w:rPr>
              <w:t>2,421,959</w:t>
            </w:r>
          </w:p>
        </w:tc>
        <w:tc>
          <w:tcPr>
            <w:vAlign w:val="center"/>
          </w:tcPr>
          <w:p>
            <w:pPr>
              <w:jc w:val="right"/>
            </w:pPr>
            <w:r>
              <w:rPr>
                <w:color w:val="000000"/>
                <w:sz w:val="24"/>
                <w:szCs w:val="24"/>
              </w:rPr>
              <w:t>79,658,231.51</w:t>
            </w:r>
          </w:p>
        </w:tc>
        <w:tc>
          <w:tcPr>
            <w:vAlign w:val="center"/>
          </w:tcPr>
          <w:p>
            <w:pPr>
              <w:jc w:val="right"/>
            </w:pPr>
            <w:r>
              <w:rPr>
                <w:color w:val="000000"/>
                <w:sz w:val="24"/>
                <w:szCs w:val="24"/>
              </w:rPr>
              <w:t>5.00</w:t>
            </w:r>
          </w:p>
        </w:tc>
      </w:tr>
      <w:tr>
        <w:tc>
          <w:tcPr>
            <w:vAlign w:val="center"/>
          </w:tcPr>
          <w:p>
            <w:pPr>
              <w:jc w:val="center"/>
            </w:pPr>
            <w:r>
              <w:rPr>
                <w:color w:val="000000"/>
                <w:sz w:val="24"/>
                <w:szCs w:val="24"/>
              </w:rPr>
              <w:t>6</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3,350,954</w:t>
            </w:r>
          </w:p>
        </w:tc>
        <w:tc>
          <w:tcPr>
            <w:vAlign w:val="center"/>
          </w:tcPr>
          <w:p>
            <w:pPr>
              <w:jc w:val="right"/>
            </w:pPr>
            <w:r>
              <w:rPr>
                <w:color w:val="000000"/>
                <w:sz w:val="24"/>
                <w:szCs w:val="24"/>
              </w:rPr>
              <w:t>75,932,617.64</w:t>
            </w:r>
          </w:p>
        </w:tc>
        <w:tc>
          <w:tcPr>
            <w:vAlign w:val="center"/>
          </w:tcPr>
          <w:p>
            <w:pPr>
              <w:jc w:val="right"/>
            </w:pPr>
            <w:r>
              <w:rPr>
                <w:color w:val="000000"/>
                <w:sz w:val="24"/>
                <w:szCs w:val="24"/>
              </w:rPr>
              <w:t>4.77</w:t>
            </w:r>
          </w:p>
        </w:tc>
      </w:tr>
      <w:tr>
        <w:tc>
          <w:tcPr>
            <w:vAlign w:val="center"/>
          </w:tcPr>
          <w:p>
            <w:pPr>
              <w:jc w:val="center"/>
            </w:pPr>
            <w:r>
              <w:rPr>
                <w:color w:val="000000"/>
                <w:sz w:val="24"/>
                <w:szCs w:val="24"/>
              </w:rPr>
              <w:t>7</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5,626,796</w:t>
            </w:r>
          </w:p>
        </w:tc>
        <w:tc>
          <w:tcPr>
            <w:vAlign w:val="center"/>
          </w:tcPr>
          <w:p>
            <w:pPr>
              <w:jc w:val="right"/>
            </w:pPr>
            <w:r>
              <w:rPr>
                <w:color w:val="000000"/>
                <w:sz w:val="24"/>
                <w:szCs w:val="24"/>
              </w:rPr>
              <w:t>74,594,085.80</w:t>
            </w:r>
          </w:p>
        </w:tc>
        <w:tc>
          <w:tcPr>
            <w:vAlign w:val="center"/>
          </w:tcPr>
          <w:p>
            <w:pPr>
              <w:jc w:val="right"/>
            </w:pPr>
            <w:r>
              <w:rPr>
                <w:color w:val="000000"/>
                <w:sz w:val="24"/>
                <w:szCs w:val="24"/>
              </w:rPr>
              <w:t>4.68</w:t>
            </w:r>
          </w:p>
        </w:tc>
      </w:tr>
      <w:tr>
        <w:tc>
          <w:tcPr>
            <w:vAlign w:val="center"/>
          </w:tcPr>
          <w:p>
            <w:pPr>
              <w:jc w:val="center"/>
            </w:pPr>
            <w:r>
              <w:rPr>
                <w:color w:val="000000"/>
                <w:sz w:val="24"/>
                <w:szCs w:val="24"/>
              </w:rPr>
              <w:t>8</w:t>
            </w:r>
          </w:p>
        </w:tc>
        <w:tc>
          <w:tcPr>
            <w:vAlign w:val="center"/>
          </w:tcPr>
          <w:p>
            <w:pPr>
              <w:jc w:val="center"/>
            </w:pPr>
            <w:r>
              <w:rPr>
                <w:color w:val="000000"/>
                <w:sz w:val="24"/>
                <w:szCs w:val="24"/>
              </w:rPr>
              <w:t>603039</w:t>
            </w:r>
          </w:p>
        </w:tc>
        <w:tc>
          <w:tcPr>
            <w:vAlign w:val="center"/>
          </w:tcPr>
          <w:p>
            <w:pPr>
              <w:jc w:val="center"/>
            </w:pPr>
            <w:r>
              <w:rPr>
                <w:color w:val="000000"/>
                <w:sz w:val="24"/>
                <w:szCs w:val="24"/>
              </w:rPr>
              <w:t>泛微网络</w:t>
            </w:r>
          </w:p>
        </w:tc>
        <w:tc>
          <w:tcPr>
            <w:vAlign w:val="center"/>
          </w:tcPr>
          <w:p>
            <w:pPr>
              <w:jc w:val="right"/>
            </w:pPr>
            <w:r>
              <w:rPr>
                <w:color w:val="000000"/>
                <w:sz w:val="24"/>
                <w:szCs w:val="24"/>
              </w:rPr>
              <w:t>950,998</w:t>
            </w:r>
          </w:p>
        </w:tc>
        <w:tc>
          <w:tcPr>
            <w:vAlign w:val="center"/>
          </w:tcPr>
          <w:p>
            <w:pPr>
              <w:jc w:val="right"/>
            </w:pPr>
            <w:r>
              <w:rPr>
                <w:color w:val="000000"/>
                <w:sz w:val="24"/>
                <w:szCs w:val="24"/>
              </w:rPr>
              <w:t>70,564,051.60</w:t>
            </w:r>
          </w:p>
        </w:tc>
        <w:tc>
          <w:tcPr>
            <w:vAlign w:val="center"/>
          </w:tcPr>
          <w:p>
            <w:pPr>
              <w:jc w:val="right"/>
            </w:pPr>
            <w:r>
              <w:rPr>
                <w:color w:val="000000"/>
                <w:sz w:val="24"/>
                <w:szCs w:val="24"/>
              </w:rPr>
              <w:t>4.43</w:t>
            </w:r>
          </w:p>
        </w:tc>
      </w:tr>
      <w:tr>
        <w:tc>
          <w:tcPr>
            <w:vAlign w:val="center"/>
          </w:tcPr>
          <w:p>
            <w:pPr>
              <w:jc w:val="center"/>
            </w:pPr>
            <w:r>
              <w:rPr>
                <w:color w:val="000000"/>
                <w:sz w:val="24"/>
                <w:szCs w:val="24"/>
              </w:rPr>
              <w:t>9</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4,536,007</w:t>
            </w:r>
          </w:p>
        </w:tc>
        <w:tc>
          <w:tcPr>
            <w:vAlign w:val="center"/>
          </w:tcPr>
          <w:p>
            <w:pPr>
              <w:jc w:val="right"/>
            </w:pPr>
            <w:r>
              <w:rPr>
                <w:color w:val="000000"/>
                <w:sz w:val="24"/>
                <w:szCs w:val="24"/>
              </w:rPr>
              <w:t>52,254,800.64</w:t>
            </w:r>
          </w:p>
        </w:tc>
        <w:tc>
          <w:tcPr>
            <w:vAlign w:val="center"/>
          </w:tcPr>
          <w:p>
            <w:pPr>
              <w:jc w:val="right"/>
            </w:pPr>
            <w:r>
              <w:rPr>
                <w:color w:val="000000"/>
                <w:sz w:val="24"/>
                <w:szCs w:val="24"/>
              </w:rPr>
              <w:t>3.28</w:t>
            </w:r>
          </w:p>
        </w:tc>
      </w:tr>
      <w:tr>
        <w:tc>
          <w:tcPr>
            <w:vAlign w:val="center"/>
          </w:tcPr>
          <w:p>
            <w:pPr>
              <w:jc w:val="center"/>
            </w:pPr>
            <w:r>
              <w:rPr>
                <w:color w:val="000000"/>
                <w:sz w:val="24"/>
                <w:szCs w:val="24"/>
              </w:rPr>
              <w:t>10</w:t>
            </w:r>
          </w:p>
        </w:tc>
        <w:tc>
          <w:tcPr>
            <w:vAlign w:val="center"/>
          </w:tcPr>
          <w:p>
            <w:pPr>
              <w:jc w:val="center"/>
            </w:pPr>
            <w:r>
              <w:rPr>
                <w:color w:val="000000"/>
                <w:sz w:val="24"/>
                <w:szCs w:val="24"/>
              </w:rPr>
              <w:t>002230</w:t>
            </w:r>
          </w:p>
        </w:tc>
        <w:tc>
          <w:tcPr>
            <w:vAlign w:val="center"/>
          </w:tcPr>
          <w:p>
            <w:pPr>
              <w:jc w:val="center"/>
            </w:pPr>
            <w:r>
              <w:rPr>
                <w:color w:val="000000"/>
                <w:sz w:val="24"/>
                <w:szCs w:val="24"/>
              </w:rPr>
              <w:t>科大讯飞</w:t>
            </w:r>
          </w:p>
        </w:tc>
        <w:tc>
          <w:tcPr>
            <w:vAlign w:val="center"/>
          </w:tcPr>
          <w:p>
            <w:pPr>
              <w:jc w:val="right"/>
            </w:pPr>
            <w:r>
              <w:rPr>
                <w:color w:val="000000"/>
                <w:sz w:val="24"/>
                <w:szCs w:val="24"/>
              </w:rPr>
              <w:t>1,333,570</w:t>
            </w:r>
          </w:p>
        </w:tc>
        <w:tc>
          <w:tcPr>
            <w:vAlign w:val="center"/>
          </w:tcPr>
          <w:p>
            <w:pPr>
              <w:jc w:val="right"/>
            </w:pPr>
            <w:r>
              <w:rPr>
                <w:color w:val="000000"/>
                <w:sz w:val="24"/>
                <w:szCs w:val="24"/>
              </w:rPr>
              <w:t>44,327,866.80</w:t>
            </w:r>
          </w:p>
        </w:tc>
        <w:tc>
          <w:tcPr>
            <w:vAlign w:val="center"/>
          </w:tcPr>
          <w:p>
            <w:pPr>
              <w:jc w:val="right"/>
            </w:pPr>
            <w:r>
              <w:rPr>
                <w:color w:val="000000"/>
                <w:sz w:val="24"/>
                <w:szCs w:val="24"/>
              </w:rPr>
              <w:t>2.78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roofErr w:type="spellStart"/>
            <w:r w:rsidR="00F71057" w:rsidRPr="00414345">
              <w:rPr>
                <w:color w:val="000000"/>
                <w:sz w:val="24"/>
                <w:szCs w:val="24"/>
              </w:rPr>
              <w:t/>
            </w:r>
            <w:proofErr w:type="spellEnd"/>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99,490,000.00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6.24</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99,490,000.00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6.24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199914</w:t>
            </w:r>
          </w:p>
        </w:tc>
        <w:tc>
          <w:tcPr>
            <w:vAlign w:val="center"/>
          </w:tcPr>
          <w:p>
            <w:pPr>
              <w:jc w:val="center"/>
            </w:pPr>
            <w:r>
              <w:rPr>
                <w:color w:val="000000"/>
                <w:sz w:val="24"/>
                <w:szCs w:val="24"/>
              </w:rPr>
              <w:t>19贴现国债14</w:t>
            </w:r>
          </w:p>
        </w:tc>
        <w:tc>
          <w:tcPr>
            <w:vAlign w:val="center"/>
          </w:tcPr>
          <w:p>
            <w:pPr>
              <w:jc w:val="right"/>
            </w:pPr>
            <w:r>
              <w:rPr>
                <w:color w:val="000000"/>
                <w:sz w:val="24"/>
                <w:szCs w:val="24"/>
              </w:rPr>
              <w:t>1,000,000</w:t>
            </w:r>
          </w:p>
        </w:tc>
        <w:tc>
          <w:tcPr>
            <w:vAlign w:val="center"/>
          </w:tcPr>
          <w:p>
            <w:pPr>
              <w:jc w:val="right"/>
            </w:pPr>
            <w:r>
              <w:rPr>
                <w:color w:val="000000"/>
                <w:sz w:val="24"/>
                <w:szCs w:val="24"/>
              </w:rPr>
              <w:t>99,490,000.00</w:t>
            </w:r>
          </w:p>
        </w:tc>
        <w:tc>
          <w:tcPr>
            <w:vAlign w:val="center"/>
          </w:tcPr>
          <w:p>
            <w:pPr>
              <w:jc w:val="right"/>
            </w:pPr>
            <w:r>
              <w:rPr>
                <w:color w:val="000000"/>
                <w:sz w:val="24"/>
                <w:szCs w:val="24"/>
              </w:rPr>
              <w:t>6.24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727,893.30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3,224,029.32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526,873.83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2,636,635.17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7,115,431.62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21,386,000.00</w:t>
            </w:r>
          </w:p>
        </w:tc>
        <w:tc>
          <w:tcPr>
            <w:vAlign w:val="center"/>
          </w:tcPr>
          <w:p>
            <w:pPr>
              <w:jc w:val="right"/>
            </w:pPr>
            <w:r>
              <w:rPr>
                <w:color w:val="000000"/>
                <w:sz w:val="24"/>
                <w:szCs w:val="24"/>
              </w:rPr>
              <w:t>1.34</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662,006,249.35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104,182,617.72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255,054,274.27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511,134,592.80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1、中国证监会批准交银施罗德定期支付双息平衡混合型证券投资基金募集的文件；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2、《交银施罗德定期支付双息平衡混合型证券投资基金基金合同》；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3、《交银施罗德定期支付双息平衡混合型证券投资基金招募说明书》；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4、《交银施罗德定期支付双息平衡混合型证券投资基金托管协议》；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5、关于募集交银施罗德定期支付双息平衡混合型证券投资基金之法律意见书；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8、报告期内交银施罗德定期支付双息平衡混合型证券投资基金在指定报刊上各项公告的原稿。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交银施罗德定期支付双息平衡混合型证券投资基金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