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交银施罗德成长30混合型证券投资基金</w:t>
      </w:r>
    </w:p>
    <w:p w:rsidP="00C15CAC" w:rsidR="002279D3" w:rsidRDefault="002279D3" w:rsidRPr="0081286B">
      <w:pPr>
        <w:spacing w:before="29" w:line="288" w:lineRule="auto"/>
        <w:jc w:val="center"/>
        <w:rPr>
          <w:b/>
          <w:sz w:val="36"/>
          <w:szCs w:val="36"/>
        </w:rPr>
      </w:pPr>
      <w:r w:rsidRPr="0081286B">
        <w:rPr>
          <w:b/>
          <w:sz w:val="36"/>
          <w:szCs w:val="36"/>
        </w:rPr>
        <w:t/>
      </w:r>
      <w:proofErr w:type="spellStart"/>
      <w:r w:rsidRPr="0081286B">
        <w:rPr>
          <w:b/>
          <w:sz w:val="36"/>
          <w:szCs w:val="36"/>
        </w:rPr>
        <w:t/>
      </w:r>
      <w:proofErr w:type="spellEnd"/>
      <w:r w:rsidRPr="0081286B">
        <w:rPr>
          <w:b/>
          <w:sz w:val="36"/>
          <w:szCs w:val="36"/>
        </w:rPr>
        <w:t>2019年第2季度报告</w:t>
      </w:r>
    </w:p>
    <w:p w:rsidP="00C15CAC" w:rsidR="004061AC" w:rsidRDefault="00655CD8"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2019年6月30日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proofErr w:type="spellStart"/>
      <w:proofErr w:type="gramStart"/>
      <w:r w:rsidR="00F16E3F" w:rsidRPr="0081286B">
        <w:rPr>
          <w:b/>
          <w:color w:val="000000"/>
          <w:sz w:val="24"/>
          <w:szCs w:val="24"/>
        </w:rPr>
        <w:t/>
      </w:r>
      <w:r w:rsidR="0042009D" w:rsidRPr="0081286B">
        <w:rPr>
          <w:b/>
          <w:color w:val="000000"/>
          <w:sz w:val="24"/>
          <w:szCs w:val="24"/>
        </w:rPr>
        <w:t/>
      </w:r>
      <w:proofErr w:type="spellEnd"/>
      <w:proofErr w:type="gramEnd"/>
      <w:r w:rsidR="00F16E3F" w:rsidRPr="0081286B">
        <w:rPr>
          <w:b/>
          <w:color w:val="000000"/>
          <w:sz w:val="24"/>
          <w:szCs w:val="24"/>
        </w:rPr>
        <w:t>二〇一九年七月十七日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本报告期自2019年4月1日起至6月30日止。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交银成长30混合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519727</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2013年6月5日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239,296,318.14</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本基金属于成长型混合型基金，主要通过投资于不超过30只精选的成长型上市公司股票，在适度控制风险并保持基金资产良好流动性的前提下，为基金份额持有人谋求长期、稳定的资本增值。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30只股票的集中持股策略，为基金资产谋求长期稳健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75%×富时中国A600成长指数收益率+25%×中证综合债券指数收益率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 xml:space="preserve">本基金是一只混合型基金，以成长型股票为主要投资对象，其风险和预期收益高于债券型基金和货币市场基金，低于股票型基金。属于承担较高风险、预期收益较高的证券投资基金品种。 </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roofErr w:type="spellStart"/>
            <w:r w:rsidR="00D96C8D" w:rsidRPr="00414345">
              <w:rPr>
                <w:kern w:val="0"/>
                <w:sz w:val="24"/>
                <w:szCs w:val="24"/>
              </w:rPr>
              <w:t/>
            </w:r>
            <w:proofErr w:type="spellEnd"/>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w:t>
            </w:r>
            <w:proofErr w:type="spellStart"/>
            <w:r w:rsidRPr="00414345">
              <w:rPr>
                <w:color w:val="000000"/>
                <w:sz w:val="24"/>
                <w:szCs w:val="24"/>
              </w:rPr>
              <w:t/>
            </w:r>
            <w:proofErr w:type="spellEnd"/>
            <w:r w:rsidRPr="00414345">
              <w:rPr>
                <w:color w:val="000000"/>
                <w:sz w:val="24"/>
                <w:szCs w:val="24"/>
              </w:rPr>
              <w:t>2019年4月1日-</w:t>
            </w:r>
            <w:proofErr w:type="spellStart"/>
            <w:r w:rsidRPr="00414345">
              <w:rPr>
                <w:color w:val="000000"/>
                <w:sz w:val="24"/>
                <w:szCs w:val="24"/>
              </w:rPr>
              <w:t/>
            </w:r>
            <w:proofErr w:type="spellEnd"/>
            <w:r w:rsidRPr="00414345">
              <w:rPr>
                <w:color w:val="000000"/>
                <w:sz w:val="24"/>
                <w:szCs w:val="24"/>
              </w:rPr>
              <w:t>2019年6月30日)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roofErr w:type="spellStart"/>
            <w:r w:rsidR="006A7AF1" w:rsidRPr="00414345">
              <w:rPr>
                <w:color w:val="000000"/>
                <w:sz w:val="24"/>
                <w:szCs w:val="24"/>
              </w:rPr>
              <w:t/>
            </w:r>
            <w:proofErr w:type="spellEnd"/>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-10,498,198.63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-20,638,895.83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-0.0821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272,402,252.65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1.138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roofErr w:type="spellStart"/>
            <w:r w:rsidR="00200FAB" w:rsidRPr="00414345">
              <w:rPr>
                <w:color w:val="000000"/>
                <w:sz w:val="24"/>
                <w:szCs w:val="24"/>
              </w:rPr>
              <w:t/>
            </w:r>
            <w:proofErr w:type="spellEnd"/>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-4.21%</w:t>
            </w:r>
          </w:p>
        </w:tc>
        <w:tc>
          <w:tcPr>
            <w:vAlign w:val="center"/>
          </w:tcPr>
          <w:p>
            <w:pPr>
              <w:jc w:val="center"/>
            </w:pPr>
            <w:r>
              <w:rPr>
                <w:color w:val="000000"/>
                <w:sz w:val="24"/>
                <w:szCs w:val="24"/>
              </w:rPr>
              <w:t>1.90%</w:t>
            </w:r>
          </w:p>
        </w:tc>
        <w:tc>
          <w:tcPr>
            <w:vAlign w:val="center"/>
          </w:tcPr>
          <w:p>
            <w:pPr>
              <w:jc w:val="center"/>
            </w:pPr>
            <w:r>
              <w:rPr>
                <w:color w:val="000000"/>
                <w:sz w:val="24"/>
                <w:szCs w:val="24"/>
              </w:rPr>
              <w:t>0.23%</w:t>
            </w:r>
          </w:p>
        </w:tc>
        <w:tc>
          <w:tcPr>
            <w:vAlign w:val="center"/>
          </w:tcPr>
          <w:p>
            <w:pPr>
              <w:jc w:val="center"/>
            </w:pPr>
            <w:r>
              <w:rPr>
                <w:color w:val="000000"/>
                <w:sz w:val="24"/>
                <w:szCs w:val="24"/>
              </w:rPr>
              <w:t>1.28%</w:t>
            </w:r>
          </w:p>
        </w:tc>
        <w:tc>
          <w:tcPr>
            <w:vAlign w:val="center"/>
          </w:tcPr>
          <w:p>
            <w:pPr>
              <w:jc w:val="center"/>
            </w:pPr>
            <w:r>
              <w:rPr>
                <w:color w:val="000000"/>
                <w:sz w:val="24"/>
                <w:szCs w:val="24"/>
              </w:rPr>
              <w:t>-4.44%</w:t>
            </w:r>
          </w:p>
        </w:tc>
        <w:tc>
          <w:tcPr>
            <w:vAlign w:val="center"/>
          </w:tcPr>
          <w:p>
            <w:pPr>
              <w:jc w:val="center"/>
            </w:pPr>
            <w:r>
              <w:rPr>
                <w:color w:val="000000"/>
                <w:sz w:val="24"/>
                <w:szCs w:val="24"/>
              </w:rPr>
              <w:t>0.62%</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proofErr w:type="gramEnd"/>
      <w:r w:rsidR="004061AC" w:rsidRPr="00414345">
        <w:rPr>
          <w:color w:val="000000"/>
          <w:sz w:val="24"/>
          <w:szCs w:val="24"/>
        </w:rPr>
        <w:t>注：本基金业绩比较基准自2015年10月1日起，由“75%×富时中国A600成长指数收益率+25%×中信标普全债指数收益率”变更为“75%×富时中国A600成长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
      </w:r>
      <w:proofErr w:type="spellStart"/>
      <w:r w:rsidR="000824E7" w:rsidRPr="00F81917">
        <w:rPr>
          <w:rFonts w:hint="eastAsia"/>
          <w:b/>
          <w:bCs/>
          <w:color w:val="000000"/>
          <w:kern w:val="0"/>
          <w:sz w:val="24"/>
          <w:szCs w:val="24"/>
        </w:rPr>
        <w:t/>
      </w:r>
      <w:proofErr w:type="spellEnd"/>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交银施罗德成长30混合型证券投资基金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
      </w:r>
      <w:proofErr w:type="spellStart"/>
      <w:r w:rsidR="0042009D" w:rsidRPr="00414345">
        <w:rPr>
          <w:rFonts w:ascii="Times New Roman" w:cs="Times New Roman" w:hAnsi="Times New Roman"/>
          <w:sz w:val="24"/>
          <w:szCs w:val="24"/>
        </w:rPr>
        <w:t/>
      </w:r>
      <w:proofErr w:type="spellEnd"/>
      <w:r w:rsidR="0042009D" w:rsidRPr="00414345">
        <w:rPr>
          <w:rFonts w:ascii="Times New Roman" w:cs="Times New Roman" w:hAnsi="Times New Roman"/>
          <w:sz w:val="24"/>
          <w:szCs w:val="24"/>
        </w:rPr>
        <w:t>2013年6月5日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
      </w:r>
      <w:proofErr w:type="spellStart"/>
      <w:r w:rsidR="00AE7962" w:rsidRPr="00414345">
        <w:rPr>
          <w:rFonts w:ascii="Times New Roman" w:cs="Times New Roman" w:hAnsi="Times New Roman"/>
          <w:sz w:val="24"/>
          <w:szCs w:val="24"/>
        </w:rPr>
        <w:t/>
      </w:r>
      <w:proofErr w:type="spellEnd"/>
      <w:r w:rsidR="00AE7962" w:rsidRPr="00414345">
        <w:rPr>
          <w:rFonts w:ascii="Times New Roman" w:cs="Times New Roman" w:hAnsi="Times New Roman"/>
          <w:sz w:val="24"/>
          <w:szCs w:val="24"/>
        </w:rPr>
        <w:t>2019年6月30日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r w:rsidR="008700EC"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王少成</w:t>
            </w:r>
          </w:p>
        </w:tc>
        <w:tc>
          <w:tcPr>
            <w:vAlign w:val="center"/>
          </w:tcPr>
          <w:p>
            <w:pPr>
              <w:jc w:val="center"/>
            </w:pPr>
            <w:r>
              <w:rPr>
                <w:color w:val="000000"/>
                <w:sz w:val="24"/>
                <w:szCs w:val="24"/>
              </w:rPr>
              <w:t>交银成长混合、交银蓝筹混合、交银恒益灵活配置混合的基金经理，公司权益投资总监</w:t>
            </w:r>
          </w:p>
        </w:tc>
        <w:tc>
          <w:tcPr>
            <w:vAlign w:val="center"/>
          </w:tcPr>
          <w:p>
            <w:pPr>
              <w:jc w:val="center"/>
            </w:pPr>
            <w:r>
              <w:rPr>
                <w:color w:val="000000"/>
                <w:sz w:val="24"/>
                <w:szCs w:val="24"/>
              </w:rPr>
              <w:t>2013-07-02</w:t>
            </w:r>
          </w:p>
        </w:tc>
        <w:tc>
          <w:tcPr>
            <w:vAlign w:val="center"/>
          </w:tcPr>
          <w:p>
            <w:pPr>
              <w:jc w:val="center"/>
            </w:pPr>
            <w:r>
              <w:rPr>
                <w:color w:val="000000"/>
                <w:sz w:val="24"/>
                <w:szCs w:val="24"/>
              </w:rPr>
              <w:t>2019-06-18</w:t>
            </w:r>
          </w:p>
        </w:tc>
        <w:tc>
          <w:tcPr>
            <w:vAlign w:val="center"/>
          </w:tcPr>
          <w:p>
            <w:pPr>
              <w:jc w:val="center"/>
            </w:pPr>
            <w:r>
              <w:rPr>
                <w:color w:val="000000"/>
                <w:sz w:val="24"/>
                <w:szCs w:val="24"/>
              </w:rPr>
              <w:t>15年</w:t>
            </w:r>
          </w:p>
        </w:tc>
        <w:tc>
          <w:tcPr>
            <w:vAlign w:val="center"/>
          </w:tcPr>
          <w:p>
            <w:pPr>
              <w:jc w:val="both"/>
            </w:pPr>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2010年9月至2012年10月担任东吴新创业股票型证券投资基金基金经理，2011年2月至2012年11月担任东吴中证新兴产业指数证券投资基金基金经理，2011年5月至2012年11月担任东吴价值成长双动力股票型证券投资基金基金经理。2012年加入交银施罗德基金管理有限公司，历任公司权益部副总经理。2013年3月21日至2015年8月14日担任交银施罗德先进制造混合型证券投资基金（原交银施罗德先进制造股票证券投资基金）基金经理，2013年5月29日至2015年8月14日担任交银施罗德先锋混合型证券投资基金（原交银施罗德先锋股票证券投资基金）基金经理，2015年11月7日至2018年5月15日担任交银施罗德荣和保本混合型证券投资基金的基金经理，2015年11月7日至2018年6月7日担任交银施罗德策略回报灵活配置混合型证券投资基金的基金经理。2013年7月2日至2019年6月17日担任交银施罗德成长30混合型证券投资基金的基金经理。</w:t>
            </w:r>
          </w:p>
        </w:tc>
      </w:tr>
      <w:tr>
        <w:tc>
          <w:tcPr>
            <w:vAlign w:val="center"/>
          </w:tcPr>
          <w:p>
            <w:pPr>
              <w:jc w:val="center"/>
            </w:pPr>
            <w:r>
              <w:rPr>
                <w:color w:val="000000"/>
                <w:sz w:val="24"/>
                <w:szCs w:val="24"/>
              </w:rPr>
              <w:t>郭斐</w:t>
            </w:r>
          </w:p>
        </w:tc>
        <w:tc>
          <w:tcPr>
            <w:vAlign w:val="center"/>
          </w:tcPr>
          <w:p>
            <w:pPr>
              <w:jc w:val="center"/>
            </w:pPr>
            <w:r>
              <w:rPr>
                <w:color w:val="000000"/>
                <w:sz w:val="24"/>
                <w:szCs w:val="24"/>
              </w:rPr>
              <w:t>交银成长30混合、交银经济新动力混合的基金经理</w:t>
            </w:r>
          </w:p>
        </w:tc>
        <w:tc>
          <w:tcPr>
            <w:vAlign w:val="center"/>
          </w:tcPr>
          <w:p>
            <w:pPr>
              <w:jc w:val="center"/>
            </w:pPr>
            <w:r>
              <w:rPr>
                <w:color w:val="000000"/>
                <w:sz w:val="24"/>
                <w:szCs w:val="24"/>
              </w:rPr>
              <w:t>2017-09-26</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郭斐先生，复旦大学经济学本科。2009年8月至2014年3月于高盛（亚洲）有限责任公司/高华证券公司任职。2014年加入交银施罗德基金管理有限公司，历任行业分析师、基金经理助理。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proofErr w:type="gramEnd"/>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00957594" w:rsidRPr="00414345">
        <w:rPr>
          <w:color w:val="000000"/>
          <w:sz w:val="24"/>
          <w:szCs w:val="24"/>
        </w:rPr>
        <w:t/>
      </w:r>
      <w:proofErr w:type="spellEnd"/>
      <w:proofErr w:type="gramEnd"/>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二季度，中美贸易摩擦再起波澜，以华为为代表的中国科技企业的禁运事件进一步打压了市场的风险偏好，成长股尤其是科技股在二季度显著回调，消费股几乎一枝独秀的背后，是市场所有参与方面对不确定性的选择。市场在等待G20会谈明确方向。</w:t>
      </w:r>
    </w:p>
    <w:p>
      <w:pPr>
        <w:spacing w:before="29" w:line="288" w:lineRule="auto"/>
        <w:ind w:firstLine="480" w:firstLineChars="200"/>
        <w:rPr>
          <w:color w:val="000000"/>
          <w:sz w:val="24"/>
          <w:szCs w:val="24"/>
        </w:rPr>
      </w:pPr>
      <w:r>
        <w:rPr>
          <w:color w:val="000000"/>
          <w:sz w:val="24"/>
          <w:szCs w:val="24"/>
        </w:rPr>
        <w:t>报告期内，本基金根据市场风险事件的进展调整了仓位，重点配置了新能源汽车、智能装备、创新硬件、半导体、5G、产业信息化以及医药等领域的成长股及以地产为代表的逆周期蓝筹品种。</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展望2019年三季度，我们认为尽管外部的不确定因素仍存，拥抱业绩的确定性将是“能守善攻”的制胜法宝。我们有幸已经挖掘出并持有一批估值具备吸引力的优质成长股，它们或顺应产业爆发的趋势，或有望成长为细分行业的隐形冠军。同时，以地产为代表的逆周期蓝筹品种仍然具备配置的价值。本基金将持续挖掘行业成长空间广阔、具备核心竞争力的公司，把握合适的配置窗口，力争为投资人获得持续稳定的超额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proofErr w:type="spellStart"/>
      <w:r w:rsidRPr="009C1009">
        <w:rPr>
          <w:rFonts w:hint="eastAsia"/>
          <w:color w:val="000000"/>
          <w:kern w:val="0"/>
        </w:rPr>
        <w:t/>
      </w:r>
      <w:proofErr w:type="spellEnd"/>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hint="eastAsia"/>
                <w:color w:themeColor="text1" w:val="000000"/>
                <w:sz w:val="24"/>
                <w:szCs w:val="24"/>
              </w:rPr>
            </w:pPr>
            <w:r w:rsidRPr="007B5F21">
              <w:rPr>
                <w:rFonts w:eastAsiaTheme="minorEastAsia"/>
                <w:color w:themeColor="text1" w:val="000000"/>
                <w:sz w:val="24"/>
                <w:szCs w:val="24"/>
              </w:rPr>
              <w:t>占基金总资产的比例</w:t>
            </w:r>
            <w:r w:rsidR="00CE39AB">
              <w:rPr>
                <w:rFonts w:eastAsiaTheme="minorEastAsia" w:hint="eastAsia"/>
                <w:color w:themeColor="text1" w:val="000000"/>
                <w:sz w:val="24"/>
                <w:szCs w:val="24"/>
              </w:rPr>
              <w:t>（</w:t>
            </w:r>
            <w:r w:rsidR="00CE39AB">
              <w:rPr>
                <w:rFonts w:eastAsiaTheme="minorEastAsia" w:hint="eastAsia"/>
                <w:color w:themeColor="text1" w:val="000000"/>
                <w:sz w:val="24"/>
                <w:szCs w:val="24"/>
              </w:rPr>
              <w:t>%</w:t>
            </w:r>
            <w:bookmarkStart w:id="2" w:name="_GoBack"/>
            <w:bookmarkEnd w:id="2"/>
            <w:r w:rsidR="00CE39A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257,339,660.20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87.29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257,339,660.20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87.29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w:t>
            </w:r>
            <w:proofErr w:type="gramStart"/>
            <w:r w:rsidRPr="007B5F21">
              <w:rPr>
                <w:rFonts w:eastAsiaTheme="minorEastAsia"/>
                <w:color w:themeColor="text1" w:val="000000"/>
                <w:sz w:val="24"/>
                <w:szCs w:val="24"/>
              </w:rPr>
              <w:t>品投资</w:t>
            </w:r>
            <w:proofErr w:type="gramEnd"/>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36,925,329.78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12.53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543,835.73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0.18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294,808,825.71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proofErr w:type="spellStart"/>
      <w:r w:rsidRPr="004A3846">
        <w:rPr>
          <w:b/>
          <w:color w:themeColor="text1" w:val="000000"/>
          <w:sz w:val="24"/>
        </w:rPr>
        <w:t/>
      </w:r>
      <w:proofErr w:type="spellEnd"/>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proofErr w:type="spellStart"/>
      <w:r w:rsidRPr="009C1009">
        <w:rPr>
          <w:rFonts w:eastAsiaTheme="minorEastAsia" w:hint="eastAsia"/>
          <w:color w:themeColor="text1" w:val="000000"/>
          <w:kern w:val="0"/>
          <w:sz w:val="24"/>
        </w:rPr>
        <w:t/>
      </w:r>
      <w:proofErr w:type="spellEnd"/>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roofErr w:type="spellStart"/>
            <w:r w:rsidR="005E475E" w:rsidRPr="00414345">
              <w:rPr>
                <w:sz w:val="24"/>
                <w:szCs w:val="24"/>
              </w:rPr>
              <w:t/>
            </w:r>
            <w:proofErr w:type="spellEnd"/>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5,108,216.60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1.88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185,018,953.38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67.92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7,577,545.14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r w:rsidRPr="00414345">
              <w:rPr>
                <w:sz w:val="24"/>
                <w:szCs w:val="24"/>
              </w:rPr>
              <w:lastRenderedPageBreak/>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proofErr w:type="spellStart"/>
            <w:r w:rsidRPr="00414345">
              <w:rPr>
                <w:sz w:val="24"/>
                <w:szCs w:val="24"/>
              </w:rPr>
              <w:t/>
            </w:r>
            <w:r w:rsidRPr="00414345">
              <w:rPr>
                <w:sz w:val="24"/>
                <w:szCs w:val="24"/>
              </w:rPr>
              <w:lastRenderedPageBreak/>
              <w:t/>
            </w:r>
            <w:proofErr w:type="spellEnd"/>
            <w:r w:rsidRPr="00414345">
              <w:rPr>
                <w:sz w:val="24"/>
                <w:szCs w:val="24"/>
              </w:rPr>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25,629,616.02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9.41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33,869.94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31,019,008.52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11.39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2,929,344.00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23,106.60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257,339,660.20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94.47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proofErr w:type="spellStart"/>
      <w:r w:rsidRPr="008A409E">
        <w:rPr>
          <w:rFonts w:asciiTheme="minorEastAsia" w:eastAsiaTheme="minorEastAsia" w:hAnsiTheme="minorEastAsia"/>
          <w:b/>
          <w:bCs/>
          <w:color w:themeColor="text1" w:val="000000"/>
          <w:kern w:val="0"/>
          <w:sz w:val="24"/>
        </w:rPr>
        <w:t/>
      </w:r>
      <w:proofErr w:type="spellEnd"/>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
      </w:r>
      <w:proofErr w:type="spellStart"/>
      <w:r w:rsidRPr="00FF0BBF">
        <w:rPr>
          <w:color w:val="000000"/>
          <w:sz w:val="24"/>
        </w:rPr>
        <w:t/>
      </w:r>
      <w:proofErr w:type="spellEnd"/>
      <w:r w:rsidRPr="00FF0BBF">
        <w:rPr>
          <w:color w:val="000000"/>
          <w:sz w:val="24"/>
        </w:rPr>
        <w:t/>
      </w:r>
      <w:proofErr w:type="spellStart"/>
      <w:proofErr w:type="gramStart"/>
      <w:r w:rsidRPr="00FF0BBF">
        <w:rPr>
          <w:color w:val="000000"/>
          <w:sz w:val="24"/>
        </w:rPr>
        <w:t/>
      </w:r>
      <w:proofErr w:type="spellEnd"/>
      <w:proofErr w:type="gramEnd"/>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300014</w:t>
            </w:r>
          </w:p>
        </w:tc>
        <w:tc>
          <w:tcPr>
            <w:vAlign w:val="center"/>
          </w:tcPr>
          <w:p>
            <w:pPr>
              <w:jc w:val="center"/>
            </w:pPr>
            <w:r>
              <w:rPr>
                <w:color w:val="000000"/>
                <w:sz w:val="24"/>
                <w:szCs w:val="24"/>
              </w:rPr>
              <w:t>亿纬锂能</w:t>
            </w:r>
          </w:p>
        </w:tc>
        <w:tc>
          <w:tcPr>
            <w:vAlign w:val="center"/>
          </w:tcPr>
          <w:p>
            <w:pPr>
              <w:jc w:val="right"/>
            </w:pPr>
            <w:r>
              <w:rPr>
                <w:color w:val="000000"/>
                <w:sz w:val="24"/>
                <w:szCs w:val="24"/>
              </w:rPr>
              <w:t>882,376</w:t>
            </w:r>
          </w:p>
        </w:tc>
        <w:tc>
          <w:tcPr>
            <w:vAlign w:val="center"/>
          </w:tcPr>
          <w:p>
            <w:pPr>
              <w:jc w:val="right"/>
            </w:pPr>
            <w:r>
              <w:rPr>
                <w:color w:val="000000"/>
                <w:sz w:val="24"/>
                <w:szCs w:val="24"/>
              </w:rPr>
              <w:t>26,877,172.96</w:t>
            </w:r>
          </w:p>
        </w:tc>
        <w:tc>
          <w:tcPr>
            <w:vAlign w:val="center"/>
          </w:tcPr>
          <w:p>
            <w:pPr>
              <w:jc w:val="right"/>
            </w:pPr>
            <w:r>
              <w:rPr>
                <w:color w:val="000000"/>
                <w:sz w:val="24"/>
                <w:szCs w:val="24"/>
              </w:rPr>
              <w:t>9.87</w:t>
            </w:r>
          </w:p>
        </w:tc>
      </w:tr>
      <w:tr>
        <w:tc>
          <w:tcPr>
            <w:vAlign w:val="center"/>
          </w:tcPr>
          <w:p>
            <w:pPr>
              <w:jc w:val="center"/>
            </w:pPr>
            <w:r>
              <w:rPr>
                <w:color w:val="000000"/>
                <w:sz w:val="24"/>
                <w:szCs w:val="24"/>
              </w:rPr>
              <w:t>2</w:t>
            </w:r>
          </w:p>
        </w:tc>
        <w:tc>
          <w:tcPr>
            <w:vAlign w:val="center"/>
          </w:tcPr>
          <w:p>
            <w:pPr>
              <w:jc w:val="center"/>
            </w:pPr>
            <w:r>
              <w:rPr>
                <w:color w:val="000000"/>
                <w:sz w:val="24"/>
                <w:szCs w:val="24"/>
              </w:rPr>
              <w:t>300207</w:t>
            </w:r>
          </w:p>
        </w:tc>
        <w:tc>
          <w:tcPr>
            <w:vAlign w:val="center"/>
          </w:tcPr>
          <w:p>
            <w:pPr>
              <w:jc w:val="center"/>
            </w:pPr>
            <w:r>
              <w:rPr>
                <w:color w:val="000000"/>
                <w:sz w:val="24"/>
                <w:szCs w:val="24"/>
              </w:rPr>
              <w:t>欣旺达</w:t>
            </w:r>
          </w:p>
        </w:tc>
        <w:tc>
          <w:tcPr>
            <w:vAlign w:val="center"/>
          </w:tcPr>
          <w:p>
            <w:pPr>
              <w:jc w:val="right"/>
            </w:pPr>
            <w:r>
              <w:rPr>
                <w:color w:val="000000"/>
                <w:sz w:val="24"/>
                <w:szCs w:val="24"/>
              </w:rPr>
              <w:t>2,082,455</w:t>
            </w:r>
          </w:p>
        </w:tc>
        <w:tc>
          <w:tcPr>
            <w:vAlign w:val="center"/>
          </w:tcPr>
          <w:p>
            <w:pPr>
              <w:jc w:val="right"/>
            </w:pPr>
            <w:r>
              <w:rPr>
                <w:color w:val="000000"/>
                <w:sz w:val="24"/>
                <w:szCs w:val="24"/>
              </w:rPr>
              <w:t>23,989,881.60</w:t>
            </w:r>
          </w:p>
        </w:tc>
        <w:tc>
          <w:tcPr>
            <w:vAlign w:val="center"/>
          </w:tcPr>
          <w:p>
            <w:pPr>
              <w:jc w:val="right"/>
            </w:pPr>
            <w:r>
              <w:rPr>
                <w:color w:val="000000"/>
                <w:sz w:val="24"/>
                <w:szCs w:val="24"/>
              </w:rPr>
              <w:t>8.81</w:t>
            </w:r>
          </w:p>
        </w:tc>
      </w:tr>
      <w:tr>
        <w:tc>
          <w:tcPr>
            <w:vAlign w:val="center"/>
          </w:tcPr>
          <w:p>
            <w:pPr>
              <w:jc w:val="center"/>
            </w:pPr>
            <w:r>
              <w:rPr>
                <w:color w:val="000000"/>
                <w:sz w:val="24"/>
                <w:szCs w:val="24"/>
              </w:rPr>
              <w:t>3</w:t>
            </w:r>
          </w:p>
        </w:tc>
        <w:tc>
          <w:tcPr>
            <w:vAlign w:val="center"/>
          </w:tcPr>
          <w:p>
            <w:pPr>
              <w:jc w:val="center"/>
            </w:pPr>
            <w:r>
              <w:rPr>
                <w:color w:val="000000"/>
                <w:sz w:val="24"/>
                <w:szCs w:val="24"/>
              </w:rPr>
              <w:t>601155</w:t>
            </w:r>
          </w:p>
        </w:tc>
        <w:tc>
          <w:tcPr>
            <w:vAlign w:val="center"/>
          </w:tcPr>
          <w:p>
            <w:pPr>
              <w:jc w:val="center"/>
            </w:pPr>
            <w:r>
              <w:rPr>
                <w:color w:val="000000"/>
                <w:sz w:val="24"/>
                <w:szCs w:val="24"/>
              </w:rPr>
              <w:t>新城控股</w:t>
            </w:r>
          </w:p>
        </w:tc>
        <w:tc>
          <w:tcPr>
            <w:vAlign w:val="center"/>
          </w:tcPr>
          <w:p>
            <w:pPr>
              <w:jc w:val="right"/>
            </w:pPr>
            <w:r>
              <w:rPr>
                <w:color w:val="000000"/>
                <w:sz w:val="24"/>
                <w:szCs w:val="24"/>
              </w:rPr>
              <w:t>463,492</w:t>
            </w:r>
          </w:p>
        </w:tc>
        <w:tc>
          <w:tcPr>
            <w:vAlign w:val="center"/>
          </w:tcPr>
          <w:p>
            <w:pPr>
              <w:jc w:val="right"/>
            </w:pPr>
            <w:r>
              <w:rPr>
                <w:color w:val="000000"/>
                <w:sz w:val="24"/>
                <w:szCs w:val="24"/>
              </w:rPr>
              <w:t>18,451,616.52</w:t>
            </w:r>
          </w:p>
        </w:tc>
        <w:tc>
          <w:tcPr>
            <w:vAlign w:val="center"/>
          </w:tcPr>
          <w:p>
            <w:pPr>
              <w:jc w:val="right"/>
            </w:pPr>
            <w:r>
              <w:rPr>
                <w:color w:val="000000"/>
                <w:sz w:val="24"/>
                <w:szCs w:val="24"/>
              </w:rPr>
              <w:t>6.77</w:t>
            </w:r>
          </w:p>
        </w:tc>
      </w:tr>
      <w:tr>
        <w:tc>
          <w:tcPr>
            <w:vAlign w:val="center"/>
          </w:tcPr>
          <w:p>
            <w:pPr>
              <w:jc w:val="center"/>
            </w:pPr>
            <w:r>
              <w:rPr>
                <w:color w:val="000000"/>
                <w:sz w:val="24"/>
                <w:szCs w:val="24"/>
              </w:rPr>
              <w:t>4</w:t>
            </w:r>
          </w:p>
        </w:tc>
        <w:tc>
          <w:tcPr>
            <w:vAlign w:val="center"/>
          </w:tcPr>
          <w:p>
            <w:pPr>
              <w:jc w:val="center"/>
            </w:pPr>
            <w:r>
              <w:rPr>
                <w:color w:val="000000"/>
                <w:sz w:val="24"/>
                <w:szCs w:val="24"/>
              </w:rPr>
              <w:t>002322</w:t>
            </w:r>
          </w:p>
        </w:tc>
        <w:tc>
          <w:tcPr>
            <w:vAlign w:val="center"/>
          </w:tcPr>
          <w:p>
            <w:pPr>
              <w:jc w:val="center"/>
            </w:pPr>
            <w:r>
              <w:rPr>
                <w:color w:val="000000"/>
                <w:sz w:val="24"/>
                <w:szCs w:val="24"/>
              </w:rPr>
              <w:t>理工环科</w:t>
            </w:r>
          </w:p>
        </w:tc>
        <w:tc>
          <w:tcPr>
            <w:vAlign w:val="center"/>
          </w:tcPr>
          <w:p>
            <w:pPr>
              <w:jc w:val="right"/>
            </w:pPr>
            <w:r>
              <w:rPr>
                <w:color w:val="000000"/>
                <w:sz w:val="24"/>
                <w:szCs w:val="24"/>
              </w:rPr>
              <w:t>1,387,169</w:t>
            </w:r>
          </w:p>
        </w:tc>
        <w:tc>
          <w:tcPr>
            <w:vAlign w:val="center"/>
          </w:tcPr>
          <w:p>
            <w:pPr>
              <w:jc w:val="right"/>
            </w:pPr>
            <w:r>
              <w:rPr>
                <w:color w:val="000000"/>
                <w:sz w:val="24"/>
                <w:szCs w:val="24"/>
              </w:rPr>
              <w:t>17,450,586.02</w:t>
            </w:r>
          </w:p>
        </w:tc>
        <w:tc>
          <w:tcPr>
            <w:vAlign w:val="center"/>
          </w:tcPr>
          <w:p>
            <w:pPr>
              <w:jc w:val="right"/>
            </w:pPr>
            <w:r>
              <w:rPr>
                <w:color w:val="000000"/>
                <w:sz w:val="24"/>
                <w:szCs w:val="24"/>
              </w:rPr>
              <w:t>6.41</w:t>
            </w:r>
          </w:p>
        </w:tc>
      </w:tr>
      <w:tr>
        <w:tc>
          <w:tcPr>
            <w:vAlign w:val="center"/>
          </w:tcPr>
          <w:p>
            <w:pPr>
              <w:jc w:val="center"/>
            </w:pPr>
            <w:r>
              <w:rPr>
                <w:color w:val="000000"/>
                <w:sz w:val="24"/>
                <w:szCs w:val="24"/>
              </w:rPr>
              <w:t>5</w:t>
            </w:r>
          </w:p>
        </w:tc>
        <w:tc>
          <w:tcPr>
            <w:vAlign w:val="center"/>
          </w:tcPr>
          <w:p>
            <w:pPr>
              <w:jc w:val="center"/>
            </w:pPr>
            <w:r>
              <w:rPr>
                <w:color w:val="000000"/>
                <w:sz w:val="24"/>
                <w:szCs w:val="24"/>
              </w:rPr>
              <w:t>002463</w:t>
            </w:r>
          </w:p>
        </w:tc>
        <w:tc>
          <w:tcPr>
            <w:vAlign w:val="center"/>
          </w:tcPr>
          <w:p>
            <w:pPr>
              <w:jc w:val="center"/>
            </w:pPr>
            <w:r>
              <w:rPr>
                <w:color w:val="000000"/>
                <w:sz w:val="24"/>
                <w:szCs w:val="24"/>
              </w:rPr>
              <w:t>沪电股份</w:t>
            </w:r>
          </w:p>
        </w:tc>
        <w:tc>
          <w:tcPr>
            <w:vAlign w:val="center"/>
          </w:tcPr>
          <w:p>
            <w:pPr>
              <w:jc w:val="right"/>
            </w:pPr>
            <w:r>
              <w:rPr>
                <w:color w:val="000000"/>
                <w:sz w:val="24"/>
                <w:szCs w:val="24"/>
              </w:rPr>
              <w:t>1,183,900</w:t>
            </w:r>
          </w:p>
        </w:tc>
        <w:tc>
          <w:tcPr>
            <w:vAlign w:val="center"/>
          </w:tcPr>
          <w:p>
            <w:pPr>
              <w:jc w:val="right"/>
            </w:pPr>
            <w:r>
              <w:rPr>
                <w:color w:val="000000"/>
                <w:sz w:val="24"/>
                <w:szCs w:val="24"/>
              </w:rPr>
              <w:t>16,124,718.00</w:t>
            </w:r>
          </w:p>
        </w:tc>
        <w:tc>
          <w:tcPr>
            <w:vAlign w:val="center"/>
          </w:tcPr>
          <w:p>
            <w:pPr>
              <w:jc w:val="right"/>
            </w:pPr>
            <w:r>
              <w:rPr>
                <w:color w:val="000000"/>
                <w:sz w:val="24"/>
                <w:szCs w:val="24"/>
              </w:rPr>
              <w:t>5.92</w:t>
            </w:r>
          </w:p>
        </w:tc>
      </w:tr>
      <w:tr>
        <w:tc>
          <w:tcPr>
            <w:vAlign w:val="center"/>
          </w:tcPr>
          <w:p>
            <w:pPr>
              <w:jc w:val="center"/>
            </w:pPr>
            <w:r>
              <w:rPr>
                <w:color w:val="000000"/>
                <w:sz w:val="24"/>
                <w:szCs w:val="24"/>
              </w:rPr>
              <w:t>6</w:t>
            </w:r>
          </w:p>
        </w:tc>
        <w:tc>
          <w:tcPr>
            <w:vAlign w:val="center"/>
          </w:tcPr>
          <w:p>
            <w:pPr>
              <w:jc w:val="center"/>
            </w:pPr>
            <w:r>
              <w:rPr>
                <w:color w:val="000000"/>
                <w:sz w:val="24"/>
                <w:szCs w:val="24"/>
              </w:rPr>
              <w:t>603666</w:t>
            </w:r>
          </w:p>
        </w:tc>
        <w:tc>
          <w:tcPr>
            <w:vAlign w:val="center"/>
          </w:tcPr>
          <w:p>
            <w:pPr>
              <w:jc w:val="center"/>
            </w:pPr>
            <w:r>
              <w:rPr>
                <w:color w:val="000000"/>
                <w:sz w:val="24"/>
                <w:szCs w:val="24"/>
              </w:rPr>
              <w:t>亿嘉和</w:t>
            </w:r>
          </w:p>
        </w:tc>
        <w:tc>
          <w:tcPr>
            <w:vAlign w:val="center"/>
          </w:tcPr>
          <w:p>
            <w:pPr>
              <w:jc w:val="right"/>
            </w:pPr>
            <w:r>
              <w:rPr>
                <w:color w:val="000000"/>
                <w:sz w:val="24"/>
                <w:szCs w:val="24"/>
              </w:rPr>
              <w:t>277,161</w:t>
            </w:r>
          </w:p>
        </w:tc>
        <w:tc>
          <w:tcPr>
            <w:vAlign w:val="center"/>
          </w:tcPr>
          <w:p>
            <w:pPr>
              <w:jc w:val="right"/>
            </w:pPr>
            <w:r>
              <w:rPr>
                <w:color w:val="000000"/>
                <w:sz w:val="24"/>
                <w:szCs w:val="24"/>
              </w:rPr>
              <w:t>15,180,107.97</w:t>
            </w:r>
          </w:p>
        </w:tc>
        <w:tc>
          <w:tcPr>
            <w:vAlign w:val="center"/>
          </w:tcPr>
          <w:p>
            <w:pPr>
              <w:jc w:val="right"/>
            </w:pPr>
            <w:r>
              <w:rPr>
                <w:color w:val="000000"/>
                <w:sz w:val="24"/>
                <w:szCs w:val="24"/>
              </w:rPr>
              <w:t>5.57</w:t>
            </w:r>
          </w:p>
        </w:tc>
      </w:tr>
      <w:tr>
        <w:tc>
          <w:tcPr>
            <w:vAlign w:val="center"/>
          </w:tcPr>
          <w:p>
            <w:pPr>
              <w:jc w:val="center"/>
            </w:pPr>
            <w:r>
              <w:rPr>
                <w:color w:val="000000"/>
                <w:sz w:val="24"/>
                <w:szCs w:val="24"/>
              </w:rPr>
              <w:t>7</w:t>
            </w:r>
          </w:p>
        </w:tc>
        <w:tc>
          <w:tcPr>
            <w:vAlign w:val="center"/>
          </w:tcPr>
          <w:p>
            <w:pPr>
              <w:jc w:val="center"/>
            </w:pPr>
            <w:r>
              <w:rPr>
                <w:color w:val="000000"/>
                <w:sz w:val="24"/>
                <w:szCs w:val="24"/>
              </w:rPr>
              <w:t>603160</w:t>
            </w:r>
          </w:p>
        </w:tc>
        <w:tc>
          <w:tcPr>
            <w:vAlign w:val="center"/>
          </w:tcPr>
          <w:p>
            <w:pPr>
              <w:jc w:val="center"/>
            </w:pPr>
            <w:r>
              <w:rPr>
                <w:color w:val="000000"/>
                <w:sz w:val="24"/>
                <w:szCs w:val="24"/>
              </w:rPr>
              <w:t>汇顶科技</w:t>
            </w:r>
          </w:p>
        </w:tc>
        <w:tc>
          <w:tcPr>
            <w:vAlign w:val="center"/>
          </w:tcPr>
          <w:p>
            <w:pPr>
              <w:jc w:val="right"/>
            </w:pPr>
            <w:r>
              <w:rPr>
                <w:color w:val="000000"/>
                <w:sz w:val="24"/>
                <w:szCs w:val="24"/>
              </w:rPr>
              <w:t>107,953</w:t>
            </w:r>
          </w:p>
        </w:tc>
        <w:tc>
          <w:tcPr>
            <w:vAlign w:val="center"/>
          </w:tcPr>
          <w:p>
            <w:pPr>
              <w:jc w:val="right"/>
            </w:pPr>
            <w:r>
              <w:rPr>
                <w:color w:val="000000"/>
                <w:sz w:val="24"/>
                <w:szCs w:val="24"/>
              </w:rPr>
              <w:t>14,983,876.40</w:t>
            </w:r>
          </w:p>
        </w:tc>
        <w:tc>
          <w:tcPr>
            <w:vAlign w:val="center"/>
          </w:tcPr>
          <w:p>
            <w:pPr>
              <w:jc w:val="right"/>
            </w:pPr>
            <w:r>
              <w:rPr>
                <w:color w:val="000000"/>
                <w:sz w:val="24"/>
                <w:szCs w:val="24"/>
              </w:rPr>
              <w:t>5.50</w:t>
            </w:r>
          </w:p>
        </w:tc>
      </w:tr>
      <w:tr>
        <w:tc>
          <w:tcPr>
            <w:vAlign w:val="center"/>
          </w:tcPr>
          <w:p>
            <w:pPr>
              <w:jc w:val="center"/>
            </w:pPr>
            <w:r>
              <w:rPr>
                <w:color w:val="000000"/>
                <w:sz w:val="24"/>
                <w:szCs w:val="24"/>
              </w:rPr>
              <w:t>8</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599,744</w:t>
            </w:r>
          </w:p>
        </w:tc>
        <w:tc>
          <w:tcPr>
            <w:vAlign w:val="center"/>
          </w:tcPr>
          <w:p>
            <w:pPr>
              <w:jc w:val="right"/>
            </w:pPr>
            <w:r>
              <w:rPr>
                <w:color w:val="000000"/>
                <w:sz w:val="24"/>
                <w:szCs w:val="24"/>
              </w:rPr>
              <w:t>14,867,653.76</w:t>
            </w:r>
          </w:p>
        </w:tc>
        <w:tc>
          <w:tcPr>
            <w:vAlign w:val="center"/>
          </w:tcPr>
          <w:p>
            <w:pPr>
              <w:jc w:val="right"/>
            </w:pPr>
            <w:r>
              <w:rPr>
                <w:color w:val="000000"/>
                <w:sz w:val="24"/>
                <w:szCs w:val="24"/>
              </w:rPr>
              <w:t>5.46</w:t>
            </w:r>
          </w:p>
        </w:tc>
      </w:tr>
      <w:tr>
        <w:tc>
          <w:tcPr>
            <w:vAlign w:val="center"/>
          </w:tcPr>
          <w:p>
            <w:pPr>
              <w:jc w:val="center"/>
            </w:pPr>
            <w:r>
              <w:rPr>
                <w:color w:val="000000"/>
                <w:sz w:val="24"/>
                <w:szCs w:val="24"/>
              </w:rPr>
              <w:t>9</w:t>
            </w:r>
          </w:p>
        </w:tc>
        <w:tc>
          <w:tcPr>
            <w:vAlign w:val="center"/>
          </w:tcPr>
          <w:p>
            <w:pPr>
              <w:jc w:val="center"/>
            </w:pPr>
            <w:r>
              <w:rPr>
                <w:color w:val="000000"/>
                <w:sz w:val="24"/>
                <w:szCs w:val="24"/>
              </w:rPr>
              <w:t>000961</w:t>
            </w:r>
          </w:p>
        </w:tc>
        <w:tc>
          <w:tcPr>
            <w:vAlign w:val="center"/>
          </w:tcPr>
          <w:p>
            <w:pPr>
              <w:jc w:val="center"/>
            </w:pPr>
            <w:r>
              <w:rPr>
                <w:color w:val="000000"/>
                <w:sz w:val="24"/>
                <w:szCs w:val="24"/>
              </w:rPr>
              <w:t>中南建设</w:t>
            </w:r>
          </w:p>
        </w:tc>
        <w:tc>
          <w:tcPr>
            <w:vAlign w:val="center"/>
          </w:tcPr>
          <w:p>
            <w:pPr>
              <w:jc w:val="right"/>
            </w:pPr>
            <w:r>
              <w:rPr>
                <w:color w:val="000000"/>
                <w:sz w:val="24"/>
                <w:szCs w:val="24"/>
              </w:rPr>
              <w:t>1,451,200</w:t>
            </w:r>
          </w:p>
        </w:tc>
        <w:tc>
          <w:tcPr>
            <w:vAlign w:val="center"/>
          </w:tcPr>
          <w:p>
            <w:pPr>
              <w:jc w:val="right"/>
            </w:pPr>
            <w:r>
              <w:rPr>
                <w:color w:val="000000"/>
                <w:sz w:val="24"/>
                <w:szCs w:val="24"/>
              </w:rPr>
              <w:t>12,567,392.00</w:t>
            </w:r>
          </w:p>
        </w:tc>
        <w:tc>
          <w:tcPr>
            <w:vAlign w:val="center"/>
          </w:tcPr>
          <w:p>
            <w:pPr>
              <w:jc w:val="right"/>
            </w:pPr>
            <w:r>
              <w:rPr>
                <w:color w:val="000000"/>
                <w:sz w:val="24"/>
                <w:szCs w:val="24"/>
              </w:rPr>
              <w:t>4.61</w:t>
            </w:r>
          </w:p>
        </w:tc>
      </w:tr>
      <w:tr>
        <w:tc>
          <w:tcPr>
            <w:vAlign w:val="center"/>
          </w:tcPr>
          <w:p>
            <w:pPr>
              <w:jc w:val="center"/>
            </w:pPr>
            <w:r>
              <w:rPr>
                <w:color w:val="000000"/>
                <w:sz w:val="24"/>
                <w:szCs w:val="24"/>
              </w:rPr>
              <w:t>10</w:t>
            </w:r>
          </w:p>
        </w:tc>
        <w:tc>
          <w:tcPr>
            <w:vAlign w:val="center"/>
          </w:tcPr>
          <w:p>
            <w:pPr>
              <w:jc w:val="center"/>
            </w:pPr>
            <w:r>
              <w:rPr>
                <w:color w:val="000000"/>
                <w:sz w:val="24"/>
                <w:szCs w:val="24"/>
              </w:rPr>
              <w:t>300638</w:t>
            </w:r>
          </w:p>
        </w:tc>
        <w:tc>
          <w:tcPr>
            <w:vAlign w:val="center"/>
          </w:tcPr>
          <w:p>
            <w:pPr>
              <w:jc w:val="center"/>
            </w:pPr>
            <w:r>
              <w:rPr>
                <w:color w:val="000000"/>
                <w:sz w:val="24"/>
                <w:szCs w:val="24"/>
              </w:rPr>
              <w:t>广和通</w:t>
            </w:r>
          </w:p>
        </w:tc>
        <w:tc>
          <w:tcPr>
            <w:vAlign w:val="center"/>
          </w:tcPr>
          <w:p>
            <w:pPr>
              <w:jc w:val="right"/>
            </w:pPr>
            <w:r>
              <w:rPr>
                <w:color w:val="000000"/>
                <w:sz w:val="24"/>
                <w:szCs w:val="24"/>
              </w:rPr>
              <w:t>156,133</w:t>
            </w:r>
          </w:p>
        </w:tc>
        <w:tc>
          <w:tcPr>
            <w:vAlign w:val="center"/>
          </w:tcPr>
          <w:p>
            <w:pPr>
              <w:jc w:val="right"/>
            </w:pPr>
            <w:r>
              <w:rPr>
                <w:color w:val="000000"/>
                <w:sz w:val="24"/>
                <w:szCs w:val="24"/>
              </w:rPr>
              <w:t>8,577,947.02</w:t>
            </w:r>
          </w:p>
        </w:tc>
        <w:tc>
          <w:tcPr>
            <w:vAlign w:val="center"/>
          </w:tcPr>
          <w:p>
            <w:pPr>
              <w:jc w:val="right"/>
            </w:pPr>
            <w:r>
              <w:rPr>
                <w:color w:val="000000"/>
                <w:sz w:val="24"/>
                <w:szCs w:val="24"/>
              </w:rPr>
              <w:t>3.15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w:t>
      </w:r>
      <w:proofErr w:type="gramStart"/>
      <w:r w:rsidRPr="00414345">
        <w:rPr>
          <w:b/>
          <w:bCs/>
          <w:color w:val="000000"/>
          <w:kern w:val="0"/>
          <w:sz w:val="24"/>
          <w:szCs w:val="24"/>
        </w:rPr>
        <w:t>.</w:t>
      </w:r>
      <w:proofErr w:type="gramEnd"/>
      <w:r w:rsidRPr="00414345">
        <w:rPr>
          <w:b/>
          <w:bCs/>
          <w:color w:val="000000"/>
          <w:kern w:val="0"/>
          <w:sz w:val="24"/>
          <w:szCs w:val="24"/>
        </w:rPr>
        <w:t>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
      </w:r>
      <w:proofErr w:type="spellStart"/>
      <w:r w:rsidRPr="00414345">
        <w:rPr>
          <w:sz w:val="24"/>
          <w:szCs w:val="24"/>
        </w:rPr>
        <w:t/>
      </w:r>
      <w:proofErr w:type="spellEnd"/>
      <w:r w:rsidRPr="00414345">
        <w:rPr>
          <w:sz w:val="24"/>
          <w:szCs w:val="24"/>
        </w:rPr>
        <w:t/>
      </w:r>
      <w:proofErr w:type="spellStart"/>
      <w:proofErr w:type="gramStart"/>
      <w:r w:rsidRPr="00414345">
        <w:rPr>
          <w:sz w:val="24"/>
          <w:szCs w:val="24"/>
        </w:rPr>
        <w:t/>
      </w:r>
      <w:proofErr w:type="spellEnd"/>
      <w:proofErr w:type="gramEnd"/>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315D5D" w:rsidRPr="00414345">
        <w:rPr>
          <w:color w:val="000000"/>
          <w:sz w:val="24"/>
          <w:szCs w:val="24"/>
        </w:rPr>
        <w:t/>
      </w:r>
      <w:proofErr w:type="spellEnd"/>
      <w:proofErr w:type="gramEnd"/>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00A83500" w:rsidRPr="00414345">
        <w:rPr>
          <w:b/>
          <w:bCs/>
          <w:color w:val="000000"/>
          <w:kern w:val="0"/>
          <w:sz w:val="24"/>
          <w:szCs w:val="24"/>
        </w:rPr>
        <w:t/>
      </w:r>
      <w:r w:rsidR="003259C8" w:rsidRPr="00414345">
        <w:rPr>
          <w:b/>
          <w:bCs/>
          <w:color w:val="000000"/>
          <w:kern w:val="0"/>
          <w:sz w:val="24"/>
          <w:szCs w:val="24"/>
        </w:rPr>
        <w:t/>
      </w:r>
      <w:proofErr w:type="gramStart"/>
      <w:r w:rsidR="003259C8" w:rsidRPr="00414345">
        <w:rPr>
          <w:b/>
          <w:bCs/>
          <w:color w:val="000000"/>
          <w:kern w:val="0"/>
          <w:sz w:val="24"/>
          <w:szCs w:val="24"/>
        </w:rPr>
        <w:t/>
      </w:r>
      <w:proofErr w:type="gramEnd"/>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134,483.74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37,164.44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9,052.02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363,135.53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543,835.73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本基金本报告期末未持有处于转股期的可转换债券。</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r w:rsidR="008E326D" w:rsidRPr="00414345">
        <w:rPr>
          <w:color w:val="000000"/>
          <w:sz w:val="24"/>
          <w:szCs w:val="24"/>
        </w:rPr>
        <w:t/>
      </w:r>
      <w:r w:rsidR="008E326D" w:rsidRPr="00414345">
        <w:rPr>
          <w:color w:val="000000"/>
          <w:sz w:val="24"/>
          <w:szCs w:val="24"/>
        </w:rPr>
        <w:lastRenderedPageBreak/>
        <w:t/>
      </w:r>
      <w:proofErr w:type="gramEnd"/>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spellStart"/>
      <w:r w:rsidRPr="00414345">
        <w:rPr>
          <w:bCs/>
          <w:color w:val="000000"/>
          <w:kern w:val="0"/>
          <w:sz w:val="24"/>
          <w:szCs w:val="24"/>
        </w:rPr>
        <w:t/>
      </w:r>
      <w:proofErr w:type="spellEnd"/>
      <w:r w:rsidRPr="00414345">
        <w:rPr>
          <w:bCs/>
          <w:color w:val="000000"/>
          <w:kern w:val="0"/>
          <w:sz w:val="24"/>
          <w:szCs w:val="24"/>
        </w:rPr>
        <w:t/>
      </w:r>
      <w:r w:rsidR="003259C8" w:rsidRPr="00414345">
        <w:rPr>
          <w:bCs/>
          <w:color w:val="000000"/>
          <w:kern w:val="0"/>
          <w:sz w:val="24"/>
          <w:szCs w:val="24"/>
        </w:rPr>
        <w:t/>
      </w:r>
      <w:proofErr w:type="gramStart"/>
      <w:r w:rsidR="003259C8" w:rsidRPr="00414345">
        <w:rPr>
          <w:bCs/>
          <w:color w:val="000000"/>
          <w:kern w:val="0"/>
          <w:sz w:val="24"/>
          <w:szCs w:val="24"/>
        </w:rPr>
        <w:t/>
      </w:r>
      <w:proofErr w:type="gramEnd"/>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proofErr w:type="spellStart"/>
      <w:proofErr w:type="gramStart"/>
      <w:r w:rsidR="001675CD" w:rsidRPr="00414345">
        <w:rPr>
          <w:color w:val="000000"/>
          <w:sz w:val="24"/>
          <w:szCs w:val="24"/>
        </w:rPr>
        <w:t/>
      </w:r>
      <w:proofErr w:type="spellEnd"/>
      <w:proofErr w:type="gramEnd"/>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proofErr w:type="spellStart"/>
      <w:r w:rsidRPr="005A3D62">
        <w:rPr>
          <w:rFonts w:eastAsiaTheme="minorEastAsia"/>
          <w:color w:themeColor="text1" w:val="000000"/>
          <w:kern w:val="0"/>
          <w:sz w:val="24"/>
          <w:szCs w:val="24"/>
        </w:rPr>
        <w:t/>
      </w:r>
      <w:proofErr w:type="spellEnd"/>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181,799,912.93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184,841,408.44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
            </w:r>
            <w:proofErr w:type="spellStart"/>
            <w:r w:rsidR="00FE179F" w:rsidRPr="00414345">
              <w:rPr>
                <w:color w:val="000000"/>
                <w:kern w:val="0"/>
                <w:sz w:val="24"/>
                <w:szCs w:val="24"/>
              </w:rPr>
              <w:t/>
            </w:r>
            <w:proofErr w:type="spellEnd"/>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127,345,003.23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r w:rsidR="00355364" w:rsidRPr="00414345">
              <w:rPr>
                <w:color w:val="000000"/>
                <w:sz w:val="24"/>
                <w:szCs w:val="24"/>
              </w:rPr>
              <w:t/>
            </w:r>
            <w:proofErr w:type="spellEnd"/>
            <w:r w:rsidRPr="00414345">
              <w:rPr>
                <w:color w:val="000000"/>
                <w:sz w:val="24"/>
                <w:szCs w:val="24"/>
              </w:rPr>
              <w:t>239,296,318.14</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proofErr w:type="spellStart"/>
      <w:r w:rsidRPr="00ED2620">
        <w:rPr>
          <w:rFonts w:eastAsiaTheme="minorEastAsia"/>
          <w:color w:val="000000"/>
          <w:kern w:val="0"/>
          <w:sz w:val="24"/>
          <w:szCs w:val="24"/>
        </w:rPr>
        <w:t/>
      </w:r>
      <w:proofErr w:type="spellEnd"/>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w:t>
      </w:r>
      <w:proofErr w:type="gramStart"/>
      <w:r w:rsidRPr="00ED2620">
        <w:rPr>
          <w:sz w:val="24"/>
          <w:szCs w:val="24"/>
        </w:rPr>
        <w:t>固有资金</w:t>
      </w:r>
      <w:proofErr w:type="gramEnd"/>
      <w:r w:rsidRPr="00ED2620">
        <w:rPr>
          <w:sz w:val="24"/>
          <w:szCs w:val="24"/>
        </w:rPr>
        <w:t>投资本基金情况</w:t>
      </w:r>
    </w:p>
    <w:p w:rsidP="00C15CAC" w:rsidR="00ED2620" w:rsidRDefault="00ED2620" w:rsidRPr="00ED2620">
      <w:pPr>
        <w:spacing w:line="288" w:lineRule="auto"/>
        <w:jc w:val="left"/>
        <w:rPr>
          <w:sz w:val="24"/>
          <w:szCs w:val="24"/>
        </w:rPr>
      </w:pPr>
      <w:r w:rsidRPr="00ED2620">
        <w:rPr>
          <w:b/>
          <w:sz w:val="24"/>
        </w:rPr>
        <w:t/>
      </w:r>
      <w:proofErr w:type="spellStart"/>
      <w:r w:rsidRPr="00ED2620">
        <w:rPr>
          <w:b/>
          <w:sz w:val="24"/>
        </w:rPr>
        <w:t/>
      </w:r>
      <w:proofErr w:type="spellEnd"/>
      <w:r w:rsidRPr="00ED2620">
        <w:rPr>
          <w:b/>
          <w:sz w:val="24"/>
        </w:rPr>
        <w:t/>
      </w:r>
      <w:proofErr w:type="gramStart"/>
      <w:r w:rsidRPr="00ED2620">
        <w:rPr>
          <w:b/>
          <w:sz w:val="24"/>
        </w:rPr>
        <w:t/>
      </w:r>
      <w:proofErr w:type="gramEnd"/>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
      </w:r>
      <w:proofErr w:type="spellStart"/>
      <w:proofErr w:type="gramStart"/>
      <w:r w:rsidRPr="00ED2620">
        <w:rPr>
          <w:rFonts w:eastAsiaTheme="minorEastAsia"/>
          <w:color w:val="000000"/>
          <w:sz w:val="24"/>
        </w:rPr>
        <w:t/>
      </w:r>
      <w:proofErr w:type="spellEnd"/>
      <w:proofErr w:type="gramEnd"/>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
      </w:r>
      <w:proofErr w:type="spellStart"/>
      <w:r w:rsidRPr="00410630">
        <w:rPr>
          <w:b/>
          <w:sz w:val="24"/>
        </w:rPr>
        <w:t/>
      </w:r>
      <w:proofErr w:type="spellEnd"/>
      <w:r w:rsidRPr="00410630">
        <w:rPr>
          <w:b/>
          <w:sz w:val="24"/>
        </w:rPr>
        <w:t/>
      </w:r>
      <w:proofErr w:type="gramStart"/>
      <w:r w:rsidRPr="00410630">
        <w:rPr>
          <w:b/>
          <w:sz w:val="24"/>
        </w:rPr>
        <w:t/>
      </w:r>
      <w:proofErr w:type="gramEnd"/>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
      </w:r>
      <w:proofErr w:type="spellStart"/>
      <w:r w:rsidRPr="00414345">
        <w:rPr>
          <w:color w:val="000000"/>
          <w:sz w:val="24"/>
        </w:rPr>
        <w:t/>
      </w:r>
      <w:proofErr w:type="spellEnd"/>
      <w:r w:rsidRPr="00414345">
        <w:rPr>
          <w:color w:val="000000"/>
          <w:sz w:val="24"/>
        </w:rPr>
        <w:t/>
      </w:r>
      <w:proofErr w:type="spellStart"/>
      <w:proofErr w:type="gramStart"/>
      <w:r w:rsidRPr="00414345">
        <w:rPr>
          <w:color w:val="000000"/>
          <w:sz w:val="24"/>
        </w:rPr>
        <w:t/>
      </w:r>
      <w:proofErr w:type="spellEnd"/>
      <w:proofErr w:type="gramEnd"/>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
      </w:r>
      <w:proofErr w:type="spellStart"/>
      <w:r w:rsidRPr="00220C32">
        <w:rPr>
          <w:rFonts w:asciiTheme="minorEastAsia" w:eastAsiaTheme="minorEastAsia" w:hAnsiTheme="minorEastAsia" w:hint="eastAsia"/>
          <w:color w:themeColor="text1" w:val="000000"/>
          <w:kern w:val="0"/>
          <w:sz w:val="24"/>
          <w:szCs w:val="24"/>
        </w:rPr>
        <w:t/>
      </w:r>
      <w:proofErr w:type="spellEnd"/>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proofErr w:type="spellStart"/>
      <w:r w:rsidRPr="009A5C99">
        <w:rPr>
          <w:rFonts w:ascii="宋体" w:hAnsi="宋体"/>
          <w:b/>
          <w:color w:val="000000"/>
          <w:kern w:val="0"/>
          <w:sz w:val="24"/>
          <w:szCs w:val="24"/>
        </w:rPr>
        <w:t/>
      </w:r>
      <w:proofErr w:type="spellEnd"/>
      <w:r w:rsidRPr="009A5C99">
        <w:rPr>
          <w:rFonts w:ascii="宋体" w:hAnsi="宋体"/>
          <w:b/>
          <w:color w:val="000000"/>
          <w:kern w:val="0"/>
          <w:sz w:val="24"/>
          <w:szCs w:val="24"/>
        </w:rPr>
        <w:t/>
      </w:r>
      <w:r w:rsidRPr="009A5C99">
        <w:rPr>
          <w:rFonts w:ascii="宋体" w:hAnsi="宋体" w:hint="eastAsia"/>
          <w:b/>
          <w:bCs/>
          <w:color w:val="000000"/>
          <w:kern w:val="0"/>
          <w:sz w:val="24"/>
          <w:szCs w:val="24"/>
        </w:rPr>
        <w:t/>
      </w:r>
      <w:proofErr w:type="gramStart"/>
      <w:r w:rsidRPr="009A5C99">
        <w:rPr>
          <w:rFonts w:ascii="宋体" w:hAnsi="宋体" w:hint="eastAsia"/>
          <w:b/>
          <w:bCs/>
          <w:color w:val="000000"/>
          <w:kern w:val="0"/>
          <w:sz w:val="24"/>
          <w:szCs w:val="24"/>
        </w:rPr>
        <w:t/>
      </w:r>
      <w:proofErr w:type="gramEnd"/>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
      </w:r>
      <w:proofErr w:type="spellStart"/>
      <w:proofErr w:type="gramStart"/>
      <w:r w:rsidRPr="004F4D27">
        <w:rPr>
          <w:rFonts w:ascii="宋体" w:hAnsi="宋体"/>
          <w:color w:val="000000"/>
        </w:rPr>
        <w:t/>
      </w:r>
      <w:proofErr w:type="spellEnd"/>
      <w:proofErr w:type="gramEnd"/>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1、中国证监会批准交银施罗德成长30股票型证券投资基金募集的文件；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2、《交银施罗德成长30混合型证券投资基金基金合同》；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3、《交银施罗德成长30混合型证券投资基金招募说明书》；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4、《交银施罗德成长30混合型证券投资基金托管协议》；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5、关于募集交银施罗德成长30股票型证券投资基金之法律意见书；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8、报告期内交银施罗德成长30混合型证券投资基金在指定报刊上各项公告的原稿。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26" w:rsidRDefault="00EA1826" w:rsidP="00876D65">
      <w:r>
        <w:separator/>
      </w:r>
    </w:p>
  </w:endnote>
  <w:endnote w:type="continuationSeparator" w:id="0">
    <w:p w:rsidR="00EA1826" w:rsidRDefault="00EA182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87A40">
      <w:rPr>
        <w:noProof/>
        <w:kern w:val="0"/>
        <w:szCs w:val="21"/>
      </w:rPr>
      <w:t>22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487A40">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EA1826" w:rsidRDefault="00EA1826">
      <w:r>
        <w:separator/>
      </w:r>
    </w:p>
  </w:footnote>
  <w:footnote w:id="0" w:type="continuationSeparator">
    <w:p w:rsidP="00876D65" w:rsidR="00EA1826" w:rsidRDefault="00EA1826">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交银施罗德成长30混合型证券投资基金</w:t>
    </w:r>
    <w:proofErr w:type="spellStart"/>
    <w:r w:rsidRPr="003E676C">
      <w:rPr>
        <w:sz w:val="24"/>
        <w:szCs w:val="24"/>
      </w:rPr>
      <w:t/>
    </w:r>
    <w:proofErr w:type="spellEnd"/>
    <w:r w:rsidRPr="003E676C">
      <w:rPr>
        <w:sz w:val="24"/>
        <w:szCs w:val="24"/>
      </w:rPr>
      <w:t>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proofState w:grammar="clean" w:spelling="clean"/>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1F69-B347-4E76-824E-9DFA9A79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24</Pages>
  <Words>3799</Words>
  <Characters>21656</Characters>
  <Application>Microsoft Office Word</Application>
  <DocSecurity>0</DocSecurity>
  <Lines>180</Lines>
  <Paragraphs>50</Paragraphs>
  <ScaleCrop>false</ScaleCrop>
  <Company/>
  <LinksUpToDate>false</LinksUpToDate>
  <CharactersWithSpaces>25405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2019-07-04T03:14:00Z</dcterms:modified>
  <cp:revision>590</cp:revision>
</cp:coreProperties>
</file>