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1,352,999,534.04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w:t>
            </w:r>
            <w:proofErr w:type="gramStart"/>
            <w:r w:rsidRPr="007F52FA">
              <w:rPr>
                <w:color w:val="000000"/>
                <w:kern w:val="0"/>
                <w:sz w:val="24"/>
              </w:rPr>
              <w:t>动带来</w:t>
            </w:r>
            <w:proofErr w:type="gramEnd"/>
            <w:r w:rsidRPr="007F52FA">
              <w:rPr>
                <w:color w:val="000000"/>
                <w:kern w:val="0"/>
                <w:sz w:val="24"/>
              </w:rPr>
              <w:t>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w:t>
            </w:r>
            <w:proofErr w:type="gramStart"/>
            <w:r w:rsidRPr="007F52FA">
              <w:rPr>
                <w:color w:val="000000"/>
                <w:kern w:val="0"/>
                <w:sz w:val="24"/>
              </w:rPr>
              <w:t>信用债发债主</w:t>
            </w:r>
            <w:proofErr w:type="gramEnd"/>
            <w:r w:rsidRPr="007F52FA">
              <w:rPr>
                <w:color w:val="000000"/>
                <w:kern w:val="0"/>
                <w:sz w:val="24"/>
              </w:rPr>
              <w:t>体所处行业的景气轮动判断，并结合内部信用评级系统，综合考察信用债券的信用评级，在严谨深入的分析基础上，综合</w:t>
            </w:r>
            <w:proofErr w:type="gramStart"/>
            <w:r w:rsidRPr="007F52FA">
              <w:rPr>
                <w:color w:val="000000"/>
                <w:kern w:val="0"/>
                <w:sz w:val="24"/>
              </w:rPr>
              <w:t>考量</w:t>
            </w:r>
            <w:proofErr w:type="gramEnd"/>
            <w:r w:rsidRPr="007F52FA">
              <w:rPr>
                <w:color w:val="000000"/>
                <w:kern w:val="0"/>
                <w:sz w:val="24"/>
              </w:rPr>
              <w:t>各类债券的流动性、供求关系和收益率水平等，自下而上地精选个</w:t>
            </w:r>
            <w:proofErr w:type="gramStart"/>
            <w:r w:rsidRPr="007F52FA">
              <w:rPr>
                <w:color w:val="000000"/>
                <w:kern w:val="0"/>
                <w:sz w:val="24"/>
              </w:rPr>
              <w:t>券</w:t>
            </w:r>
            <w:proofErr w:type="gramEnd"/>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1,224,397,320.78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128,602,213.26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D80A91">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D80A91">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63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E95B3C">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6,647,070.53</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644,013.76</w:t>
            </w:r>
          </w:p>
        </w:tc>
      </w:tr>
      <w:tr w:rsidR="005F293E" w:rsidRPr="007F52FA" w:rsidTr="00E95B3C">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5,176,061.95</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246,258.37</w:t>
            </w:r>
          </w:p>
        </w:tc>
      </w:tr>
      <w:tr w:rsidR="00D80A91" w:rsidRPr="007F52FA" w:rsidTr="00E95B3C">
        <w:trPr>
          <w:jc w:val="center"/>
        </w:trPr>
        <w:tc>
          <w:tcPr>
            <w:tcW w:w="3606" w:type="dxa"/>
            <w:vAlign w:val="center"/>
          </w:tcPr>
          <w:p w:rsidR="00D80A91" w:rsidRPr="007F52FA" w:rsidRDefault="00D80A91" w:rsidP="00D80A91">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vAlign w:val="center"/>
          </w:tcPr>
          <w:p w:rsidR="00D80A91" w:rsidRPr="00D80A91" w:rsidRDefault="00D80A91" w:rsidP="00D80A91">
            <w:pPr>
              <w:jc w:val="right"/>
              <w:rPr>
                <w:color w:val="000000"/>
                <w:sz w:val="24"/>
              </w:rPr>
            </w:pPr>
            <w:r w:rsidRPr="00D80A91">
              <w:rPr>
                <w:color w:val="000000"/>
                <w:sz w:val="24"/>
              </w:rPr>
              <w:t>0.0043</w:t>
            </w:r>
          </w:p>
        </w:tc>
        <w:tc>
          <w:tcPr>
            <w:tcW w:w="2631" w:type="dxa"/>
            <w:vAlign w:val="center"/>
          </w:tcPr>
          <w:p w:rsidR="00D80A91" w:rsidRPr="00D80A91" w:rsidRDefault="00D80A91" w:rsidP="00D80A91">
            <w:pPr>
              <w:jc w:val="right"/>
              <w:rPr>
                <w:color w:val="000000"/>
                <w:sz w:val="24"/>
              </w:rPr>
            </w:pPr>
            <w:r w:rsidRPr="00D80A91">
              <w:rPr>
                <w:color w:val="000000"/>
                <w:sz w:val="24"/>
              </w:rPr>
              <w:t>0.0018</w:t>
            </w:r>
          </w:p>
        </w:tc>
      </w:tr>
      <w:tr w:rsidR="005F293E" w:rsidRPr="007F52FA" w:rsidTr="00E95B3C">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1,316,571,527.40</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137,903,694.09</w:t>
            </w:r>
          </w:p>
        </w:tc>
      </w:tr>
      <w:tr w:rsidR="005F293E" w:rsidRPr="007F52FA" w:rsidTr="00E95B3C">
        <w:trPr>
          <w:trHeight w:val="158"/>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1.075</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1.072</w:t>
            </w:r>
          </w:p>
        </w:tc>
      </w:tr>
    </w:tbl>
    <w:p w:rsidR="00DF48BC" w:rsidRDefault="009A7CA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bookmarkStart w:id="0" w:name="_GoBack"/>
      <w:bookmarkEnd w:id="0"/>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F48BC">
        <w:trPr>
          <w:jc w:val="center"/>
        </w:trPr>
        <w:tc>
          <w:tcPr>
            <w:tcW w:w="1266" w:type="dxa"/>
            <w:vAlign w:val="center"/>
          </w:tcPr>
          <w:p w:rsidR="00DF48BC" w:rsidRDefault="009A7CA1">
            <w:pPr>
              <w:jc w:val="left"/>
            </w:pPr>
            <w:r>
              <w:rPr>
                <w:color w:val="000000"/>
                <w:sz w:val="24"/>
              </w:rPr>
              <w:t>过去三个月</w:t>
            </w:r>
          </w:p>
        </w:tc>
        <w:tc>
          <w:tcPr>
            <w:tcW w:w="1267" w:type="dxa"/>
            <w:vAlign w:val="center"/>
          </w:tcPr>
          <w:p w:rsidR="00DF48BC" w:rsidRDefault="009A7CA1">
            <w:pPr>
              <w:jc w:val="center"/>
            </w:pPr>
            <w:r>
              <w:rPr>
                <w:color w:val="000000"/>
                <w:sz w:val="24"/>
              </w:rPr>
              <w:t>0.47%</w:t>
            </w:r>
          </w:p>
        </w:tc>
        <w:tc>
          <w:tcPr>
            <w:tcW w:w="1267" w:type="dxa"/>
            <w:vAlign w:val="center"/>
          </w:tcPr>
          <w:p w:rsidR="00DF48BC" w:rsidRDefault="009A7CA1">
            <w:pPr>
              <w:jc w:val="center"/>
            </w:pPr>
            <w:r>
              <w:rPr>
                <w:color w:val="000000"/>
                <w:sz w:val="24"/>
              </w:rPr>
              <w:t>0.05%</w:t>
            </w:r>
          </w:p>
        </w:tc>
        <w:tc>
          <w:tcPr>
            <w:tcW w:w="1267" w:type="dxa"/>
            <w:vAlign w:val="center"/>
          </w:tcPr>
          <w:p w:rsidR="00DF48BC" w:rsidRDefault="009A7CA1">
            <w:pPr>
              <w:jc w:val="center"/>
            </w:pPr>
            <w:r>
              <w:rPr>
                <w:color w:val="000000"/>
                <w:sz w:val="24"/>
              </w:rPr>
              <w:t>-0.23%</w:t>
            </w:r>
          </w:p>
        </w:tc>
        <w:tc>
          <w:tcPr>
            <w:tcW w:w="1267" w:type="dxa"/>
            <w:vAlign w:val="center"/>
          </w:tcPr>
          <w:p w:rsidR="00DF48BC" w:rsidRDefault="009A7CA1">
            <w:pPr>
              <w:jc w:val="center"/>
            </w:pPr>
            <w:r>
              <w:rPr>
                <w:color w:val="000000"/>
                <w:sz w:val="24"/>
              </w:rPr>
              <w:t>0.06%</w:t>
            </w:r>
          </w:p>
        </w:tc>
        <w:tc>
          <w:tcPr>
            <w:tcW w:w="1267" w:type="dxa"/>
            <w:vAlign w:val="center"/>
          </w:tcPr>
          <w:p w:rsidR="00DF48BC" w:rsidRDefault="009A7CA1">
            <w:pPr>
              <w:jc w:val="center"/>
            </w:pPr>
            <w:r>
              <w:rPr>
                <w:color w:val="000000"/>
                <w:sz w:val="24"/>
              </w:rPr>
              <w:t>0.70%</w:t>
            </w:r>
          </w:p>
        </w:tc>
        <w:tc>
          <w:tcPr>
            <w:tcW w:w="1267" w:type="dxa"/>
            <w:vAlign w:val="center"/>
          </w:tcPr>
          <w:p w:rsidR="00DF48BC" w:rsidRDefault="009A7CA1">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F48BC">
        <w:trPr>
          <w:jc w:val="center"/>
        </w:trPr>
        <w:tc>
          <w:tcPr>
            <w:tcW w:w="1266" w:type="dxa"/>
            <w:vAlign w:val="center"/>
          </w:tcPr>
          <w:p w:rsidR="00DF48BC" w:rsidRDefault="009A7CA1">
            <w:pPr>
              <w:jc w:val="left"/>
            </w:pPr>
            <w:r>
              <w:rPr>
                <w:color w:val="000000"/>
                <w:sz w:val="24"/>
              </w:rPr>
              <w:t>过去三个月</w:t>
            </w:r>
          </w:p>
        </w:tc>
        <w:tc>
          <w:tcPr>
            <w:tcW w:w="1267" w:type="dxa"/>
            <w:vAlign w:val="center"/>
          </w:tcPr>
          <w:p w:rsidR="00DF48BC" w:rsidRDefault="009A7CA1">
            <w:pPr>
              <w:jc w:val="center"/>
            </w:pPr>
            <w:r>
              <w:rPr>
                <w:color w:val="000000"/>
                <w:sz w:val="24"/>
              </w:rPr>
              <w:t>0.28%</w:t>
            </w:r>
          </w:p>
        </w:tc>
        <w:tc>
          <w:tcPr>
            <w:tcW w:w="1267" w:type="dxa"/>
            <w:vAlign w:val="center"/>
          </w:tcPr>
          <w:p w:rsidR="00DF48BC" w:rsidRDefault="009A7CA1">
            <w:pPr>
              <w:jc w:val="center"/>
            </w:pPr>
            <w:r>
              <w:rPr>
                <w:color w:val="000000"/>
                <w:sz w:val="24"/>
              </w:rPr>
              <w:t>0.06%</w:t>
            </w:r>
          </w:p>
        </w:tc>
        <w:tc>
          <w:tcPr>
            <w:tcW w:w="1267" w:type="dxa"/>
            <w:vAlign w:val="center"/>
          </w:tcPr>
          <w:p w:rsidR="00DF48BC" w:rsidRDefault="009A7CA1">
            <w:pPr>
              <w:jc w:val="center"/>
            </w:pPr>
            <w:r>
              <w:rPr>
                <w:color w:val="000000"/>
                <w:sz w:val="24"/>
              </w:rPr>
              <w:t>-0.23%</w:t>
            </w:r>
          </w:p>
        </w:tc>
        <w:tc>
          <w:tcPr>
            <w:tcW w:w="1267" w:type="dxa"/>
            <w:vAlign w:val="center"/>
          </w:tcPr>
          <w:p w:rsidR="00DF48BC" w:rsidRDefault="009A7CA1">
            <w:pPr>
              <w:jc w:val="center"/>
            </w:pPr>
            <w:r>
              <w:rPr>
                <w:color w:val="000000"/>
                <w:sz w:val="24"/>
              </w:rPr>
              <w:t>0.06%</w:t>
            </w:r>
          </w:p>
        </w:tc>
        <w:tc>
          <w:tcPr>
            <w:tcW w:w="1267" w:type="dxa"/>
            <w:vAlign w:val="center"/>
          </w:tcPr>
          <w:p w:rsidR="00DF48BC" w:rsidRDefault="009A7CA1">
            <w:pPr>
              <w:jc w:val="center"/>
            </w:pPr>
            <w:r>
              <w:rPr>
                <w:color w:val="000000"/>
                <w:sz w:val="24"/>
              </w:rPr>
              <w:t>0.51%</w:t>
            </w:r>
          </w:p>
        </w:tc>
        <w:tc>
          <w:tcPr>
            <w:tcW w:w="1267" w:type="dxa"/>
            <w:vAlign w:val="center"/>
          </w:tcPr>
          <w:p w:rsidR="00DF48BC" w:rsidRDefault="009A7CA1">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F48BC">
        <w:trPr>
          <w:jc w:val="center"/>
        </w:trPr>
        <w:tc>
          <w:tcPr>
            <w:tcW w:w="946" w:type="dxa"/>
            <w:vAlign w:val="center"/>
          </w:tcPr>
          <w:p w:rsidR="00DF48BC" w:rsidRDefault="009A7CA1">
            <w:pPr>
              <w:jc w:val="center"/>
            </w:pPr>
            <w:r>
              <w:rPr>
                <w:color w:val="000000"/>
                <w:sz w:val="24"/>
              </w:rPr>
              <w:t>唐赟</w:t>
            </w:r>
          </w:p>
        </w:tc>
        <w:tc>
          <w:tcPr>
            <w:tcW w:w="924" w:type="dxa"/>
            <w:vAlign w:val="center"/>
          </w:tcPr>
          <w:p w:rsidR="00DF48BC" w:rsidRDefault="009A7CA1">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202" w:type="dxa"/>
            <w:vAlign w:val="center"/>
          </w:tcPr>
          <w:p w:rsidR="00DF48BC" w:rsidRDefault="009A7CA1">
            <w:pPr>
              <w:jc w:val="center"/>
            </w:pPr>
            <w:r>
              <w:rPr>
                <w:color w:val="000000"/>
                <w:sz w:val="24"/>
              </w:rPr>
              <w:t>2015-08-04</w:t>
            </w:r>
          </w:p>
        </w:tc>
        <w:tc>
          <w:tcPr>
            <w:tcW w:w="1300" w:type="dxa"/>
            <w:vAlign w:val="center"/>
          </w:tcPr>
          <w:p w:rsidR="00DF48BC" w:rsidRDefault="009A7CA1">
            <w:pPr>
              <w:jc w:val="center"/>
            </w:pPr>
            <w:r>
              <w:rPr>
                <w:color w:val="000000"/>
                <w:sz w:val="24"/>
              </w:rPr>
              <w:t>-</w:t>
            </w:r>
          </w:p>
        </w:tc>
        <w:tc>
          <w:tcPr>
            <w:tcW w:w="1245" w:type="dxa"/>
            <w:vAlign w:val="center"/>
          </w:tcPr>
          <w:p w:rsidR="00DF48BC" w:rsidRDefault="009A7CA1">
            <w:pPr>
              <w:jc w:val="center"/>
            </w:pPr>
            <w:r>
              <w:rPr>
                <w:color w:val="000000"/>
                <w:sz w:val="24"/>
              </w:rPr>
              <w:t>9</w:t>
            </w:r>
            <w:r>
              <w:rPr>
                <w:color w:val="000000"/>
                <w:sz w:val="24"/>
              </w:rPr>
              <w:t>年</w:t>
            </w:r>
          </w:p>
        </w:tc>
        <w:tc>
          <w:tcPr>
            <w:tcW w:w="3251" w:type="dxa"/>
            <w:vAlign w:val="center"/>
          </w:tcPr>
          <w:p w:rsidR="00DF48BC" w:rsidRDefault="009A7CA1">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w:t>
      </w:r>
      <w:r w:rsidRPr="007F52FA">
        <w:rPr>
          <w:color w:val="000000"/>
          <w:sz w:val="24"/>
        </w:rPr>
        <w:lastRenderedPageBreak/>
        <w:t>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F48BC" w:rsidRDefault="009A7CA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F48BC" w:rsidRDefault="009A7CA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F48BC" w:rsidRDefault="009A7CA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F48BC" w:rsidRDefault="009A7CA1">
      <w:pPr>
        <w:spacing w:before="29" w:line="288" w:lineRule="auto"/>
        <w:ind w:firstLineChars="200" w:firstLine="480"/>
        <w:rPr>
          <w:color w:val="000000"/>
          <w:sz w:val="24"/>
        </w:rPr>
      </w:pPr>
      <w:r>
        <w:rPr>
          <w:color w:val="000000"/>
          <w:sz w:val="24"/>
        </w:rPr>
        <w:t>本报告期内，债市受到经济基本面、海外事件及资金面等多重因素影响。经济预期的反复在前一阶段带来长端收益率的扰动。三月春节错位令市场对于经济的预期高涨，十年活跃国开收益率一度接近</w:t>
      </w:r>
      <w:r>
        <w:rPr>
          <w:color w:val="000000"/>
          <w:sz w:val="24"/>
        </w:rPr>
        <w:t>3.90%</w:t>
      </w:r>
      <w:r>
        <w:rPr>
          <w:color w:val="000000"/>
          <w:sz w:val="24"/>
        </w:rPr>
        <w:t>。此后，经济环比数据回落，并伴随着中观行业订单季节性下降，地产销量逐步走低，五月中美贸易争端再起，经济预期进一步回落，十年活跃国开下行至</w:t>
      </w:r>
      <w:r>
        <w:rPr>
          <w:color w:val="000000"/>
          <w:sz w:val="24"/>
        </w:rPr>
        <w:t>3.75%</w:t>
      </w:r>
      <w:r>
        <w:rPr>
          <w:color w:val="000000"/>
          <w:sz w:val="24"/>
        </w:rPr>
        <w:t>位置，并在该中枢上下震荡。五月随着季末来临，基金融资相对困难，银行间流动性中性分化，短久期债券收益率上行，信用利差明显走廓。随着跨季资金面的宽松，短端收益率下行，中高等级信用债收益率也出现回落，但中低等级信用债成交依然不多。</w:t>
      </w:r>
    </w:p>
    <w:p w:rsidR="00DF48BC" w:rsidRDefault="009A7CA1">
      <w:pPr>
        <w:spacing w:before="29" w:line="288" w:lineRule="auto"/>
        <w:ind w:firstLineChars="200" w:firstLine="480"/>
        <w:rPr>
          <w:color w:val="000000"/>
          <w:sz w:val="24"/>
        </w:rPr>
      </w:pPr>
      <w:r>
        <w:rPr>
          <w:color w:val="000000"/>
          <w:sz w:val="24"/>
        </w:rPr>
        <w:lastRenderedPageBreak/>
        <w:t>我们认为，前期权益市场估值偏高，经济环比回落，叠加中美贸易不确定性的加强，债券市场存在结构性配置价值。因此在组合操作中，我们增配中高等级信用底仓的配置，并适度拉长组合久期。同时，组合择机选择部分仓位阶段配置长端利率债品种，以期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从高频数据看，我们认为经济基本面面临下行压力，因此对于债券市场我们维持中性偏乐观的看法，上行风险来自于中美关系进展好于预期，以及货币政策放松幅度不及预期。组合方面，我们将维持中性久期配置，并通过把握宏观预期的变化进行长债波段操作以赚取超额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1,645,114,000.00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1,645,114,000.00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6,552,058.33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34,671,985.54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1,686,338,043.87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297,383,000.00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297,383,000.00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439,289,000.00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30.20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120,298,000.00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8.27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788,144,000.00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54.19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1,645,114,000.00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113.11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F48BC">
        <w:trPr>
          <w:jc w:val="center"/>
        </w:trPr>
        <w:tc>
          <w:tcPr>
            <w:tcW w:w="1075" w:type="dxa"/>
            <w:vAlign w:val="center"/>
          </w:tcPr>
          <w:p w:rsidR="00DF48BC" w:rsidRDefault="009A7CA1">
            <w:pPr>
              <w:jc w:val="center"/>
            </w:pPr>
            <w:r>
              <w:rPr>
                <w:color w:val="000000"/>
                <w:sz w:val="24"/>
              </w:rPr>
              <w:t>1</w:t>
            </w:r>
          </w:p>
        </w:tc>
        <w:tc>
          <w:tcPr>
            <w:tcW w:w="1533" w:type="dxa"/>
            <w:vAlign w:val="center"/>
          </w:tcPr>
          <w:p w:rsidR="00DF48BC" w:rsidRDefault="009A7CA1">
            <w:pPr>
              <w:jc w:val="center"/>
            </w:pPr>
            <w:r>
              <w:rPr>
                <w:color w:val="000000"/>
                <w:sz w:val="24"/>
              </w:rPr>
              <w:t>190205</w:t>
            </w:r>
          </w:p>
        </w:tc>
        <w:tc>
          <w:tcPr>
            <w:tcW w:w="1533" w:type="dxa"/>
            <w:vAlign w:val="center"/>
          </w:tcPr>
          <w:p w:rsidR="00DF48BC" w:rsidRDefault="009A7CA1">
            <w:pPr>
              <w:jc w:val="center"/>
            </w:pPr>
            <w:r>
              <w:rPr>
                <w:color w:val="000000"/>
                <w:sz w:val="24"/>
              </w:rPr>
              <w:t>19</w:t>
            </w:r>
            <w:r>
              <w:rPr>
                <w:color w:val="000000"/>
                <w:sz w:val="24"/>
              </w:rPr>
              <w:t>国开</w:t>
            </w:r>
            <w:r>
              <w:rPr>
                <w:color w:val="000000"/>
                <w:sz w:val="24"/>
              </w:rPr>
              <w:t>05</w:t>
            </w:r>
          </w:p>
        </w:tc>
        <w:tc>
          <w:tcPr>
            <w:tcW w:w="1394" w:type="dxa"/>
            <w:vAlign w:val="center"/>
          </w:tcPr>
          <w:p w:rsidR="00DF48BC" w:rsidRDefault="009A7CA1">
            <w:pPr>
              <w:jc w:val="right"/>
            </w:pPr>
            <w:r>
              <w:rPr>
                <w:color w:val="000000"/>
                <w:sz w:val="24"/>
              </w:rPr>
              <w:t>1,400,000</w:t>
            </w:r>
          </w:p>
        </w:tc>
        <w:tc>
          <w:tcPr>
            <w:tcW w:w="1944" w:type="dxa"/>
            <w:vAlign w:val="center"/>
          </w:tcPr>
          <w:p w:rsidR="00DF48BC" w:rsidRDefault="009A7CA1">
            <w:pPr>
              <w:jc w:val="right"/>
            </w:pPr>
            <w:r>
              <w:rPr>
                <w:color w:val="000000"/>
                <w:sz w:val="24"/>
              </w:rPr>
              <w:t>137,130,000.00</w:t>
            </w:r>
          </w:p>
        </w:tc>
        <w:tc>
          <w:tcPr>
            <w:tcW w:w="1389" w:type="dxa"/>
            <w:vAlign w:val="center"/>
          </w:tcPr>
          <w:p w:rsidR="00DF48BC" w:rsidRDefault="009A7CA1">
            <w:pPr>
              <w:jc w:val="right"/>
            </w:pPr>
            <w:r>
              <w:rPr>
                <w:color w:val="000000"/>
                <w:sz w:val="24"/>
              </w:rPr>
              <w:t>9.43</w:t>
            </w:r>
          </w:p>
        </w:tc>
      </w:tr>
      <w:tr w:rsidR="00DF48BC">
        <w:trPr>
          <w:jc w:val="center"/>
        </w:trPr>
        <w:tc>
          <w:tcPr>
            <w:tcW w:w="1075" w:type="dxa"/>
            <w:vAlign w:val="center"/>
          </w:tcPr>
          <w:p w:rsidR="00DF48BC" w:rsidRDefault="009A7CA1">
            <w:pPr>
              <w:jc w:val="center"/>
            </w:pPr>
            <w:r>
              <w:rPr>
                <w:color w:val="000000"/>
                <w:sz w:val="24"/>
              </w:rPr>
              <w:t>2</w:t>
            </w:r>
          </w:p>
        </w:tc>
        <w:tc>
          <w:tcPr>
            <w:tcW w:w="1533" w:type="dxa"/>
            <w:vAlign w:val="center"/>
          </w:tcPr>
          <w:p w:rsidR="00DF48BC" w:rsidRDefault="009A7CA1">
            <w:pPr>
              <w:jc w:val="center"/>
            </w:pPr>
            <w:r>
              <w:rPr>
                <w:color w:val="000000"/>
                <w:sz w:val="24"/>
              </w:rPr>
              <w:t>190201</w:t>
            </w:r>
          </w:p>
        </w:tc>
        <w:tc>
          <w:tcPr>
            <w:tcW w:w="1533" w:type="dxa"/>
            <w:vAlign w:val="center"/>
          </w:tcPr>
          <w:p w:rsidR="00DF48BC" w:rsidRDefault="009A7CA1">
            <w:pPr>
              <w:jc w:val="center"/>
            </w:pPr>
            <w:r>
              <w:rPr>
                <w:color w:val="000000"/>
                <w:sz w:val="24"/>
              </w:rPr>
              <w:t>19</w:t>
            </w:r>
            <w:r>
              <w:rPr>
                <w:color w:val="000000"/>
                <w:sz w:val="24"/>
              </w:rPr>
              <w:t>国开</w:t>
            </w:r>
            <w:r>
              <w:rPr>
                <w:color w:val="000000"/>
                <w:sz w:val="24"/>
              </w:rPr>
              <w:t>01</w:t>
            </w:r>
          </w:p>
        </w:tc>
        <w:tc>
          <w:tcPr>
            <w:tcW w:w="1394" w:type="dxa"/>
            <w:vAlign w:val="center"/>
          </w:tcPr>
          <w:p w:rsidR="00DF48BC" w:rsidRDefault="009A7CA1">
            <w:pPr>
              <w:jc w:val="right"/>
            </w:pPr>
            <w:r>
              <w:rPr>
                <w:color w:val="000000"/>
                <w:sz w:val="24"/>
              </w:rPr>
              <w:t>600,000</w:t>
            </w:r>
          </w:p>
        </w:tc>
        <w:tc>
          <w:tcPr>
            <w:tcW w:w="1944" w:type="dxa"/>
            <w:vAlign w:val="center"/>
          </w:tcPr>
          <w:p w:rsidR="00DF48BC" w:rsidRDefault="009A7CA1">
            <w:pPr>
              <w:jc w:val="right"/>
            </w:pPr>
            <w:r>
              <w:rPr>
                <w:color w:val="000000"/>
                <w:sz w:val="24"/>
              </w:rPr>
              <w:t>59,976,000.00</w:t>
            </w:r>
          </w:p>
        </w:tc>
        <w:tc>
          <w:tcPr>
            <w:tcW w:w="1389" w:type="dxa"/>
            <w:vAlign w:val="center"/>
          </w:tcPr>
          <w:p w:rsidR="00DF48BC" w:rsidRDefault="009A7CA1">
            <w:pPr>
              <w:jc w:val="right"/>
            </w:pPr>
            <w:r>
              <w:rPr>
                <w:color w:val="000000"/>
                <w:sz w:val="24"/>
              </w:rPr>
              <w:t>4.12</w:t>
            </w:r>
          </w:p>
        </w:tc>
      </w:tr>
      <w:tr w:rsidR="00DF48BC">
        <w:trPr>
          <w:jc w:val="center"/>
        </w:trPr>
        <w:tc>
          <w:tcPr>
            <w:tcW w:w="1075" w:type="dxa"/>
            <w:vAlign w:val="center"/>
          </w:tcPr>
          <w:p w:rsidR="00DF48BC" w:rsidRDefault="009A7CA1">
            <w:pPr>
              <w:jc w:val="center"/>
            </w:pPr>
            <w:r>
              <w:rPr>
                <w:color w:val="000000"/>
                <w:sz w:val="24"/>
              </w:rPr>
              <w:t>3</w:t>
            </w:r>
          </w:p>
        </w:tc>
        <w:tc>
          <w:tcPr>
            <w:tcW w:w="1533" w:type="dxa"/>
            <w:vAlign w:val="center"/>
          </w:tcPr>
          <w:p w:rsidR="00DF48BC" w:rsidRDefault="009A7CA1">
            <w:pPr>
              <w:jc w:val="center"/>
            </w:pPr>
            <w:r>
              <w:rPr>
                <w:color w:val="000000"/>
                <w:sz w:val="24"/>
              </w:rPr>
              <w:t>101800145</w:t>
            </w:r>
          </w:p>
        </w:tc>
        <w:tc>
          <w:tcPr>
            <w:tcW w:w="1533" w:type="dxa"/>
            <w:vAlign w:val="center"/>
          </w:tcPr>
          <w:p w:rsidR="00DF48BC" w:rsidRDefault="009A7CA1">
            <w:pPr>
              <w:jc w:val="center"/>
            </w:pPr>
            <w:r>
              <w:rPr>
                <w:color w:val="000000"/>
                <w:sz w:val="24"/>
              </w:rPr>
              <w:t>18</w:t>
            </w:r>
            <w:r>
              <w:rPr>
                <w:color w:val="000000"/>
                <w:sz w:val="24"/>
              </w:rPr>
              <w:t>张保实业</w:t>
            </w:r>
            <w:r>
              <w:rPr>
                <w:color w:val="000000"/>
                <w:sz w:val="24"/>
              </w:rPr>
              <w:t>MTN001</w:t>
            </w:r>
          </w:p>
        </w:tc>
        <w:tc>
          <w:tcPr>
            <w:tcW w:w="1394" w:type="dxa"/>
            <w:vAlign w:val="center"/>
          </w:tcPr>
          <w:p w:rsidR="00DF48BC" w:rsidRDefault="009A7CA1">
            <w:pPr>
              <w:jc w:val="right"/>
            </w:pPr>
            <w:r>
              <w:rPr>
                <w:color w:val="000000"/>
                <w:sz w:val="24"/>
              </w:rPr>
              <w:t>500,000</w:t>
            </w:r>
          </w:p>
        </w:tc>
        <w:tc>
          <w:tcPr>
            <w:tcW w:w="1944" w:type="dxa"/>
            <w:vAlign w:val="center"/>
          </w:tcPr>
          <w:p w:rsidR="00DF48BC" w:rsidRDefault="009A7CA1">
            <w:pPr>
              <w:jc w:val="right"/>
            </w:pPr>
            <w:r>
              <w:rPr>
                <w:color w:val="000000"/>
                <w:sz w:val="24"/>
              </w:rPr>
              <w:t>51,760,000.00</w:t>
            </w:r>
          </w:p>
        </w:tc>
        <w:tc>
          <w:tcPr>
            <w:tcW w:w="1389" w:type="dxa"/>
            <w:vAlign w:val="center"/>
          </w:tcPr>
          <w:p w:rsidR="00DF48BC" w:rsidRDefault="009A7CA1">
            <w:pPr>
              <w:jc w:val="right"/>
            </w:pPr>
            <w:r>
              <w:rPr>
                <w:color w:val="000000"/>
                <w:sz w:val="24"/>
              </w:rPr>
              <w:t>3.56</w:t>
            </w:r>
          </w:p>
        </w:tc>
      </w:tr>
      <w:tr w:rsidR="00DF48BC">
        <w:trPr>
          <w:jc w:val="center"/>
        </w:trPr>
        <w:tc>
          <w:tcPr>
            <w:tcW w:w="1075" w:type="dxa"/>
            <w:vAlign w:val="center"/>
          </w:tcPr>
          <w:p w:rsidR="00DF48BC" w:rsidRDefault="009A7CA1">
            <w:pPr>
              <w:jc w:val="center"/>
            </w:pPr>
            <w:r>
              <w:rPr>
                <w:color w:val="000000"/>
                <w:sz w:val="24"/>
              </w:rPr>
              <w:t>4</w:t>
            </w:r>
          </w:p>
        </w:tc>
        <w:tc>
          <w:tcPr>
            <w:tcW w:w="1533" w:type="dxa"/>
            <w:vAlign w:val="center"/>
          </w:tcPr>
          <w:p w:rsidR="00DF48BC" w:rsidRDefault="009A7CA1">
            <w:pPr>
              <w:jc w:val="center"/>
            </w:pPr>
            <w:r>
              <w:rPr>
                <w:color w:val="000000"/>
                <w:sz w:val="24"/>
              </w:rPr>
              <w:t>101800369</w:t>
            </w:r>
          </w:p>
        </w:tc>
        <w:tc>
          <w:tcPr>
            <w:tcW w:w="1533" w:type="dxa"/>
            <w:vAlign w:val="center"/>
          </w:tcPr>
          <w:p w:rsidR="00DF48BC" w:rsidRDefault="009A7CA1">
            <w:pPr>
              <w:jc w:val="center"/>
            </w:pPr>
            <w:r>
              <w:rPr>
                <w:color w:val="000000"/>
                <w:sz w:val="24"/>
              </w:rPr>
              <w:t>18</w:t>
            </w:r>
            <w:r>
              <w:rPr>
                <w:color w:val="000000"/>
                <w:sz w:val="24"/>
              </w:rPr>
              <w:t>豫投资</w:t>
            </w:r>
            <w:r>
              <w:rPr>
                <w:color w:val="000000"/>
                <w:sz w:val="24"/>
              </w:rPr>
              <w:t>MTN002</w:t>
            </w:r>
          </w:p>
        </w:tc>
        <w:tc>
          <w:tcPr>
            <w:tcW w:w="1394" w:type="dxa"/>
            <w:vAlign w:val="center"/>
          </w:tcPr>
          <w:p w:rsidR="00DF48BC" w:rsidRDefault="009A7CA1">
            <w:pPr>
              <w:jc w:val="right"/>
            </w:pPr>
            <w:r>
              <w:rPr>
                <w:color w:val="000000"/>
                <w:sz w:val="24"/>
              </w:rPr>
              <w:t>500,000</w:t>
            </w:r>
          </w:p>
        </w:tc>
        <w:tc>
          <w:tcPr>
            <w:tcW w:w="1944" w:type="dxa"/>
            <w:vAlign w:val="center"/>
          </w:tcPr>
          <w:p w:rsidR="00DF48BC" w:rsidRDefault="009A7CA1">
            <w:pPr>
              <w:jc w:val="right"/>
            </w:pPr>
            <w:r>
              <w:rPr>
                <w:color w:val="000000"/>
                <w:sz w:val="24"/>
              </w:rPr>
              <w:t>51,255,000.00</w:t>
            </w:r>
          </w:p>
        </w:tc>
        <w:tc>
          <w:tcPr>
            <w:tcW w:w="1389" w:type="dxa"/>
            <w:vAlign w:val="center"/>
          </w:tcPr>
          <w:p w:rsidR="00DF48BC" w:rsidRDefault="009A7CA1">
            <w:pPr>
              <w:jc w:val="right"/>
            </w:pPr>
            <w:r>
              <w:rPr>
                <w:color w:val="000000"/>
                <w:sz w:val="24"/>
              </w:rPr>
              <w:t>3.52</w:t>
            </w:r>
          </w:p>
        </w:tc>
      </w:tr>
      <w:tr w:rsidR="00DF48BC">
        <w:trPr>
          <w:jc w:val="center"/>
        </w:trPr>
        <w:tc>
          <w:tcPr>
            <w:tcW w:w="1075" w:type="dxa"/>
            <w:vAlign w:val="center"/>
          </w:tcPr>
          <w:p w:rsidR="00DF48BC" w:rsidRDefault="009A7CA1">
            <w:pPr>
              <w:jc w:val="center"/>
            </w:pPr>
            <w:r>
              <w:rPr>
                <w:color w:val="000000"/>
                <w:sz w:val="24"/>
              </w:rPr>
              <w:t>5</w:t>
            </w:r>
          </w:p>
        </w:tc>
        <w:tc>
          <w:tcPr>
            <w:tcW w:w="1533" w:type="dxa"/>
            <w:vAlign w:val="center"/>
          </w:tcPr>
          <w:p w:rsidR="00DF48BC" w:rsidRDefault="009A7CA1">
            <w:pPr>
              <w:jc w:val="center"/>
            </w:pPr>
            <w:r>
              <w:rPr>
                <w:color w:val="000000"/>
                <w:sz w:val="24"/>
              </w:rPr>
              <w:t>011901023</w:t>
            </w:r>
          </w:p>
        </w:tc>
        <w:tc>
          <w:tcPr>
            <w:tcW w:w="1533" w:type="dxa"/>
            <w:vAlign w:val="center"/>
          </w:tcPr>
          <w:p w:rsidR="00DF48BC" w:rsidRDefault="009A7CA1">
            <w:pPr>
              <w:jc w:val="center"/>
            </w:pPr>
            <w:r>
              <w:rPr>
                <w:color w:val="000000"/>
                <w:sz w:val="24"/>
              </w:rPr>
              <w:t>19</w:t>
            </w:r>
            <w:r>
              <w:rPr>
                <w:color w:val="000000"/>
                <w:sz w:val="24"/>
              </w:rPr>
              <w:t>常城建</w:t>
            </w:r>
            <w:r>
              <w:rPr>
                <w:color w:val="000000"/>
                <w:sz w:val="24"/>
              </w:rPr>
              <w:t>SCP006</w:t>
            </w:r>
          </w:p>
        </w:tc>
        <w:tc>
          <w:tcPr>
            <w:tcW w:w="1394" w:type="dxa"/>
            <w:vAlign w:val="center"/>
          </w:tcPr>
          <w:p w:rsidR="00DF48BC" w:rsidRDefault="009A7CA1">
            <w:pPr>
              <w:jc w:val="right"/>
            </w:pPr>
            <w:r>
              <w:rPr>
                <w:color w:val="000000"/>
                <w:sz w:val="24"/>
              </w:rPr>
              <w:t>500,000</w:t>
            </w:r>
          </w:p>
        </w:tc>
        <w:tc>
          <w:tcPr>
            <w:tcW w:w="1944" w:type="dxa"/>
            <w:vAlign w:val="center"/>
          </w:tcPr>
          <w:p w:rsidR="00DF48BC" w:rsidRDefault="009A7CA1">
            <w:pPr>
              <w:jc w:val="right"/>
            </w:pPr>
            <w:r>
              <w:rPr>
                <w:color w:val="000000"/>
                <w:sz w:val="24"/>
              </w:rPr>
              <w:t>50,060,000.00</w:t>
            </w:r>
          </w:p>
        </w:tc>
        <w:tc>
          <w:tcPr>
            <w:tcW w:w="1389" w:type="dxa"/>
            <w:vAlign w:val="center"/>
          </w:tcPr>
          <w:p w:rsidR="00DF48BC" w:rsidRDefault="009A7CA1">
            <w:pPr>
              <w:jc w:val="right"/>
            </w:pPr>
            <w:r>
              <w:rPr>
                <w:color w:val="000000"/>
                <w:sz w:val="24"/>
              </w:rPr>
              <w:t>3.44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510C7C" w:rsidRPr="007F52FA" w:rsidRDefault="00510C7C" w:rsidP="007C14DF">
      <w:pPr>
        <w:autoSpaceDE w:val="0"/>
        <w:autoSpaceDN w:val="0"/>
        <w:adjustRightInd w:val="0"/>
        <w:spacing w:before="29" w:line="288" w:lineRule="auto"/>
        <w:jc w:val="left"/>
        <w:rPr>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23,263.77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4,700,213.70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28,738,173.20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1,210,334.87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34,671,985.54</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510C7C" w:rsidRPr="00510C7C" w:rsidRDefault="00510C7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1,349,541,010.88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183,542,715.11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461,605,963.24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7,318,333.93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586,749,653.34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62,258,835.78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1,224,397,320.78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128,602,213.26</w:t>
            </w:r>
          </w:p>
        </w:tc>
      </w:tr>
    </w:tbl>
    <w:p w:rsidR="00DF48BC" w:rsidRDefault="009A7CA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DF48BC" w:rsidRDefault="009A7CA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CC" w:rsidRDefault="00A47BCC">
      <w:r>
        <w:separator/>
      </w:r>
    </w:p>
  </w:endnote>
  <w:endnote w:type="continuationSeparator" w:id="0">
    <w:p w:rsidR="00A47BCC" w:rsidRDefault="00A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E95B3C">
      <w:rPr>
        <w:noProof/>
        <w:kern w:val="0"/>
        <w:szCs w:val="21"/>
      </w:rPr>
      <w:t>12</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E95B3C">
      <w:rPr>
        <w:noProof/>
        <w:kern w:val="0"/>
        <w:szCs w:val="21"/>
      </w:rPr>
      <w:t>12</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CC" w:rsidRDefault="00A47BCC">
      <w:r>
        <w:separator/>
      </w:r>
    </w:p>
  </w:footnote>
  <w:footnote w:type="continuationSeparator" w:id="0">
    <w:p w:rsidR="00A47BCC" w:rsidRDefault="00A4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0C7C"/>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A7CA1"/>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47BCC"/>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0A91"/>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8BC"/>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5B3C"/>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2E9E-179C-41CB-8636-81BD88DD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220</TotalTime>
  <Pages>12</Pages>
  <Words>1010</Words>
  <Characters>5762</Characters>
  <Application>Microsoft Office Word</Application>
  <DocSecurity>0</DocSecurity>
  <Lines>48</Lines>
  <Paragraphs>13</Paragraphs>
  <ScaleCrop>false</ScaleCrop>
  <Company>TRT. Ltd. Co.</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392</cp:revision>
  <cp:lastPrinted>2007-07-19T00:46:00Z</cp:lastPrinted>
  <dcterms:created xsi:type="dcterms:W3CDTF">2014-01-17T06:19:00Z</dcterms:created>
  <dcterms:modified xsi:type="dcterms:W3CDTF">2019-07-15T05:43:00Z</dcterms:modified>
</cp:coreProperties>
</file>