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交银施罗德趋势优先混合型证券投资基金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交银趋势混合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2010年12月22日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202,808,449.88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19,025,615.28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7,204,933.45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0.0321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304,248,896.89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1.500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3.09%</w:t>
            </w:r>
          </w:p>
        </w:tc>
        <w:tc>
          <w:tcPr>
            <w:vAlign w:val="center"/>
          </w:tcPr>
          <w:p>
            <w:pPr>
              <w:jc w:val="center"/>
            </w:pPr>
            <w:r>
              <w:rPr>
                <w:color w:val="000000"/>
                <w:sz w:val="24"/>
                <w:szCs w:val="24"/>
              </w:rPr>
              <w:t>1.81%</w:t>
            </w:r>
          </w:p>
        </w:tc>
        <w:tc>
          <w:tcPr>
            <w:vAlign w:val="center"/>
          </w:tcPr>
          <w:p>
            <w:pPr>
              <w:jc w:val="center"/>
            </w:pPr>
            <w:r>
              <w:rPr>
                <w:color w:val="000000"/>
                <w:sz w:val="24"/>
                <w:szCs w:val="24"/>
              </w:rPr>
              <w:t>-0.61%</w:t>
            </w:r>
          </w:p>
        </w:tc>
        <w:tc>
          <w:tcPr>
            <w:vAlign w:val="center"/>
          </w:tcPr>
          <w:p>
            <w:pPr>
              <w:jc w:val="center"/>
            </w:pPr>
            <w:r>
              <w:rPr>
                <w:color w:val="000000"/>
                <w:sz w:val="24"/>
                <w:szCs w:val="24"/>
              </w:rPr>
              <w:t>1.14%</w:t>
            </w:r>
          </w:p>
        </w:tc>
        <w:tc>
          <w:tcPr>
            <w:vAlign w:val="center"/>
          </w:tcPr>
          <w:p>
            <w:pPr>
              <w:jc w:val="center"/>
            </w:pPr>
            <w:r>
              <w:rPr>
                <w:color w:val="000000"/>
                <w:sz w:val="24"/>
                <w:szCs w:val="24"/>
              </w:rPr>
              <w:t>3.70%</w:t>
            </w:r>
          </w:p>
        </w:tc>
        <w:tc>
          <w:tcPr>
            <w:vAlign w:val="center"/>
          </w:tcPr>
          <w:p>
            <w:pPr>
              <w:jc w:val="center"/>
            </w:pPr>
            <w:r>
              <w:rPr>
                <w:color w:val="000000"/>
                <w:sz w:val="24"/>
                <w:szCs w:val="24"/>
              </w:rPr>
              <w:t>0.67%</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交银施罗德趋势优先混合型证券投资基金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2010年12月22日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2017-06-03</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回顾2019年二季度，中美贸易战持续发酵，整个市场成交量大幅下滑，市场观望情绪明显提升。由于人民币贬值影响，外资在四至五月出现比较明显的流出，整个市场向集中度较高的龙头白马大幅集中。</w:t>
      </w:r>
    </w:p>
    <w:p>
      <w:pPr>
        <w:spacing w:before="29" w:line="288" w:lineRule="auto"/>
        <w:ind w:firstLine="480" w:firstLineChars="200"/>
        <w:rPr>
          <w:color w:val="000000"/>
          <w:sz w:val="24"/>
          <w:szCs w:val="24"/>
        </w:rPr>
      </w:pPr>
      <w:r>
        <w:rPr>
          <w:color w:val="000000"/>
          <w:sz w:val="24"/>
          <w:szCs w:val="24"/>
        </w:rPr>
        <w:t>本基金在2019年二季度基本上围绕着消费白马龙头作为底仓的配置思路，个股持仓比例有所提升，主要增持二季度业绩较好并且存在上调盈利预测可能性的个股，获得了比较明显的相对收益和绝对收益。</w:t>
      </w:r>
    </w:p>
    <w:p>
      <w:pPr>
        <w:spacing w:before="29" w:line="288" w:lineRule="auto"/>
        <w:ind w:firstLine="480" w:firstLineChars="200"/>
        <w:rPr>
          <w:color w:val="000000"/>
          <w:sz w:val="24"/>
          <w:szCs w:val="24"/>
        </w:rPr>
      </w:pPr>
      <w:r>
        <w:rPr>
          <w:color w:val="000000"/>
          <w:sz w:val="24"/>
          <w:szCs w:val="24"/>
        </w:rPr>
        <w:t>展望2019年三季度，预计市场流动性会出现比较明显的改善，特别是长端利率水平可能会有比较明显的下降。随着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本基金在三季度拟将保持消费白马和地产作为底仓的配置思路，同时考虑适当减持纯靠估值提升的个股。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 xml:space="preserve">本基金本报告期内无需预警说明。 </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286,687,690.17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90.25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286,687,690.17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90.25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30,574,321.07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9.62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401,793.26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0.13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317,663,804.50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171,092.25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242,554,277.18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7,422,268.00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3,906,000.00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33,869.94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27,147,394.44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4,894,576.00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535,105.76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286,687,690.17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94.23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1,032,586</w:t>
            </w:r>
          </w:p>
        </w:tc>
        <w:tc>
          <w:tcPr>
            <w:vAlign w:val="center"/>
          </w:tcPr>
          <w:p>
            <w:pPr>
              <w:jc w:val="right"/>
            </w:pPr>
            <w:r>
              <w:rPr>
                <w:color w:val="000000"/>
                <w:sz w:val="24"/>
                <w:szCs w:val="24"/>
              </w:rPr>
              <w:t>28,798,823.54</w:t>
            </w:r>
          </w:p>
        </w:tc>
        <w:tc>
          <w:tcPr>
            <w:vAlign w:val="center"/>
          </w:tcPr>
          <w:p>
            <w:pPr>
              <w:jc w:val="right"/>
            </w:pPr>
            <w:r>
              <w:rPr>
                <w:color w:val="000000"/>
                <w:sz w:val="24"/>
                <w:szCs w:val="24"/>
              </w:rPr>
              <w:t>9.47</w:t>
            </w:r>
          </w:p>
        </w:tc>
      </w:tr>
      <w:tr>
        <w:tc>
          <w:tcPr>
            <w:vAlign w:val="center"/>
          </w:tcPr>
          <w:p>
            <w:pPr>
              <w:jc w:val="center"/>
            </w:pPr>
            <w:r>
              <w:rPr>
                <w:color w:val="000000"/>
                <w:sz w:val="24"/>
                <w:szCs w:val="24"/>
              </w:rPr>
              <w:t>2</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1,445,871</w:t>
            </w:r>
          </w:p>
        </w:tc>
        <w:tc>
          <w:tcPr>
            <w:vAlign w:val="center"/>
          </w:tcPr>
          <w:p>
            <w:pPr>
              <w:jc w:val="right"/>
            </w:pPr>
            <w:r>
              <w:rPr>
                <w:color w:val="000000"/>
                <w:sz w:val="24"/>
                <w:szCs w:val="24"/>
              </w:rPr>
              <w:t>28,049,897.40</w:t>
            </w:r>
          </w:p>
        </w:tc>
        <w:tc>
          <w:tcPr>
            <w:vAlign w:val="center"/>
          </w:tcPr>
          <w:p>
            <w:pPr>
              <w:jc w:val="right"/>
            </w:pPr>
            <w:r>
              <w:rPr>
                <w:color w:val="000000"/>
                <w:sz w:val="24"/>
                <w:szCs w:val="24"/>
              </w:rPr>
              <w:t>9.22</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236,363</w:t>
            </w:r>
          </w:p>
        </w:tc>
        <w:tc>
          <w:tcPr>
            <w:vAlign w:val="center"/>
          </w:tcPr>
          <w:p>
            <w:pPr>
              <w:jc w:val="right"/>
            </w:pPr>
            <w:r>
              <w:rPr>
                <w:color w:val="000000"/>
                <w:sz w:val="24"/>
                <w:szCs w:val="24"/>
              </w:rPr>
              <w:t>27,879,015.85</w:t>
            </w:r>
          </w:p>
        </w:tc>
        <w:tc>
          <w:tcPr>
            <w:vAlign w:val="center"/>
          </w:tcPr>
          <w:p>
            <w:pPr>
              <w:jc w:val="right"/>
            </w:pPr>
            <w:r>
              <w:rPr>
                <w:color w:val="000000"/>
                <w:sz w:val="24"/>
                <w:szCs w:val="24"/>
              </w:rPr>
              <w:t>9.16</w:t>
            </w:r>
          </w:p>
        </w:tc>
      </w:tr>
      <w:tr>
        <w:tc>
          <w:tcPr>
            <w:vAlign w:val="center"/>
          </w:tcPr>
          <w:p>
            <w:pPr>
              <w:jc w:val="center"/>
            </w:pPr>
            <w:r>
              <w:rPr>
                <w:color w:val="000000"/>
                <w:sz w:val="24"/>
                <w:szCs w:val="24"/>
              </w:rPr>
              <w:t>4</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2,117,105</w:t>
            </w:r>
          </w:p>
        </w:tc>
        <w:tc>
          <w:tcPr>
            <w:vAlign w:val="center"/>
          </w:tcPr>
          <w:p>
            <w:pPr>
              <w:jc w:val="right"/>
            </w:pPr>
            <w:r>
              <w:rPr>
                <w:color w:val="000000"/>
                <w:sz w:val="24"/>
                <w:szCs w:val="24"/>
              </w:rPr>
              <w:t>27,429,544.45</w:t>
            </w:r>
          </w:p>
        </w:tc>
        <w:tc>
          <w:tcPr>
            <w:vAlign w:val="center"/>
          </w:tcPr>
          <w:p>
            <w:pPr>
              <w:jc w:val="right"/>
            </w:pPr>
            <w:r>
              <w:rPr>
                <w:color w:val="000000"/>
                <w:sz w:val="24"/>
                <w:szCs w:val="24"/>
              </w:rPr>
              <w:t>9.02</w:t>
            </w:r>
          </w:p>
        </w:tc>
      </w:tr>
      <w:tr>
        <w:tc>
          <w:tcPr>
            <w:vAlign w:val="center"/>
          </w:tcPr>
          <w:p>
            <w:pPr>
              <w:jc w:val="center"/>
            </w:pPr>
            <w:r>
              <w:rPr>
                <w:color w:val="000000"/>
                <w:sz w:val="24"/>
                <w:szCs w:val="24"/>
              </w:rPr>
              <w:t>5</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27,841</w:t>
            </w:r>
          </w:p>
        </w:tc>
        <w:tc>
          <w:tcPr>
            <w:vAlign w:val="center"/>
          </w:tcPr>
          <w:p>
            <w:pPr>
              <w:jc w:val="right"/>
            </w:pPr>
            <w:r>
              <w:rPr>
                <w:color w:val="000000"/>
                <w:sz w:val="24"/>
                <w:szCs w:val="24"/>
              </w:rPr>
              <w:t>27,395,544.00</w:t>
            </w:r>
          </w:p>
        </w:tc>
        <w:tc>
          <w:tcPr>
            <w:vAlign w:val="center"/>
          </w:tcPr>
          <w:p>
            <w:pPr>
              <w:jc w:val="right"/>
            </w:pPr>
            <w:r>
              <w:rPr>
                <w:color w:val="000000"/>
                <w:sz w:val="24"/>
                <w:szCs w:val="24"/>
              </w:rPr>
              <w:t>9.00</w:t>
            </w:r>
          </w:p>
        </w:tc>
      </w:tr>
      <w:tr>
        <w:tc>
          <w:tcPr>
            <w:vAlign w:val="center"/>
          </w:tcPr>
          <w:p>
            <w:pPr>
              <w:jc w:val="center"/>
            </w:pPr>
            <w:r>
              <w:rPr>
                <w:color w:val="000000"/>
                <w:sz w:val="24"/>
                <w:szCs w:val="24"/>
              </w:rPr>
              <w:t>6</w:t>
            </w:r>
          </w:p>
        </w:tc>
        <w:tc>
          <w:tcPr>
            <w:vAlign w:val="center"/>
          </w:tcPr>
          <w:p>
            <w:pPr>
              <w:jc w:val="center"/>
            </w:pPr>
            <w:r>
              <w:rPr>
                <w:color w:val="000000"/>
                <w:sz w:val="24"/>
                <w:szCs w:val="24"/>
              </w:rPr>
              <w:t>603886</w:t>
            </w:r>
          </w:p>
        </w:tc>
        <w:tc>
          <w:tcPr>
            <w:vAlign w:val="center"/>
          </w:tcPr>
          <w:p>
            <w:pPr>
              <w:jc w:val="center"/>
            </w:pPr>
            <w:r>
              <w:rPr>
                <w:color w:val="000000"/>
                <w:sz w:val="24"/>
                <w:szCs w:val="24"/>
              </w:rPr>
              <w:t>元祖股份</w:t>
            </w:r>
          </w:p>
        </w:tc>
        <w:tc>
          <w:tcPr>
            <w:vAlign w:val="center"/>
          </w:tcPr>
          <w:p>
            <w:pPr>
              <w:jc w:val="right"/>
            </w:pPr>
            <w:r>
              <w:rPr>
                <w:color w:val="000000"/>
                <w:sz w:val="24"/>
                <w:szCs w:val="24"/>
              </w:rPr>
              <w:t>1,028,900</w:t>
            </w:r>
          </w:p>
        </w:tc>
        <w:tc>
          <w:tcPr>
            <w:vAlign w:val="center"/>
          </w:tcPr>
          <w:p>
            <w:pPr>
              <w:jc w:val="right"/>
            </w:pPr>
            <w:r>
              <w:rPr>
                <w:color w:val="000000"/>
                <w:sz w:val="24"/>
                <w:szCs w:val="24"/>
              </w:rPr>
              <w:t>27,255,561.00</w:t>
            </w:r>
          </w:p>
        </w:tc>
        <w:tc>
          <w:tcPr>
            <w:vAlign w:val="center"/>
          </w:tcPr>
          <w:p>
            <w:pPr>
              <w:jc w:val="right"/>
            </w:pPr>
            <w:r>
              <w:rPr>
                <w:color w:val="000000"/>
                <w:sz w:val="24"/>
                <w:szCs w:val="24"/>
              </w:rPr>
              <w:t>8.96</w:t>
            </w:r>
          </w:p>
        </w:tc>
      </w:tr>
      <w:tr>
        <w:tc>
          <w:tcPr>
            <w:vAlign w:val="center"/>
          </w:tcPr>
          <w:p>
            <w:pPr>
              <w:jc w:val="center"/>
            </w:pPr>
            <w:r>
              <w:rPr>
                <w:color w:val="000000"/>
                <w:sz w:val="24"/>
                <w:szCs w:val="24"/>
              </w:rPr>
              <w:t>7</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681,924</w:t>
            </w:r>
          </w:p>
        </w:tc>
        <w:tc>
          <w:tcPr>
            <w:vAlign w:val="center"/>
          </w:tcPr>
          <w:p>
            <w:pPr>
              <w:jc w:val="right"/>
            </w:pPr>
            <w:r>
              <w:rPr>
                <w:color w:val="000000"/>
                <w:sz w:val="24"/>
                <w:szCs w:val="24"/>
              </w:rPr>
              <w:t>27,147,394.44</w:t>
            </w:r>
          </w:p>
        </w:tc>
        <w:tc>
          <w:tcPr>
            <w:vAlign w:val="center"/>
          </w:tcPr>
          <w:p>
            <w:pPr>
              <w:jc w:val="right"/>
            </w:pPr>
            <w:r>
              <w:rPr>
                <w:color w:val="000000"/>
                <w:sz w:val="24"/>
                <w:szCs w:val="24"/>
              </w:rPr>
              <w:t>8.92</w:t>
            </w:r>
          </w:p>
        </w:tc>
      </w:tr>
      <w:tr>
        <w:tc>
          <w:tcPr>
            <w:vAlign w:val="center"/>
          </w:tcPr>
          <w:p>
            <w:pPr>
              <w:jc w:val="center"/>
            </w:pPr>
            <w:r>
              <w:rPr>
                <w:color w:val="000000"/>
                <w:sz w:val="24"/>
                <w:szCs w:val="24"/>
              </w:rPr>
              <w:t>8</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492,869</w:t>
            </w:r>
          </w:p>
        </w:tc>
        <w:tc>
          <w:tcPr>
            <w:vAlign w:val="center"/>
          </w:tcPr>
          <w:p>
            <w:pPr>
              <w:jc w:val="right"/>
            </w:pPr>
            <w:r>
              <w:rPr>
                <w:color w:val="000000"/>
                <w:sz w:val="24"/>
                <w:szCs w:val="24"/>
              </w:rPr>
              <w:t>27,107,795.00</w:t>
            </w:r>
          </w:p>
        </w:tc>
        <w:tc>
          <w:tcPr>
            <w:vAlign w:val="center"/>
          </w:tcPr>
          <w:p>
            <w:pPr>
              <w:jc w:val="right"/>
            </w:pPr>
            <w:r>
              <w:rPr>
                <w:color w:val="000000"/>
                <w:sz w:val="24"/>
                <w:szCs w:val="24"/>
              </w:rPr>
              <w:t>8.91</w:t>
            </w:r>
          </w:p>
        </w:tc>
      </w:tr>
      <w:tr>
        <w:tc>
          <w:tcPr>
            <w:vAlign w:val="center"/>
          </w:tcPr>
          <w:p>
            <w:pPr>
              <w:jc w:val="center"/>
            </w:pPr>
            <w:r>
              <w:rPr>
                <w:color w:val="000000"/>
                <w:sz w:val="24"/>
                <w:szCs w:val="24"/>
              </w:rPr>
              <w:t>9</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804,115</w:t>
            </w:r>
          </w:p>
        </w:tc>
        <w:tc>
          <w:tcPr>
            <w:vAlign w:val="center"/>
          </w:tcPr>
          <w:p>
            <w:pPr>
              <w:jc w:val="right"/>
            </w:pPr>
            <w:r>
              <w:rPr>
                <w:color w:val="000000"/>
                <w:sz w:val="24"/>
                <w:szCs w:val="24"/>
              </w:rPr>
              <w:t>26,865,482.15</w:t>
            </w:r>
          </w:p>
        </w:tc>
        <w:tc>
          <w:tcPr>
            <w:vAlign w:val="center"/>
          </w:tcPr>
          <w:p>
            <w:pPr>
              <w:jc w:val="right"/>
            </w:pPr>
            <w:r>
              <w:rPr>
                <w:color w:val="000000"/>
                <w:sz w:val="24"/>
                <w:szCs w:val="24"/>
              </w:rPr>
              <w:t>8.83</w:t>
            </w:r>
          </w:p>
        </w:tc>
      </w:tr>
      <w:tr>
        <w:tc>
          <w:tcPr>
            <w:vAlign w:val="center"/>
          </w:tcPr>
          <w:p>
            <w:pPr>
              <w:jc w:val="center"/>
            </w:pPr>
            <w:r>
              <w:rPr>
                <w:color w:val="000000"/>
                <w:sz w:val="24"/>
                <w:szCs w:val="24"/>
              </w:rPr>
              <w:t>10</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27,175</w:t>
            </w:r>
          </w:p>
        </w:tc>
        <w:tc>
          <w:tcPr>
            <w:vAlign w:val="center"/>
          </w:tcPr>
          <w:p>
            <w:pPr>
              <w:jc w:val="right"/>
            </w:pPr>
            <w:r>
              <w:rPr>
                <w:color w:val="000000"/>
                <w:sz w:val="24"/>
                <w:szCs w:val="24"/>
              </w:rPr>
              <w:t>9,185,150.00</w:t>
            </w:r>
          </w:p>
        </w:tc>
        <w:tc>
          <w:tcPr>
            <w:vAlign w:val="center"/>
          </w:tcPr>
          <w:p>
            <w:pPr>
              <w:jc w:val="right"/>
            </w:pPr>
            <w:r>
              <w:rPr>
                <w:color w:val="000000"/>
                <w:sz w:val="24"/>
                <w:szCs w:val="24"/>
              </w:rPr>
              <w:t>3.02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147,726.84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4,949.67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249,116.75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401,793.26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3,748,360.00</w:t>
            </w:r>
          </w:p>
        </w:tc>
        <w:tc>
          <w:tcPr>
            <w:vAlign w:val="center"/>
          </w:tcPr>
          <w:p>
            <w:pPr>
              <w:jc w:val="right"/>
            </w:pPr>
            <w:r>
              <w:rPr>
                <w:color w:val="000000"/>
                <w:sz w:val="24"/>
                <w:szCs w:val="24"/>
              </w:rPr>
              <w:t>1.23</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253,584,612.77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17,220,106.90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67,996,269.79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202,808,449.88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1、中国证监会核准交银施罗德趋势优先股票证券投资基金募集的文件；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2、《交银施罗德趋势优先混合型证券投资基金基金合同》； </w:t>
      </w:r>
    </w:p>
    <w:p>
      <w:pPr>
        <w:spacing w:before="29" w:line="288" w:lineRule="auto"/>
        <w:ind w:firstLine="480" w:firstLineChars="200"/>
        <w:rPr>
          <w:color w:val="000000"/>
          <w:sz w:val="24"/>
          <w:szCs w:val="24"/>
        </w:rPr>
      </w:pPr>
      <w:r>
        <w:rPr>
          <w:color w:val="000000"/>
          <w:sz w:val="24"/>
          <w:szCs w:val="24"/>
        </w:rPr>
        <w:t>3、《交银施罗德趋势优先混合型证券投资基金招募说明书》；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4、《交银施罗德趋势优先混合型证券投资基金托管协议》； </w:t>
      </w:r>
    </w:p>
    <w:p>
      <w:pPr>
        <w:spacing w:before="29" w:line="288" w:lineRule="auto"/>
        <w:ind w:firstLine="480" w:firstLineChars="200"/>
        <w:rPr>
          <w:color w:val="000000"/>
          <w:sz w:val="24"/>
          <w:szCs w:val="24"/>
        </w:rPr>
      </w:pPr>
      <w:r>
        <w:rPr>
          <w:color w:val="000000"/>
          <w:sz w:val="24"/>
          <w:szCs w:val="24"/>
        </w:rPr>
        <w:t>5、关于申请募集交银施罗德趋势优先股票证券投资基金之法律意见书；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8、报告期内交银施罗德趋势优先混合型证券投资基金在指定报刊上各项公告的原稿。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交银施罗德趋势优先混合型证券投资基金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